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Default ContentType="application/vnd.openxmlformats-officedocument.oleObject" Extension="bin"/>
  <Override ContentType="application/vnd.openxmlformats-officedocument.wordprocessingml.fontTable+xml" PartName="/word/fontTable.xml"/>
  <Override ContentType="application/vnd.openxmlformats-officedocument.wordprocessingml.footer+xml" PartName="/word/footer1.xml"/>
  <Default ContentType="image/png" Extension="png"/>
  <Default ContentType="image/x-wmf" Extension="wmf"/>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4" Type="http://schemas.openxmlformats.org/officeDocument/2006/relationships/officeDocument" Target="word/document.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21"/>
        <w:spacing w:before="0" w:beforeAutospacing="0" w:after="0" w:afterAutospacing="0" w:line="360" w:lineRule="auto"/>
        <w:jc w:val="both"/>
        <w:outlineLvl w:val="0"/>
        <w:rPr>
          <w:rFonts w:ascii="黑体" w:hAnsi="黑体" w:eastAsia="黑体"/>
          <w:b/>
          <w:bCs/>
          <w:snapToGrid w:val="0"/>
          <w:sz w:val="30"/>
          <w:szCs w:val="30"/>
        </w:rPr>
      </w:pPr>
      <w:bookmarkStart w:id="0" w:name="OLE_LINK7"/>
      <w:bookmarkStart w:id="13" w:name="_GoBack"/>
      <w:bookmarkEnd w:id="13"/>
      <w:r>
        <w:rPr>
          <w:rFonts w:hint="eastAsia" w:ascii="黑体" w:hAnsi="黑体" w:eastAsia="黑体"/>
          <w:b/>
          <w:bCs/>
          <w:snapToGrid w:val="0"/>
          <w:sz w:val="30"/>
          <w:szCs w:val="30"/>
        </w:rPr>
        <w:t>一、建设项目基本情况</w:t>
      </w:r>
    </w:p>
    <w:tbl>
      <w:tblPr>
        <w:tblW w:w="8984"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left w:w="0" w:type="dxa"/>
          <w:right w:w="0" w:type="dxa"/>
        </w:tblCellMar>
      </w:tblPr>
      <w:tblGrid>
        <w:gridCol w:w="1972"/>
        <w:gridCol w:w="1940"/>
        <w:gridCol w:w="2007"/>
        <w:gridCol w:w="3065"/>
      </w:tblGrid>
      <w:tr>
        <w:trPr>
          <w:trHeight w:val="23" w:hRule="atLeast"/>
          <w:jc w:val="center"/>
        </w:trPr>
        <w:tc>
          <w:tcPr>
            <w:tcW w:w="1972" w:type="dxa"/>
            <w:tcMar>
              <w:top w:w="16" w:type="dxa"/>
              <w:left w:w="16" w:type="dxa"/>
              <w:right w:w="16" w:type="dxa"/>
            </w:tcMar>
            <w:vAlign w:val="center"/>
          </w:tcPr>
          <w:p>
            <w:pPr>
              <w:spacing w:line="360" w:lineRule="auto"/>
              <w:jc w:val="center"/>
              <w:rPr>
                <w:sz w:val="24"/>
              </w:rPr>
            </w:pPr>
            <w:r>
              <w:rPr>
                <w:rFonts w:hint="eastAsia"/>
                <w:sz w:val="24"/>
              </w:rPr>
              <w:t>建设项目名称</w:t>
            </w:r>
          </w:p>
        </w:tc>
        <w:tc>
          <w:tcPr>
            <w:tcW w:w="7012" w:type="dxa"/>
            <w:gridSpan w:val="3"/>
            <w:vAlign w:val="center"/>
          </w:tcPr>
          <w:p>
            <w:pPr>
              <w:spacing w:line="360" w:lineRule="auto"/>
              <w:jc w:val="center"/>
              <w:rPr>
                <w:sz w:val="24"/>
              </w:rPr>
            </w:pPr>
            <w:r>
              <w:rPr>
                <w:rFonts w:hint="eastAsia" w:ascii="宋体" w:hAnsi="宋体" w:cs="宋体"/>
                <w:sz w:val="24"/>
              </w:rPr>
              <w:t>柳河县众诚报废农业机械拆解有限公司建设项目</w:t>
            </w:r>
          </w:p>
        </w:tc>
      </w:tr>
      <w:tr>
        <w:trPr>
          <w:trHeight w:val="23" w:hRule="atLeast"/>
          <w:jc w:val="center"/>
        </w:trPr>
        <w:tc>
          <w:tcPr>
            <w:tcW w:w="1972" w:type="dxa"/>
            <w:tcMar>
              <w:top w:w="16" w:type="dxa"/>
              <w:left w:w="16" w:type="dxa"/>
              <w:right w:w="16" w:type="dxa"/>
            </w:tcMar>
            <w:vAlign w:val="center"/>
          </w:tcPr>
          <w:p>
            <w:pPr>
              <w:spacing w:line="360" w:lineRule="auto"/>
              <w:jc w:val="center"/>
              <w:rPr>
                <w:rFonts w:ascii="宋体" w:hAnsi="宋体" w:cs="宋体"/>
                <w:sz w:val="24"/>
              </w:rPr>
            </w:pPr>
            <w:r>
              <w:rPr>
                <w:rFonts w:hint="eastAsia" w:ascii="宋体" w:hAnsi="宋体" w:cs="宋体"/>
                <w:sz w:val="24"/>
              </w:rPr>
              <w:t>项目代码</w:t>
            </w:r>
          </w:p>
        </w:tc>
        <w:tc>
          <w:tcPr>
            <w:tcW w:w="7012" w:type="dxa"/>
            <w:gridSpan w:val="3"/>
            <w:vAlign w:val="center"/>
          </w:tcPr>
          <w:p>
            <w:pPr>
              <w:spacing w:line="360" w:lineRule="auto"/>
              <w:jc w:val="center"/>
              <w:rPr>
                <w:rFonts w:ascii="宋体" w:hAnsi="宋体" w:cs="宋体"/>
                <w:sz w:val="24"/>
              </w:rPr>
            </w:pPr>
            <w:r>
              <w:rPr>
                <w:rFonts w:hint="eastAsia" w:ascii="宋体" w:hAnsi="宋体" w:cs="宋体"/>
                <w:sz w:val="24"/>
              </w:rPr>
              <w:t>无</w:t>
            </w:r>
          </w:p>
        </w:tc>
      </w:tr>
      <w:tr>
        <w:trPr>
          <w:trHeight w:val="23" w:hRule="atLeast"/>
          <w:jc w:val="center"/>
        </w:trPr>
        <w:tc>
          <w:tcPr>
            <w:tcW w:w="1972" w:type="dxa"/>
            <w:tcMar>
              <w:top w:w="16" w:type="dxa"/>
              <w:left w:w="16" w:type="dxa"/>
              <w:right w:w="16" w:type="dxa"/>
            </w:tcMar>
            <w:vAlign w:val="center"/>
          </w:tcPr>
          <w:p>
            <w:pPr>
              <w:spacing w:line="360" w:lineRule="auto"/>
              <w:jc w:val="center"/>
              <w:rPr>
                <w:rFonts w:ascii="宋体" w:hAnsi="宋体" w:cs="宋体"/>
                <w:sz w:val="24"/>
              </w:rPr>
            </w:pPr>
            <w:r>
              <w:rPr>
                <w:rFonts w:hint="eastAsia" w:ascii="宋体" w:hAnsi="宋体" w:cs="宋体"/>
                <w:sz w:val="24"/>
              </w:rPr>
              <w:t>建设单位联系人</w:t>
            </w:r>
          </w:p>
        </w:tc>
        <w:tc>
          <w:tcPr>
            <w:tcW w:w="1940" w:type="dxa"/>
            <w:vAlign w:val="center"/>
          </w:tcPr>
          <w:p>
            <w:pPr>
              <w:spacing w:line="360" w:lineRule="auto"/>
              <w:jc w:val="center"/>
              <w:rPr>
                <w:rFonts w:ascii="宋体" w:hAnsi="宋体" w:cs="宋体"/>
                <w:sz w:val="24"/>
              </w:rPr>
            </w:pPr>
            <w:r>
              <w:rPr>
                <w:rFonts w:hint="eastAsia" w:ascii="宋体" w:hAnsi="宋体" w:cs="宋体"/>
                <w:sz w:val="24"/>
              </w:rPr>
              <w:t>闵祥鹏</w:t>
            </w:r>
          </w:p>
        </w:tc>
        <w:tc>
          <w:tcPr>
            <w:tcW w:w="2007" w:type="dxa"/>
            <w:vAlign w:val="center"/>
          </w:tcPr>
          <w:p>
            <w:pPr>
              <w:spacing w:line="360" w:lineRule="auto"/>
              <w:jc w:val="center"/>
              <w:rPr>
                <w:rFonts w:ascii="宋体" w:hAnsi="宋体" w:cs="宋体"/>
                <w:sz w:val="24"/>
              </w:rPr>
            </w:pPr>
            <w:r>
              <w:rPr>
                <w:rFonts w:ascii="宋体" w:hAnsi="宋体" w:cs="宋体"/>
                <w:sz w:val="24"/>
              </w:rPr>
              <w:t>联系方式</w:t>
            </w:r>
          </w:p>
        </w:tc>
        <w:tc>
          <w:tcPr>
            <w:tcW w:w="3065" w:type="dxa"/>
            <w:vAlign w:val="center"/>
          </w:tcPr>
          <w:p>
            <w:pPr>
              <w:spacing w:line="360" w:lineRule="auto"/>
              <w:jc w:val="center"/>
              <w:rPr>
                <w:rFonts w:ascii="宋体" w:hAnsi="宋体" w:cs="宋体"/>
                <w:sz w:val="24"/>
              </w:rPr>
            </w:pPr>
            <w:r>
              <w:rPr>
                <w:rFonts w:hint="eastAsia" w:ascii="宋体" w:hAnsi="宋体" w:cs="宋体"/>
                <w:sz w:val="24"/>
              </w:rPr>
              <w:t>17643576646</w:t>
            </w:r>
          </w:p>
        </w:tc>
      </w:tr>
      <w:tr>
        <w:trPr>
          <w:trHeight w:val="23" w:hRule="atLeast"/>
          <w:jc w:val="center"/>
        </w:trPr>
        <w:tc>
          <w:tcPr>
            <w:tcW w:w="1972" w:type="dxa"/>
            <w:tcMar>
              <w:top w:w="16" w:type="dxa"/>
              <w:left w:w="16" w:type="dxa"/>
              <w:right w:w="16" w:type="dxa"/>
            </w:tcMar>
            <w:vAlign w:val="center"/>
          </w:tcPr>
          <w:p>
            <w:pPr>
              <w:spacing w:line="360" w:lineRule="auto"/>
              <w:jc w:val="center"/>
              <w:rPr>
                <w:rFonts w:ascii="宋体" w:hAnsi="宋体" w:cs="宋体"/>
                <w:sz w:val="24"/>
              </w:rPr>
            </w:pPr>
            <w:r>
              <w:rPr>
                <w:rFonts w:hint="eastAsia" w:ascii="宋体" w:hAnsi="宋体" w:cs="宋体"/>
                <w:sz w:val="24"/>
              </w:rPr>
              <w:t>建设地点</w:t>
            </w:r>
          </w:p>
        </w:tc>
        <w:tc>
          <w:tcPr>
            <w:tcW w:w="7012" w:type="dxa"/>
            <w:gridSpan w:val="3"/>
            <w:vAlign w:val="center"/>
          </w:tcPr>
          <w:p>
            <w:pPr>
              <w:spacing w:line="360" w:lineRule="auto"/>
              <w:jc w:val="center"/>
              <w:rPr>
                <w:rFonts w:ascii="宋体" w:hAnsi="宋体" w:cs="宋体"/>
                <w:sz w:val="24"/>
              </w:rPr>
            </w:pPr>
            <w:r>
              <w:rPr>
                <w:rFonts w:hint="eastAsia"/>
                <w:sz w:val="24"/>
              </w:rPr>
              <w:t>通化市柳河县柳河镇河北村</w:t>
            </w:r>
          </w:p>
        </w:tc>
      </w:tr>
      <w:tr>
        <w:trPr>
          <w:trHeight w:val="23" w:hRule="atLeast"/>
          <w:jc w:val="center"/>
        </w:trPr>
        <w:tc>
          <w:tcPr>
            <w:tcW w:w="1972" w:type="dxa"/>
            <w:tcMar>
              <w:top w:w="16" w:type="dxa"/>
              <w:left w:w="16" w:type="dxa"/>
              <w:right w:w="16" w:type="dxa"/>
            </w:tcMar>
            <w:vAlign w:val="center"/>
          </w:tcPr>
          <w:p>
            <w:pPr>
              <w:spacing w:line="360" w:lineRule="auto"/>
              <w:jc w:val="center"/>
              <w:rPr>
                <w:rFonts w:ascii="宋体" w:hAnsi="宋体" w:cs="宋体"/>
                <w:sz w:val="24"/>
              </w:rPr>
            </w:pPr>
            <w:r>
              <w:rPr>
                <w:rFonts w:hint="eastAsia" w:ascii="宋体" w:hAnsi="宋体" w:cs="宋体"/>
                <w:sz w:val="24"/>
              </w:rPr>
              <w:t>地理坐标</w:t>
            </w:r>
          </w:p>
        </w:tc>
        <w:tc>
          <w:tcPr>
            <w:tcW w:w="7012" w:type="dxa"/>
            <w:gridSpan w:val="3"/>
            <w:vAlign w:val="center"/>
          </w:tcPr>
          <w:p>
            <w:pPr>
              <w:spacing w:line="360" w:lineRule="auto"/>
              <w:jc w:val="center"/>
              <w:rPr>
                <w:rFonts w:ascii="宋体" w:hAnsi="宋体" w:cs="宋体"/>
                <w:sz w:val="24"/>
              </w:rPr>
            </w:pPr>
            <w:r>
              <w:rPr>
                <w:rFonts w:hint="eastAsia"/>
                <w:sz w:val="24"/>
              </w:rPr>
              <w:t>125</w:t>
            </w:r>
            <w:r>
              <w:rPr>
                <w:sz w:val="24"/>
              </w:rPr>
              <w:t>度</w:t>
            </w:r>
            <w:r>
              <w:rPr>
                <w:rFonts w:hint="eastAsia"/>
                <w:sz w:val="24"/>
              </w:rPr>
              <w:t>41</w:t>
            </w:r>
            <w:r>
              <w:rPr>
                <w:sz w:val="24"/>
              </w:rPr>
              <w:t>分</w:t>
            </w:r>
            <w:r>
              <w:rPr>
                <w:rFonts w:hint="eastAsia"/>
                <w:sz w:val="24"/>
              </w:rPr>
              <w:t>58.404</w:t>
            </w:r>
            <w:r>
              <w:rPr>
                <w:sz w:val="24"/>
              </w:rPr>
              <w:t>秒，4</w:t>
            </w:r>
            <w:r>
              <w:rPr>
                <w:rFonts w:hint="eastAsia"/>
                <w:sz w:val="24"/>
              </w:rPr>
              <w:t>2</w:t>
            </w:r>
            <w:r>
              <w:rPr>
                <w:sz w:val="24"/>
              </w:rPr>
              <w:t>度</w:t>
            </w:r>
            <w:r>
              <w:rPr>
                <w:rFonts w:hint="eastAsia"/>
                <w:sz w:val="24"/>
              </w:rPr>
              <w:t>16</w:t>
            </w:r>
            <w:r>
              <w:rPr>
                <w:sz w:val="24"/>
              </w:rPr>
              <w:t>分</w:t>
            </w:r>
            <w:r>
              <w:rPr>
                <w:rFonts w:hint="eastAsia"/>
                <w:sz w:val="24"/>
              </w:rPr>
              <w:t>22.320</w:t>
            </w:r>
            <w:r>
              <w:rPr>
                <w:sz w:val="24"/>
              </w:rPr>
              <w:t>秒</w:t>
            </w:r>
          </w:p>
        </w:tc>
      </w:tr>
      <w:tr>
        <w:trPr>
          <w:trHeight w:val="765" w:hRule="atLeast"/>
          <w:jc w:val="center"/>
        </w:trPr>
        <w:tc>
          <w:tcPr>
            <w:tcW w:w="1972" w:type="dxa"/>
            <w:tcMar>
              <w:top w:w="16" w:type="dxa"/>
              <w:left w:w="16" w:type="dxa"/>
              <w:right w:w="16" w:type="dxa"/>
            </w:tcMar>
            <w:vAlign w:val="center"/>
          </w:tcPr>
          <w:p>
            <w:pPr>
              <w:spacing w:line="360" w:lineRule="auto"/>
              <w:jc w:val="center"/>
              <w:rPr>
                <w:rFonts w:ascii="宋体" w:hAnsi="宋体" w:cs="宋体"/>
                <w:sz w:val="24"/>
              </w:rPr>
            </w:pPr>
            <w:r>
              <w:rPr>
                <w:rFonts w:hint="eastAsia" w:ascii="宋体" w:hAnsi="宋体" w:cs="宋体"/>
                <w:sz w:val="24"/>
              </w:rPr>
              <w:t>国民经济行业类别</w:t>
            </w:r>
          </w:p>
        </w:tc>
        <w:tc>
          <w:tcPr>
            <w:tcW w:w="1940" w:type="dxa"/>
            <w:vAlign w:val="center"/>
          </w:tcPr>
          <w:p>
            <w:pPr>
              <w:widowControl/>
              <w:jc w:val="left"/>
              <w:rPr>
                <w:rFonts w:ascii="宋体" w:hAnsi="宋体" w:cs="宋体"/>
                <w:sz w:val="24"/>
              </w:rPr>
            </w:pPr>
            <w:r>
              <w:rPr>
                <w:kern w:val="0"/>
                <w:sz w:val="24"/>
              </w:rPr>
              <w:t xml:space="preserve">C4210 </w:t>
            </w:r>
            <w:r>
              <w:rPr>
                <w:rFonts w:hint="eastAsia" w:ascii="宋体" w:hAnsi="宋体" w:cs="宋体"/>
                <w:kern w:val="0"/>
                <w:sz w:val="24"/>
              </w:rPr>
              <w:t>金属废料和碎屑加工处理</w:t>
            </w:r>
          </w:p>
        </w:tc>
        <w:tc>
          <w:tcPr>
            <w:tcW w:w="2007" w:type="dxa"/>
            <w:vAlign w:val="center"/>
          </w:tcPr>
          <w:p>
            <w:pPr>
              <w:jc w:val="center"/>
              <w:rPr>
                <w:sz w:val="24"/>
              </w:rPr>
            </w:pPr>
            <w:bookmarkStart w:id="1" w:name="_Hlk49843745"/>
            <w:r>
              <w:rPr>
                <w:sz w:val="24"/>
              </w:rPr>
              <w:t>建设项目</w:t>
            </w:r>
          </w:p>
          <w:p>
            <w:pPr>
              <w:jc w:val="center"/>
              <w:rPr>
                <w:sz w:val="24"/>
              </w:rPr>
            </w:pPr>
            <w:r>
              <w:rPr>
                <w:sz w:val="24"/>
              </w:rPr>
              <w:t>行业类别</w:t>
            </w:r>
            <w:bookmarkEnd w:id="1"/>
          </w:p>
        </w:tc>
        <w:tc>
          <w:tcPr>
            <w:tcW w:w="3065" w:type="dxa"/>
            <w:vAlign w:val="top"/>
          </w:tcPr>
          <w:p>
            <w:pPr>
              <w:widowControl/>
              <w:jc w:val="left"/>
              <w:rPr>
                <w:sz w:val="24"/>
              </w:rPr>
            </w:pPr>
            <w:r>
              <w:rPr>
                <w:rFonts w:hint="eastAsia" w:ascii="宋体" w:hAnsi="宋体" w:cs="宋体"/>
                <w:kern w:val="0"/>
                <w:sz w:val="24"/>
              </w:rPr>
              <w:t>三十九、废弃资源综合利用业、</w:t>
            </w:r>
            <w:r>
              <w:rPr>
                <w:kern w:val="0"/>
                <w:sz w:val="24"/>
              </w:rPr>
              <w:t xml:space="preserve">85 </w:t>
            </w:r>
            <w:r>
              <w:rPr>
                <w:rFonts w:hint="eastAsia" w:ascii="宋体" w:hAnsi="宋体" w:cs="宋体"/>
                <w:kern w:val="0"/>
                <w:sz w:val="24"/>
              </w:rPr>
              <w:t>废机动车加工处理</w:t>
            </w:r>
          </w:p>
        </w:tc>
      </w:tr>
      <w:tr>
        <w:trPr>
          <w:trHeight w:val="23" w:hRule="atLeast"/>
          <w:jc w:val="center"/>
        </w:trPr>
        <w:tc>
          <w:tcPr>
            <w:tcW w:w="1972" w:type="dxa"/>
            <w:tcMar>
              <w:top w:w="16" w:type="dxa"/>
              <w:left w:w="16" w:type="dxa"/>
              <w:right w:w="16" w:type="dxa"/>
            </w:tcMar>
            <w:vAlign w:val="center"/>
          </w:tcPr>
          <w:p>
            <w:pPr>
              <w:spacing w:line="360" w:lineRule="auto"/>
              <w:jc w:val="center"/>
              <w:rPr>
                <w:rFonts w:ascii="宋体" w:hAnsi="宋体" w:cs="宋体"/>
                <w:sz w:val="24"/>
              </w:rPr>
            </w:pPr>
            <w:r>
              <w:rPr>
                <w:rFonts w:hint="eastAsia" w:ascii="宋体" w:hAnsi="宋体" w:cs="宋体"/>
                <w:sz w:val="24"/>
              </w:rPr>
              <w:t>建设性质</w:t>
            </w:r>
          </w:p>
        </w:tc>
        <w:tc>
          <w:tcPr>
            <w:tcW w:w="1940" w:type="dxa"/>
            <w:vAlign w:val="center"/>
          </w:tcPr>
          <w:p>
            <w:pPr>
              <w:jc w:val="left"/>
              <w:rPr>
                <w:rFonts w:ascii="宋体" w:hAnsi="宋体" w:cs="宋体"/>
                <w:sz w:val="24"/>
              </w:rPr>
            </w:pPr>
            <w:r>
              <w:rPr>
                <w:rFonts w:hint="eastAsia" w:ascii="宋体" w:hAnsi="宋体" w:cs="宋体"/>
                <w:sz w:val="24"/>
              </w:rPr>
              <w:sym w:font="Wingdings 2" w:char="0052"/>
            </w:r>
            <w:r>
              <w:rPr>
                <w:rFonts w:hint="eastAsia" w:ascii="宋体" w:hAnsi="宋体" w:cs="宋体"/>
                <w:sz w:val="24"/>
              </w:rPr>
              <w:t>新建（迁建）</w:t>
            </w:r>
          </w:p>
          <w:p>
            <w:pPr>
              <w:jc w:val="left"/>
              <w:rPr>
                <w:rFonts w:ascii="宋体" w:hAnsi="宋体" w:cs="宋体"/>
                <w:sz w:val="24"/>
              </w:rPr>
            </w:pPr>
            <w:r>
              <w:rPr>
                <w:rFonts w:hint="eastAsia" w:ascii="宋体" w:hAnsi="宋体" w:cs="宋体"/>
                <w:sz w:val="24"/>
              </w:rPr>
              <w:t>□改建</w:t>
            </w:r>
          </w:p>
          <w:p>
            <w:pPr>
              <w:jc w:val="left"/>
              <w:rPr>
                <w:rFonts w:ascii="宋体" w:hAnsi="宋体" w:cs="宋体"/>
                <w:sz w:val="24"/>
              </w:rPr>
            </w:pPr>
            <w:r>
              <w:rPr>
                <w:rFonts w:hint="eastAsia" w:ascii="宋体" w:hAnsi="宋体" w:cs="宋体"/>
                <w:sz w:val="24"/>
              </w:rPr>
              <w:t>□扩建</w:t>
            </w:r>
          </w:p>
          <w:p>
            <w:pPr>
              <w:jc w:val="left"/>
              <w:rPr>
                <w:rFonts w:ascii="宋体" w:hAnsi="宋体" w:cs="宋体"/>
                <w:sz w:val="24"/>
              </w:rPr>
            </w:pPr>
            <w:r>
              <w:rPr>
                <w:rFonts w:hint="eastAsia" w:ascii="宋体" w:hAnsi="宋体" w:cs="宋体"/>
                <w:sz w:val="24"/>
              </w:rPr>
              <w:t>□技术改造</w:t>
            </w:r>
          </w:p>
        </w:tc>
        <w:tc>
          <w:tcPr>
            <w:tcW w:w="2007" w:type="dxa"/>
            <w:vAlign w:val="center"/>
          </w:tcPr>
          <w:p>
            <w:pPr>
              <w:jc w:val="center"/>
              <w:rPr>
                <w:rFonts w:ascii="宋体" w:hAnsi="宋体" w:cs="宋体"/>
                <w:sz w:val="24"/>
              </w:rPr>
            </w:pPr>
            <w:r>
              <w:rPr>
                <w:rFonts w:hint="eastAsia" w:ascii="宋体" w:hAnsi="宋体" w:cs="宋体"/>
                <w:sz w:val="24"/>
              </w:rPr>
              <w:t>建设项目</w:t>
            </w:r>
          </w:p>
          <w:p>
            <w:pPr>
              <w:jc w:val="center"/>
              <w:rPr>
                <w:rFonts w:ascii="宋体" w:hAnsi="宋体" w:cs="宋体"/>
                <w:sz w:val="24"/>
              </w:rPr>
            </w:pPr>
            <w:r>
              <w:rPr>
                <w:rFonts w:hint="eastAsia" w:ascii="宋体" w:hAnsi="宋体" w:cs="宋体"/>
                <w:sz w:val="24"/>
              </w:rPr>
              <w:t>申报情形</w:t>
            </w:r>
          </w:p>
        </w:tc>
        <w:tc>
          <w:tcPr>
            <w:tcW w:w="3065" w:type="dxa"/>
            <w:vAlign w:val="center"/>
          </w:tcPr>
          <w:p>
            <w:pPr>
              <w:jc w:val="left"/>
              <w:rPr>
                <w:rFonts w:ascii="宋体" w:hAnsi="宋体" w:cs="宋体"/>
                <w:sz w:val="24"/>
              </w:rPr>
            </w:pPr>
            <w:r>
              <w:rPr>
                <w:rFonts w:hint="eastAsia" w:ascii="宋体" w:hAnsi="宋体" w:cs="宋体"/>
                <w:sz w:val="24"/>
              </w:rPr>
              <w:sym w:font="Wingdings 2" w:char="0052"/>
            </w:r>
            <w:r>
              <w:rPr>
                <w:rFonts w:hint="eastAsia" w:ascii="宋体" w:hAnsi="宋体" w:cs="宋体"/>
                <w:sz w:val="24"/>
              </w:rPr>
              <w:t>首次申报项目</w:t>
            </w:r>
            <w:r>
              <w:rPr>
                <w:rFonts w:ascii="宋体" w:hAnsi="宋体" w:cs="宋体"/>
                <w:sz w:val="24"/>
              </w:rPr>
              <w:t xml:space="preserve">             </w:t>
            </w:r>
          </w:p>
          <w:p>
            <w:pPr>
              <w:jc w:val="left"/>
              <w:rPr>
                <w:rFonts w:ascii="宋体" w:hAnsi="宋体" w:cs="宋体"/>
                <w:sz w:val="24"/>
              </w:rPr>
            </w:pPr>
            <w:r>
              <w:rPr>
                <w:rFonts w:hint="eastAsia" w:ascii="宋体" w:hAnsi="宋体" w:cs="宋体"/>
                <w:sz w:val="24"/>
              </w:rPr>
              <w:t>□不予批准后再次申报项目</w:t>
            </w:r>
          </w:p>
          <w:p>
            <w:pPr>
              <w:jc w:val="left"/>
              <w:rPr>
                <w:rFonts w:ascii="宋体" w:hAnsi="宋体" w:cs="宋体"/>
                <w:sz w:val="24"/>
              </w:rPr>
            </w:pPr>
            <w:r>
              <w:rPr>
                <w:rFonts w:hint="eastAsia" w:ascii="宋体" w:hAnsi="宋体" w:cs="宋体"/>
                <w:sz w:val="24"/>
              </w:rPr>
              <w:sym w:font="Wingdings 2" w:char="00A3"/>
            </w:r>
            <w:r>
              <w:rPr>
                <w:rFonts w:hint="eastAsia" w:ascii="宋体" w:hAnsi="宋体" w:cs="宋体"/>
                <w:sz w:val="24"/>
              </w:rPr>
              <w:t>超五年重新审核项目</w:t>
            </w:r>
            <w:r>
              <w:rPr>
                <w:rFonts w:ascii="宋体" w:hAnsi="宋体" w:cs="宋体"/>
                <w:sz w:val="24"/>
              </w:rPr>
              <w:t xml:space="preserve">     </w:t>
            </w:r>
          </w:p>
          <w:p>
            <w:pPr>
              <w:jc w:val="left"/>
              <w:rPr>
                <w:rFonts w:ascii="宋体" w:hAnsi="宋体" w:cs="宋体"/>
                <w:sz w:val="24"/>
              </w:rPr>
            </w:pPr>
            <w:r>
              <w:rPr>
                <w:rFonts w:hint="eastAsia" w:ascii="宋体" w:hAnsi="宋体" w:cs="宋体"/>
                <w:sz w:val="24"/>
              </w:rPr>
              <w:t>□重大变动重新报批项目</w:t>
            </w:r>
          </w:p>
        </w:tc>
      </w:tr>
      <w:tr>
        <w:trPr>
          <w:trHeight w:val="23" w:hRule="atLeast"/>
          <w:jc w:val="center"/>
        </w:trPr>
        <w:tc>
          <w:tcPr>
            <w:tcW w:w="1972" w:type="dxa"/>
            <w:tcMar>
              <w:top w:w="16" w:type="dxa"/>
              <w:left w:w="16" w:type="dxa"/>
              <w:right w:w="16" w:type="dxa"/>
            </w:tcMar>
            <w:vAlign w:val="center"/>
          </w:tcPr>
          <w:p>
            <w:pPr>
              <w:spacing w:line="360" w:lineRule="auto"/>
              <w:jc w:val="center"/>
              <w:rPr>
                <w:rFonts w:ascii="宋体" w:hAnsi="宋体" w:cs="宋体"/>
                <w:sz w:val="24"/>
              </w:rPr>
            </w:pPr>
            <w:r>
              <w:rPr>
                <w:rFonts w:hint="eastAsia" w:ascii="宋体" w:hAnsi="宋体" w:cs="宋体"/>
                <w:sz w:val="24"/>
              </w:rPr>
              <w:t>项目审批部门</w:t>
            </w:r>
          </w:p>
        </w:tc>
        <w:tc>
          <w:tcPr>
            <w:tcW w:w="1940" w:type="dxa"/>
            <w:vAlign w:val="center"/>
          </w:tcPr>
          <w:p>
            <w:pPr>
              <w:spacing w:line="360" w:lineRule="auto"/>
              <w:jc w:val="center"/>
              <w:rPr>
                <w:rFonts w:ascii="宋体" w:hAnsi="宋体" w:cs="宋体"/>
                <w:sz w:val="24"/>
              </w:rPr>
            </w:pPr>
            <w:r>
              <w:rPr>
                <w:rFonts w:hint="eastAsia" w:ascii="宋体" w:hAnsi="宋体" w:cs="宋体"/>
                <w:kern w:val="0"/>
                <w:sz w:val="24"/>
              </w:rPr>
              <w:t>无</w:t>
            </w:r>
          </w:p>
        </w:tc>
        <w:tc>
          <w:tcPr>
            <w:tcW w:w="2007" w:type="dxa"/>
            <w:vAlign w:val="center"/>
          </w:tcPr>
          <w:p>
            <w:pPr>
              <w:spacing w:line="360" w:lineRule="auto"/>
              <w:jc w:val="center"/>
              <w:rPr>
                <w:rFonts w:ascii="宋体" w:hAnsi="宋体" w:cs="宋体"/>
                <w:sz w:val="24"/>
              </w:rPr>
            </w:pPr>
            <w:r>
              <w:rPr>
                <w:rFonts w:hint="eastAsia" w:ascii="宋体" w:hAnsi="宋体" w:cs="宋体"/>
                <w:sz w:val="24"/>
              </w:rPr>
              <w:t>项目审批文号</w:t>
            </w:r>
          </w:p>
        </w:tc>
        <w:tc>
          <w:tcPr>
            <w:tcW w:w="3065" w:type="dxa"/>
            <w:vAlign w:val="center"/>
          </w:tcPr>
          <w:p>
            <w:pPr>
              <w:spacing w:line="360" w:lineRule="auto"/>
              <w:jc w:val="center"/>
              <w:rPr>
                <w:rFonts w:ascii="宋体" w:hAnsi="宋体" w:cs="宋体"/>
                <w:sz w:val="24"/>
              </w:rPr>
            </w:pPr>
            <w:r>
              <w:rPr>
                <w:rFonts w:hint="eastAsia" w:ascii="宋体" w:hAnsi="宋体" w:cs="宋体"/>
                <w:kern w:val="0"/>
                <w:sz w:val="24"/>
              </w:rPr>
              <w:t>无</w:t>
            </w:r>
          </w:p>
        </w:tc>
      </w:tr>
      <w:tr>
        <w:trPr>
          <w:trHeight w:val="23" w:hRule="atLeast"/>
          <w:jc w:val="center"/>
        </w:trPr>
        <w:tc>
          <w:tcPr>
            <w:tcW w:w="1972" w:type="dxa"/>
            <w:tcMar>
              <w:top w:w="16" w:type="dxa"/>
              <w:left w:w="16" w:type="dxa"/>
              <w:right w:w="16" w:type="dxa"/>
            </w:tcMar>
            <w:vAlign w:val="center"/>
          </w:tcPr>
          <w:p>
            <w:pPr>
              <w:spacing w:line="360" w:lineRule="auto"/>
              <w:jc w:val="center"/>
              <w:rPr>
                <w:sz w:val="24"/>
              </w:rPr>
            </w:pPr>
            <w:r>
              <w:rPr>
                <w:sz w:val="24"/>
              </w:rPr>
              <w:t>总投资</w:t>
            </w:r>
          </w:p>
        </w:tc>
        <w:tc>
          <w:tcPr>
            <w:tcW w:w="1940" w:type="dxa"/>
            <w:vAlign w:val="center"/>
          </w:tcPr>
          <w:p>
            <w:pPr>
              <w:spacing w:line="360" w:lineRule="auto"/>
              <w:jc w:val="center"/>
              <w:rPr>
                <w:sz w:val="24"/>
              </w:rPr>
            </w:pPr>
            <w:r>
              <w:rPr>
                <w:rFonts w:hint="eastAsia"/>
                <w:sz w:val="24"/>
              </w:rPr>
              <w:t>90</w:t>
            </w:r>
            <w:r>
              <w:rPr>
                <w:sz w:val="24"/>
              </w:rPr>
              <w:t>万元</w:t>
            </w:r>
          </w:p>
        </w:tc>
        <w:tc>
          <w:tcPr>
            <w:tcW w:w="2007" w:type="dxa"/>
            <w:tcMar>
              <w:top w:w="16" w:type="dxa"/>
              <w:left w:w="16" w:type="dxa"/>
              <w:right w:w="16" w:type="dxa"/>
            </w:tcMar>
            <w:vAlign w:val="center"/>
          </w:tcPr>
          <w:p>
            <w:pPr>
              <w:spacing w:line="360" w:lineRule="auto"/>
              <w:jc w:val="center"/>
              <w:rPr>
                <w:sz w:val="24"/>
              </w:rPr>
            </w:pPr>
            <w:r>
              <w:rPr>
                <w:sz w:val="24"/>
              </w:rPr>
              <w:t>环保投资</w:t>
            </w:r>
          </w:p>
        </w:tc>
        <w:tc>
          <w:tcPr>
            <w:tcW w:w="3065" w:type="dxa"/>
            <w:vAlign w:val="center"/>
          </w:tcPr>
          <w:p>
            <w:pPr>
              <w:spacing w:line="360" w:lineRule="auto"/>
              <w:jc w:val="center"/>
              <w:rPr>
                <w:sz w:val="24"/>
              </w:rPr>
            </w:pPr>
            <w:r>
              <w:rPr>
                <w:rFonts w:hint="eastAsia"/>
                <w:sz w:val="24"/>
              </w:rPr>
              <w:t>16</w:t>
            </w:r>
            <w:r>
              <w:rPr>
                <w:sz w:val="24"/>
              </w:rPr>
              <w:t>万元</w:t>
            </w:r>
          </w:p>
        </w:tc>
      </w:tr>
      <w:tr>
        <w:trPr>
          <w:trHeight w:val="23" w:hRule="atLeast"/>
          <w:jc w:val="center"/>
        </w:trPr>
        <w:tc>
          <w:tcPr>
            <w:tcW w:w="1972" w:type="dxa"/>
            <w:tcMar>
              <w:top w:w="16" w:type="dxa"/>
              <w:left w:w="16" w:type="dxa"/>
              <w:right w:w="16" w:type="dxa"/>
            </w:tcMar>
            <w:vAlign w:val="center"/>
          </w:tcPr>
          <w:p>
            <w:pPr>
              <w:spacing w:line="360" w:lineRule="auto"/>
              <w:jc w:val="center"/>
              <w:rPr>
                <w:rFonts w:ascii="宋体" w:hAnsi="宋体" w:cs="宋体"/>
                <w:sz w:val="24"/>
              </w:rPr>
            </w:pPr>
            <w:r>
              <w:rPr>
                <w:rFonts w:hint="eastAsia" w:ascii="宋体" w:hAnsi="宋体" w:cs="宋体"/>
                <w:sz w:val="24"/>
              </w:rPr>
              <w:t>环保投资占比</w:t>
            </w:r>
          </w:p>
        </w:tc>
        <w:tc>
          <w:tcPr>
            <w:tcW w:w="1940" w:type="dxa"/>
            <w:vAlign w:val="center"/>
          </w:tcPr>
          <w:p>
            <w:pPr>
              <w:spacing w:line="360" w:lineRule="auto"/>
              <w:jc w:val="center"/>
              <w:rPr>
                <w:sz w:val="24"/>
              </w:rPr>
            </w:pPr>
            <w:r>
              <w:rPr>
                <w:rFonts w:hint="eastAsia"/>
                <w:sz w:val="24"/>
              </w:rPr>
              <w:t>17.8%</w:t>
            </w:r>
          </w:p>
        </w:tc>
        <w:tc>
          <w:tcPr>
            <w:tcW w:w="2007" w:type="dxa"/>
            <w:tcMar>
              <w:top w:w="16" w:type="dxa"/>
              <w:left w:w="16" w:type="dxa"/>
              <w:right w:w="16" w:type="dxa"/>
            </w:tcMar>
            <w:vAlign w:val="center"/>
          </w:tcPr>
          <w:p>
            <w:pPr>
              <w:spacing w:line="360" w:lineRule="auto"/>
              <w:jc w:val="center"/>
              <w:rPr>
                <w:rFonts w:ascii="宋体" w:hAnsi="宋体" w:cs="宋体"/>
                <w:sz w:val="24"/>
              </w:rPr>
            </w:pPr>
            <w:r>
              <w:rPr>
                <w:rFonts w:hint="eastAsia" w:ascii="宋体" w:hAnsi="宋体" w:cs="宋体"/>
                <w:sz w:val="24"/>
              </w:rPr>
              <w:t>施工工期</w:t>
            </w:r>
          </w:p>
        </w:tc>
        <w:tc>
          <w:tcPr>
            <w:tcW w:w="3065" w:type="dxa"/>
            <w:vAlign w:val="center"/>
          </w:tcPr>
          <w:p>
            <w:pPr>
              <w:spacing w:line="360" w:lineRule="auto"/>
              <w:jc w:val="center"/>
              <w:rPr>
                <w:sz w:val="24"/>
              </w:rPr>
            </w:pPr>
            <w:r>
              <w:rPr>
                <w:rFonts w:hint="eastAsia"/>
                <w:sz w:val="24"/>
              </w:rPr>
              <w:t>1</w:t>
            </w:r>
            <w:r>
              <w:rPr>
                <w:sz w:val="24"/>
              </w:rPr>
              <w:t>个月</w:t>
            </w:r>
          </w:p>
        </w:tc>
      </w:tr>
      <w:tr>
        <w:trPr>
          <w:trHeight w:val="492" w:hRule="atLeast"/>
          <w:jc w:val="center"/>
        </w:trPr>
        <w:tc>
          <w:tcPr>
            <w:tcW w:w="1972" w:type="dxa"/>
            <w:tcMar>
              <w:top w:w="16" w:type="dxa"/>
              <w:left w:w="16" w:type="dxa"/>
              <w:right w:w="16" w:type="dxa"/>
            </w:tcMar>
            <w:vAlign w:val="center"/>
          </w:tcPr>
          <w:p>
            <w:pPr>
              <w:spacing w:line="360" w:lineRule="auto"/>
              <w:jc w:val="center"/>
              <w:rPr>
                <w:rFonts w:ascii="宋体" w:hAnsi="宋体" w:cs="宋体"/>
                <w:sz w:val="24"/>
              </w:rPr>
            </w:pPr>
            <w:r>
              <w:rPr>
                <w:rFonts w:hint="eastAsia" w:ascii="宋体" w:hAnsi="宋体" w:cs="宋体"/>
                <w:sz w:val="24"/>
              </w:rPr>
              <w:t>是否开工建设</w:t>
            </w:r>
          </w:p>
        </w:tc>
        <w:tc>
          <w:tcPr>
            <w:tcW w:w="1940" w:type="dxa"/>
            <w:vAlign w:val="center"/>
          </w:tcPr>
          <w:p>
            <w:pPr>
              <w:jc w:val="left"/>
              <w:rPr>
                <w:rFonts w:ascii="宋体" w:hAnsi="宋体" w:cs="宋体"/>
                <w:sz w:val="24"/>
              </w:rPr>
            </w:pPr>
            <w:r>
              <w:rPr>
                <w:rFonts w:hint="eastAsia" w:ascii="宋体" w:hAnsi="宋体" w:cs="宋体"/>
                <w:sz w:val="24"/>
              </w:rPr>
              <w:sym w:font="Wingdings 2" w:char="0052"/>
            </w:r>
            <w:r>
              <w:rPr>
                <w:rFonts w:hint="eastAsia" w:ascii="宋体" w:hAnsi="宋体" w:cs="宋体"/>
                <w:sz w:val="24"/>
              </w:rPr>
              <w:t>否</w:t>
            </w:r>
          </w:p>
          <w:p>
            <w:pPr>
              <w:jc w:val="left"/>
              <w:rPr>
                <w:rFonts w:ascii="宋体" w:hAnsi="宋体" w:cs="宋体"/>
                <w:sz w:val="24"/>
              </w:rPr>
            </w:pPr>
            <w:r>
              <w:rPr>
                <w:rFonts w:hint="eastAsia" w:ascii="宋体" w:hAnsi="宋体" w:cs="宋体"/>
                <w:sz w:val="24"/>
              </w:rPr>
              <w:sym w:font="Wingdings 2" w:char="00A3"/>
            </w:r>
            <w:r>
              <w:rPr>
                <w:rFonts w:hint="eastAsia" w:ascii="宋体" w:hAnsi="宋体" w:cs="宋体"/>
                <w:sz w:val="24"/>
              </w:rPr>
              <w:t xml:space="preserve">是：            </w:t>
            </w:r>
          </w:p>
        </w:tc>
        <w:tc>
          <w:tcPr>
            <w:tcW w:w="2007" w:type="dxa"/>
            <w:tcMar>
              <w:top w:w="16" w:type="dxa"/>
              <w:left w:w="16" w:type="dxa"/>
              <w:right w:w="16" w:type="dxa"/>
            </w:tcMar>
            <w:vAlign w:val="center"/>
          </w:tcPr>
          <w:p>
            <w:pPr>
              <w:spacing w:line="360" w:lineRule="auto"/>
              <w:jc w:val="center"/>
              <w:rPr>
                <w:rFonts w:ascii="宋体" w:hAnsi="宋体" w:cs="宋体"/>
                <w:sz w:val="24"/>
              </w:rPr>
            </w:pPr>
            <w:r>
              <w:rPr>
                <w:rFonts w:hint="eastAsia" w:ascii="宋体" w:hAnsi="宋体" w:cs="宋体"/>
                <w:spacing w:val="-6"/>
                <w:sz w:val="24"/>
              </w:rPr>
              <w:t>用地面积</w:t>
            </w:r>
          </w:p>
        </w:tc>
        <w:tc>
          <w:tcPr>
            <w:tcW w:w="3065" w:type="dxa"/>
            <w:vAlign w:val="center"/>
          </w:tcPr>
          <w:p>
            <w:pPr>
              <w:spacing w:line="360" w:lineRule="auto"/>
              <w:jc w:val="center"/>
              <w:rPr>
                <w:sz w:val="24"/>
              </w:rPr>
            </w:pPr>
            <w:r>
              <w:rPr>
                <w:rFonts w:hint="eastAsia"/>
                <w:spacing w:val="-6"/>
                <w:sz w:val="24"/>
              </w:rPr>
              <w:t>4824</w:t>
            </w:r>
            <w:r>
              <w:rPr>
                <w:spacing w:val="-6"/>
                <w:sz w:val="24"/>
              </w:rPr>
              <w:t>m</w:t>
            </w:r>
            <w:r>
              <w:rPr>
                <w:spacing w:val="-6"/>
                <w:sz w:val="24"/>
                <w:vertAlign w:val="superscript"/>
              </w:rPr>
              <w:t>2</w:t>
            </w:r>
          </w:p>
        </w:tc>
      </w:tr>
      <w:tr>
        <w:tblPrEx>
          <w:tblLayout w:type="fixed"/>
          <w:tblCellMar>
            <w:left w:w="108" w:type="dxa"/>
            <w:right w:w="108" w:type="dxa"/>
          </w:tblCellMar>
        </w:tblPrEx>
        <w:trPr>
          <w:trHeight w:val="23" w:hRule="atLeast"/>
          <w:jc w:val="center"/>
        </w:trPr>
        <w:tc>
          <w:tcPr>
            <w:tcW w:w="1972" w:type="dxa"/>
            <w:vAlign w:val="center"/>
          </w:tcPr>
          <w:p>
            <w:pPr>
              <w:spacing w:line="360" w:lineRule="auto"/>
              <w:jc w:val="center"/>
              <w:rPr>
                <w:rFonts w:ascii="宋体" w:hAnsi="宋体" w:cs="宋体"/>
                <w:kern w:val="0"/>
                <w:sz w:val="24"/>
              </w:rPr>
            </w:pPr>
            <w:r>
              <w:rPr>
                <w:rFonts w:hint="eastAsia" w:ascii="宋体" w:hAnsi="宋体" w:cs="宋体"/>
                <w:kern w:val="0"/>
                <w:sz w:val="24"/>
              </w:rPr>
              <w:t>专项评价设置情况</w:t>
            </w:r>
          </w:p>
        </w:tc>
        <w:tc>
          <w:tcPr>
            <w:tcW w:w="7012" w:type="dxa"/>
            <w:gridSpan w:val="3"/>
            <w:vAlign w:val="center"/>
          </w:tcPr>
          <w:p>
            <w:pPr>
              <w:spacing w:line="360" w:lineRule="auto"/>
              <w:jc w:val="left"/>
              <w:rPr>
                <w:rFonts w:ascii="宋体" w:hAnsi="宋体" w:cs="宋体"/>
                <w:kern w:val="0"/>
                <w:sz w:val="24"/>
              </w:rPr>
            </w:pPr>
            <w:r>
              <w:rPr>
                <w:rFonts w:hint="eastAsia" w:ascii="宋体" w:hAnsi="宋体" w:cs="宋体"/>
                <w:kern w:val="0"/>
                <w:sz w:val="24"/>
              </w:rPr>
              <w:t>根据专项评价设置原则，</w:t>
            </w:r>
            <w:r>
              <w:rPr>
                <w:rFonts w:ascii="宋体" w:hAnsi="宋体" w:cs="宋体"/>
                <w:kern w:val="0"/>
                <w:sz w:val="24"/>
              </w:rPr>
              <w:t>排放废气含有毒有害污染物、二噁英、苯并[a]芘、氰化物、氯气且厂界外 500 米范围内有环境空气保护目标的建设项目</w:t>
            </w:r>
            <w:r>
              <w:rPr>
                <w:rFonts w:hint="eastAsia" w:ascii="宋体" w:hAnsi="宋体" w:cs="宋体"/>
                <w:kern w:val="0"/>
                <w:sz w:val="24"/>
              </w:rPr>
              <w:t>，需要进行大气专项评价。本项目</w:t>
            </w:r>
            <w:r>
              <w:rPr>
                <w:rFonts w:ascii="宋体" w:hAnsi="宋体" w:cs="宋体"/>
                <w:kern w:val="0"/>
                <w:sz w:val="24"/>
              </w:rPr>
              <w:t>排放</w:t>
            </w:r>
            <w:r>
              <w:rPr>
                <w:rFonts w:hint="eastAsia" w:ascii="宋体" w:hAnsi="宋体" w:cs="宋体"/>
                <w:kern w:val="0"/>
                <w:sz w:val="24"/>
              </w:rPr>
              <w:t>废气</w:t>
            </w:r>
            <w:r>
              <w:rPr>
                <w:rFonts w:ascii="宋体" w:hAnsi="宋体" w:cs="宋体"/>
                <w:kern w:val="0"/>
                <w:sz w:val="24"/>
              </w:rPr>
              <w:t>污染物</w:t>
            </w:r>
            <w:r>
              <w:rPr>
                <w:rFonts w:hint="eastAsia" w:ascii="宋体" w:hAnsi="宋体" w:cs="宋体"/>
                <w:kern w:val="0"/>
                <w:sz w:val="24"/>
              </w:rPr>
              <w:t>为</w:t>
            </w:r>
            <w:r>
              <w:rPr>
                <w:rFonts w:ascii="宋体" w:hAnsi="宋体" w:cs="宋体"/>
                <w:kern w:val="0"/>
                <w:sz w:val="24"/>
              </w:rPr>
              <w:t>颗粒物、非甲烷总烃</w:t>
            </w:r>
            <w:r>
              <w:rPr>
                <w:rFonts w:hint="eastAsia" w:ascii="宋体" w:hAnsi="宋体" w:cs="宋体"/>
                <w:kern w:val="0"/>
                <w:sz w:val="24"/>
              </w:rPr>
              <w:t>及</w:t>
            </w:r>
            <w:r>
              <w:rPr>
                <w:rFonts w:ascii="宋体" w:hAnsi="宋体" w:cs="宋体"/>
                <w:kern w:val="0"/>
                <w:sz w:val="24"/>
              </w:rPr>
              <w:t>硫酸雾</w:t>
            </w:r>
            <w:r>
              <w:rPr>
                <w:rFonts w:hint="eastAsia" w:ascii="宋体" w:hAnsi="宋体" w:cs="宋体"/>
                <w:kern w:val="0"/>
                <w:sz w:val="24"/>
              </w:rPr>
              <w:t>。</w:t>
            </w:r>
            <w:r>
              <w:rPr>
                <w:rFonts w:ascii="宋体" w:hAnsi="宋体" w:cs="宋体"/>
                <w:kern w:val="0"/>
                <w:sz w:val="24"/>
              </w:rPr>
              <w:t>拆卸后的</w:t>
            </w:r>
            <w:r>
              <w:rPr>
                <w:rFonts w:hint="eastAsia" w:ascii="宋体" w:hAnsi="宋体" w:cs="宋体"/>
                <w:kern w:val="0"/>
                <w:sz w:val="24"/>
              </w:rPr>
              <w:t>废</w:t>
            </w:r>
            <w:r>
              <w:rPr>
                <w:rFonts w:ascii="宋体" w:hAnsi="宋体" w:cs="宋体"/>
                <w:kern w:val="0"/>
                <w:sz w:val="24"/>
              </w:rPr>
              <w:t>蓄电池保持原厂密封状态，无破损</w:t>
            </w:r>
            <w:r>
              <w:rPr>
                <w:rFonts w:hint="eastAsia" w:ascii="宋体" w:hAnsi="宋体" w:cs="宋体"/>
                <w:kern w:val="0"/>
                <w:sz w:val="24"/>
              </w:rPr>
              <w:t>，拆解工艺不涉及蓄电池破碎切割、极板分离等作业，不涉及炼铅等深加工工序。废蓄电池及时运出厂外，不在厂区内长时间堆存。</w:t>
            </w:r>
            <w:r>
              <w:rPr>
                <w:rFonts w:ascii="宋体" w:hAnsi="宋体" w:cs="宋体"/>
                <w:kern w:val="0"/>
                <w:sz w:val="24"/>
              </w:rPr>
              <w:t>铅存在于密闭</w:t>
            </w:r>
            <w:r>
              <w:rPr>
                <w:rFonts w:hint="eastAsia" w:ascii="宋体" w:hAnsi="宋体" w:cs="宋体"/>
                <w:kern w:val="0"/>
                <w:sz w:val="24"/>
              </w:rPr>
              <w:t>铅蓄</w:t>
            </w:r>
            <w:r>
              <w:rPr>
                <w:rFonts w:ascii="宋体" w:hAnsi="宋体" w:cs="宋体"/>
                <w:kern w:val="0"/>
                <w:sz w:val="24"/>
              </w:rPr>
              <w:t>电池</w:t>
            </w:r>
            <w:r>
              <w:rPr>
                <w:rFonts w:hint="eastAsia" w:ascii="宋体" w:hAnsi="宋体" w:cs="宋体"/>
                <w:kern w:val="0"/>
                <w:sz w:val="24"/>
              </w:rPr>
              <w:t>正负极</w:t>
            </w:r>
            <w:r>
              <w:rPr>
                <w:rFonts w:ascii="宋体" w:hAnsi="宋体" w:cs="宋体"/>
                <w:kern w:val="0"/>
                <w:sz w:val="24"/>
              </w:rPr>
              <w:t>固相中，</w:t>
            </w:r>
          </w:p>
          <w:p>
            <w:pPr>
              <w:spacing w:line="360" w:lineRule="auto"/>
              <w:jc w:val="left"/>
              <w:rPr>
                <w:rFonts w:ascii="宋体" w:hAnsi="宋体" w:cs="宋体"/>
                <w:kern w:val="0"/>
                <w:sz w:val="24"/>
                <w:u w:val="single"/>
              </w:rPr>
            </w:pPr>
            <w:r>
              <w:rPr>
                <w:rFonts w:hint="eastAsia" w:ascii="宋体" w:hAnsi="宋体" w:cs="宋体"/>
                <w:kern w:val="0"/>
                <w:sz w:val="24"/>
              </w:rPr>
              <w:t>，</w:t>
            </w:r>
            <w:r>
              <w:rPr>
                <w:rFonts w:ascii="宋体" w:hAnsi="宋体" w:cs="宋体"/>
                <w:kern w:val="0"/>
                <w:sz w:val="24"/>
              </w:rPr>
              <w:t>仅当壳体发生意外破损、内部极板相互摩擦时，才可能产生极微量铅尘，该情形属于小概率非正常工况，不属于项目正常排放的污染物。</w:t>
            </w:r>
            <w:r>
              <w:rPr>
                <w:rFonts w:hint="eastAsia" w:ascii="宋体" w:hAnsi="宋体" w:cs="宋体"/>
                <w:kern w:val="0"/>
                <w:sz w:val="24"/>
              </w:rPr>
              <w:t>本项目</w:t>
            </w:r>
            <w:r>
              <w:rPr>
                <w:rFonts w:ascii="宋体" w:hAnsi="宋体" w:cs="宋体"/>
                <w:kern w:val="0"/>
                <w:sz w:val="24"/>
              </w:rPr>
              <w:t>废蓄电池暂存周期短、及时转运出厂</w:t>
            </w:r>
            <w:r>
              <w:rPr>
                <w:rFonts w:hint="eastAsia" w:ascii="宋体" w:hAnsi="宋体" w:cs="宋体"/>
                <w:kern w:val="0"/>
                <w:sz w:val="24"/>
              </w:rPr>
              <w:t>，并</w:t>
            </w:r>
            <w:r>
              <w:rPr>
                <w:rFonts w:ascii="宋体" w:hAnsi="宋体" w:cs="宋体"/>
                <w:kern w:val="0"/>
                <w:sz w:val="24"/>
              </w:rPr>
              <w:t>配套仓储巡检、破损防控等制度，该风险可得到有效管控。</w:t>
            </w:r>
            <w:r>
              <w:rPr>
                <w:rFonts w:hint="eastAsia" w:ascii="宋体" w:hAnsi="宋体" w:cs="宋体"/>
                <w:kern w:val="0"/>
                <w:sz w:val="24"/>
              </w:rPr>
              <w:t>综上，本项目不排放铅及化合物等有毒有害污染物，不进行大气专项评价。</w:t>
            </w:r>
          </w:p>
        </w:tc>
      </w:tr>
      <w:tr>
        <w:tblPrEx>
          <w:tblLayout w:type="fixed"/>
          <w:tblCellMar>
            <w:left w:w="108" w:type="dxa"/>
            <w:right w:w="108" w:type="dxa"/>
          </w:tblCellMar>
        </w:tblPrEx>
        <w:trPr>
          <w:trHeight w:val="23" w:hRule="atLeast"/>
          <w:jc w:val="center"/>
        </w:trPr>
        <w:tc>
          <w:tcPr>
            <w:tcW w:w="1972" w:type="dxa"/>
            <w:vAlign w:val="center"/>
          </w:tcPr>
          <w:p>
            <w:pPr>
              <w:spacing w:line="360" w:lineRule="auto"/>
              <w:jc w:val="center"/>
              <w:rPr>
                <w:kern w:val="0"/>
                <w:sz w:val="24"/>
              </w:rPr>
            </w:pPr>
            <w:r>
              <w:rPr>
                <w:kern w:val="0"/>
                <w:sz w:val="24"/>
              </w:rPr>
              <w:t>规划情况</w:t>
            </w:r>
          </w:p>
        </w:tc>
        <w:tc>
          <w:tcPr>
            <w:tcW w:w="7012" w:type="dxa"/>
            <w:gridSpan w:val="3"/>
            <w:vAlign w:val="top"/>
          </w:tcPr>
          <w:p>
            <w:pPr>
              <w:spacing w:line="360" w:lineRule="auto"/>
              <w:jc w:val="center"/>
              <w:rPr>
                <w:kern w:val="0"/>
                <w:sz w:val="24"/>
              </w:rPr>
            </w:pPr>
            <w:r>
              <w:rPr>
                <w:rFonts w:hint="eastAsia"/>
                <w:kern w:val="0"/>
                <w:sz w:val="24"/>
              </w:rPr>
              <w:t>无</w:t>
            </w:r>
          </w:p>
        </w:tc>
      </w:tr>
      <w:tr>
        <w:tblPrEx>
          <w:tblLayout w:type="fixed"/>
          <w:tblCellMar>
            <w:left w:w="108" w:type="dxa"/>
            <w:right w:w="108" w:type="dxa"/>
          </w:tblCellMar>
        </w:tblPrEx>
        <w:trPr>
          <w:trHeight w:val="90" w:hRule="atLeast"/>
          <w:jc w:val="center"/>
        </w:trPr>
        <w:tc>
          <w:tcPr>
            <w:tcW w:w="1972" w:type="dxa"/>
            <w:vAlign w:val="center"/>
          </w:tcPr>
          <w:p>
            <w:pPr>
              <w:jc w:val="center"/>
              <w:rPr>
                <w:rFonts w:ascii="宋体" w:hAnsi="宋体" w:cs="宋体"/>
                <w:kern w:val="0"/>
                <w:sz w:val="24"/>
              </w:rPr>
            </w:pPr>
            <w:r>
              <w:rPr>
                <w:rFonts w:hint="eastAsia" w:ascii="宋体" w:hAnsi="宋体" w:cs="宋体"/>
                <w:kern w:val="0"/>
                <w:sz w:val="24"/>
              </w:rPr>
              <w:t>规划环境影响评价情况</w:t>
            </w:r>
          </w:p>
        </w:tc>
        <w:tc>
          <w:tcPr>
            <w:tcW w:w="7012" w:type="dxa"/>
            <w:gridSpan w:val="3"/>
            <w:vAlign w:val="top"/>
          </w:tcPr>
          <w:p>
            <w:pPr>
              <w:spacing w:line="400" w:lineRule="exact"/>
              <w:jc w:val="center"/>
              <w:rPr>
                <w:kern w:val="0"/>
                <w:sz w:val="24"/>
              </w:rPr>
            </w:pPr>
            <w:r>
              <w:rPr>
                <w:rFonts w:hint="eastAsia"/>
                <w:kern w:val="0"/>
                <w:sz w:val="24"/>
              </w:rPr>
              <w:t>无</w:t>
            </w:r>
          </w:p>
        </w:tc>
      </w:tr>
      <w:tr>
        <w:tblPrEx>
          <w:tblLayout w:type="fixed"/>
          <w:tblCellMar>
            <w:left w:w="108" w:type="dxa"/>
            <w:right w:w="108" w:type="dxa"/>
          </w:tblCellMar>
        </w:tblPrEx>
        <w:trPr>
          <w:trHeight w:val="23" w:hRule="atLeast"/>
          <w:jc w:val="center"/>
        </w:trPr>
        <w:tc>
          <w:tcPr>
            <w:tcW w:w="1972" w:type="dxa"/>
            <w:vAlign w:val="center"/>
          </w:tcPr>
          <w:p>
            <w:pPr>
              <w:jc w:val="center"/>
              <w:rPr>
                <w:rFonts w:ascii="宋体" w:hAnsi="宋体" w:cs="宋体"/>
                <w:kern w:val="0"/>
                <w:sz w:val="24"/>
              </w:rPr>
            </w:pPr>
            <w:bookmarkStart w:id="2" w:name="OLE_LINK6"/>
            <w:r>
              <w:rPr>
                <w:rFonts w:hint="eastAsia" w:ascii="宋体" w:hAnsi="宋体" w:cs="宋体"/>
                <w:kern w:val="0"/>
                <w:sz w:val="24"/>
              </w:rPr>
              <w:t>规划及规划环境影响评价符合性分析</w:t>
            </w:r>
          </w:p>
        </w:tc>
        <w:tc>
          <w:tcPr>
            <w:tcW w:w="7012" w:type="dxa"/>
            <w:gridSpan w:val="3"/>
            <w:vAlign w:val="top"/>
          </w:tcPr>
          <w:p>
            <w:pPr>
              <w:widowControl/>
              <w:spacing w:line="360" w:lineRule="auto"/>
              <w:jc w:val="center"/>
              <w:rPr>
                <w:kern w:val="0"/>
                <w:sz w:val="24"/>
              </w:rPr>
            </w:pPr>
            <w:r>
              <w:rPr>
                <w:rFonts w:hint="eastAsia"/>
                <w:kern w:val="0"/>
                <w:sz w:val="24"/>
              </w:rPr>
              <w:t>无</w:t>
            </w:r>
          </w:p>
        </w:tc>
      </w:tr>
      <w:bookmarkEnd w:id="2"/>
      <w:tr>
        <w:tblPrEx>
          <w:tblLayout w:type="fixed"/>
          <w:tblCellMar>
            <w:left w:w="108" w:type="dxa"/>
            <w:right w:w="108" w:type="dxa"/>
          </w:tblCellMar>
        </w:tblPrEx>
        <w:trPr>
          <w:trHeight w:val="23" w:hRule="atLeast"/>
          <w:jc w:val="center"/>
        </w:trPr>
        <w:tc>
          <w:tcPr>
            <w:tcW w:w="1972" w:type="dxa"/>
            <w:vAlign w:val="center"/>
          </w:tcPr>
          <w:p>
            <w:pPr>
              <w:spacing w:line="360" w:lineRule="auto"/>
              <w:jc w:val="center"/>
              <w:rPr>
                <w:kern w:val="0"/>
                <w:sz w:val="24"/>
              </w:rPr>
            </w:pPr>
            <w:r>
              <w:rPr>
                <w:kern w:val="0"/>
                <w:sz w:val="24"/>
              </w:rPr>
              <w:t>其他符合性分析</w:t>
            </w:r>
          </w:p>
        </w:tc>
        <w:tc>
          <w:tcPr>
            <w:tcW w:w="7012" w:type="dxa"/>
            <w:gridSpan w:val="3"/>
            <w:vAlign w:val="top"/>
          </w:tcPr>
          <w:p>
            <w:pPr>
              <w:autoSpaceDE w:val="0"/>
              <w:autoSpaceDN w:val="0"/>
              <w:spacing w:line="360" w:lineRule="auto"/>
              <w:ind w:firstLine="482" w:firstLineChars="200"/>
              <w:rPr>
                <w:b/>
                <w:bCs/>
                <w:sz w:val="24"/>
              </w:rPr>
            </w:pPr>
            <w:r>
              <w:rPr>
                <w:rFonts w:hint="eastAsia"/>
                <w:b/>
                <w:bCs/>
                <w:sz w:val="24"/>
              </w:rPr>
              <w:t>1、</w:t>
            </w:r>
            <w:r>
              <w:rPr>
                <w:b/>
                <w:bCs/>
                <w:sz w:val="24"/>
              </w:rPr>
              <w:t>产业政策符合性分析</w:t>
            </w:r>
          </w:p>
          <w:p>
            <w:pPr>
              <w:autoSpaceDE w:val="0"/>
              <w:autoSpaceDN w:val="0"/>
              <w:spacing w:line="360" w:lineRule="auto"/>
              <w:ind w:firstLine="480" w:firstLineChars="200"/>
              <w:rPr>
                <w:rFonts w:ascii="宋体" w:hAnsi="宋体" w:cs="宋体"/>
                <w:sz w:val="24"/>
              </w:rPr>
            </w:pPr>
            <w:r>
              <w:rPr>
                <w:rFonts w:hint="eastAsia" w:ascii="宋体" w:hAnsi="宋体" w:cs="宋体"/>
                <w:sz w:val="24"/>
              </w:rPr>
              <w:t>本项目为报废农机拆解项目，根据</w:t>
            </w:r>
            <w:r>
              <w:rPr>
                <w:rFonts w:hint="eastAsia"/>
                <w:sz w:val="24"/>
              </w:rPr>
              <w:t>中华人民共和国国家发展和改革委员会第29号</w:t>
            </w:r>
            <w:r>
              <w:rPr>
                <w:rFonts w:hint="eastAsia" w:ascii="宋体" w:hAnsi="宋体" w:cs="宋体"/>
                <w:sz w:val="24"/>
              </w:rPr>
              <w:t>令《产业结构调整指导目录（2024 年本）》，本项目属于其中鼓励类中 “四十二、环境保护与资源节约综合利用”，为鼓励类项目，因此，本项目符合国家产业政策要求。</w:t>
            </w:r>
          </w:p>
          <w:p>
            <w:pPr>
              <w:autoSpaceDE w:val="0"/>
              <w:autoSpaceDN w:val="0"/>
              <w:spacing w:line="360" w:lineRule="auto"/>
              <w:ind w:firstLine="482" w:firstLineChars="200"/>
              <w:rPr>
                <w:i/>
                <w:iCs/>
                <w:sz w:val="24"/>
                <w:u w:val="single"/>
              </w:rPr>
            </w:pPr>
            <w:r>
              <w:rPr>
                <w:rFonts w:hint="eastAsia"/>
                <w:b/>
                <w:bCs/>
                <w:i/>
                <w:iCs/>
                <w:sz w:val="24"/>
                <w:u w:val="single"/>
              </w:rPr>
              <w:t>2、</w:t>
            </w:r>
            <w:r>
              <w:rPr>
                <w:b/>
                <w:bCs/>
                <w:i/>
                <w:iCs/>
                <w:sz w:val="24"/>
                <w:u w:val="single"/>
              </w:rPr>
              <w:t>选址</w:t>
            </w:r>
            <w:r>
              <w:rPr>
                <w:rFonts w:hint="eastAsia"/>
                <w:b/>
                <w:bCs/>
                <w:i/>
                <w:iCs/>
                <w:sz w:val="24"/>
                <w:u w:val="single"/>
              </w:rPr>
              <w:t>合理性</w:t>
            </w:r>
            <w:r>
              <w:rPr>
                <w:b/>
                <w:bCs/>
                <w:i/>
                <w:iCs/>
                <w:sz w:val="24"/>
                <w:u w:val="single"/>
              </w:rPr>
              <w:t>分析</w:t>
            </w:r>
            <w:r>
              <w:rPr>
                <w:i/>
                <w:iCs/>
                <w:sz w:val="24"/>
                <w:u w:val="single"/>
              </w:rPr>
              <w:t xml:space="preserve"> </w:t>
            </w:r>
          </w:p>
          <w:p>
            <w:pPr>
              <w:widowControl/>
              <w:spacing w:line="360" w:lineRule="auto"/>
              <w:ind w:firstLine="480" w:firstLineChars="200"/>
              <w:rPr>
                <w:i/>
                <w:iCs/>
                <w:sz w:val="24"/>
                <w:u w:val="single"/>
              </w:rPr>
            </w:pPr>
            <w:r>
              <w:rPr>
                <w:rFonts w:hint="eastAsia"/>
                <w:i/>
                <w:iCs/>
                <w:sz w:val="24"/>
                <w:u w:val="single"/>
              </w:rPr>
              <w:t>本项目位于柳河县柳河镇河北村，租赁</w:t>
            </w:r>
            <w:bookmarkStart w:id="3" w:name="OLE_LINK5"/>
            <w:r>
              <w:rPr>
                <w:rFonts w:hint="eastAsia"/>
                <w:i/>
                <w:iCs/>
                <w:sz w:val="24"/>
                <w:u w:val="single"/>
              </w:rPr>
              <w:t>柳河县铸城建材有限公司闲置厂房</w:t>
            </w:r>
            <w:bookmarkEnd w:id="3"/>
            <w:r>
              <w:rPr>
                <w:rFonts w:hint="eastAsia"/>
                <w:i/>
                <w:iCs/>
                <w:sz w:val="24"/>
                <w:u w:val="single"/>
              </w:rPr>
              <w:t>进行建设，用地性质为工业用地。本项目选址符合区域空间布局规划，报废农机拆解属于金属废料和碎屑加工处理行业，</w:t>
            </w:r>
            <w:r>
              <w:rPr>
                <w:i/>
                <w:iCs/>
                <w:sz w:val="24"/>
                <w:u w:val="single"/>
              </w:rPr>
              <w:t>作为农业产业链配套的资源循环利用项目，与</w:t>
            </w:r>
            <w:r>
              <w:rPr>
                <w:rFonts w:hint="eastAsia"/>
                <w:i/>
                <w:iCs/>
                <w:sz w:val="24"/>
                <w:u w:val="single"/>
              </w:rPr>
              <w:t>当地</w:t>
            </w:r>
            <w:r>
              <w:rPr>
                <w:i/>
                <w:iCs/>
                <w:sz w:val="24"/>
                <w:u w:val="single"/>
              </w:rPr>
              <w:t>发展思路及县域工作导向高度契合，</w:t>
            </w:r>
            <w:r>
              <w:rPr>
                <w:rFonts w:hint="eastAsia"/>
                <w:i/>
                <w:iCs/>
                <w:sz w:val="24"/>
                <w:u w:val="single"/>
              </w:rPr>
              <w:t>本项目</w:t>
            </w:r>
            <w:r>
              <w:rPr>
                <w:i/>
                <w:iCs/>
                <w:sz w:val="24"/>
                <w:u w:val="single"/>
              </w:rPr>
              <w:t>选址</w:t>
            </w:r>
            <w:r>
              <w:rPr>
                <w:rFonts w:hint="eastAsia"/>
                <w:i/>
                <w:iCs/>
                <w:sz w:val="24"/>
                <w:u w:val="single"/>
              </w:rPr>
              <w:t>利用现有工业用地，</w:t>
            </w:r>
            <w:r>
              <w:rPr>
                <w:i/>
                <w:iCs/>
                <w:sz w:val="24"/>
                <w:u w:val="single"/>
              </w:rPr>
              <w:t>周边均为工业</w:t>
            </w:r>
            <w:r>
              <w:rPr>
                <w:rFonts w:hint="eastAsia"/>
                <w:i/>
                <w:iCs/>
                <w:sz w:val="24"/>
                <w:u w:val="single"/>
              </w:rPr>
              <w:t>企业</w:t>
            </w:r>
            <w:r>
              <w:rPr>
                <w:i/>
                <w:iCs/>
                <w:sz w:val="24"/>
                <w:u w:val="single"/>
              </w:rPr>
              <w:t>，</w:t>
            </w:r>
            <w:r>
              <w:rPr>
                <w:rFonts w:hint="eastAsia"/>
                <w:i/>
                <w:iCs/>
                <w:sz w:val="24"/>
                <w:u w:val="single"/>
              </w:rPr>
              <w:t>距离人居环境敏感区域最近距离约330m。</w:t>
            </w:r>
            <w:r>
              <w:rPr>
                <w:i/>
                <w:iCs/>
                <w:sz w:val="24"/>
                <w:u w:val="single"/>
              </w:rPr>
              <w:t>区域大气扩散条件良好</w:t>
            </w:r>
            <w:r>
              <w:rPr>
                <w:rFonts w:hint="eastAsia"/>
                <w:i/>
                <w:iCs/>
                <w:sz w:val="24"/>
                <w:u w:val="single"/>
              </w:rPr>
              <w:t>，声环境、</w:t>
            </w:r>
            <w:r>
              <w:rPr>
                <w:i/>
                <w:iCs/>
                <w:sz w:val="24"/>
                <w:u w:val="single"/>
              </w:rPr>
              <w:t>土壤及地下水环境质量良好，项目通过完善的环保措施可实现废气、噪声等污染物达标排放，有效防范土壤及地下水污染风险，污染影响可控且区域环境承载力可满足项目需求</w:t>
            </w:r>
            <w:r>
              <w:rPr>
                <w:rFonts w:hint="eastAsia"/>
                <w:i/>
                <w:iCs/>
                <w:sz w:val="24"/>
                <w:u w:val="single"/>
              </w:rPr>
              <w:t>。</w:t>
            </w:r>
            <w:r>
              <w:rPr>
                <w:i/>
                <w:iCs/>
                <w:sz w:val="24"/>
                <w:u w:val="single"/>
              </w:rPr>
              <w:t>综上，本项目选址符合国家及地方环保法律法规、</w:t>
            </w:r>
            <w:r>
              <w:rPr>
                <w:rFonts w:hint="eastAsia"/>
                <w:i/>
                <w:iCs/>
                <w:sz w:val="24"/>
                <w:u w:val="single"/>
              </w:rPr>
              <w:t>区域</w:t>
            </w:r>
            <w:r>
              <w:rPr>
                <w:i/>
                <w:iCs/>
                <w:sz w:val="24"/>
                <w:u w:val="single"/>
              </w:rPr>
              <w:t>规划及产业政策要求，</w:t>
            </w:r>
            <w:r>
              <w:rPr>
                <w:rFonts w:hint="eastAsia"/>
                <w:i/>
                <w:iCs/>
                <w:sz w:val="24"/>
                <w:u w:val="single"/>
              </w:rPr>
              <w:t>生产布局</w:t>
            </w:r>
            <w:r>
              <w:rPr>
                <w:i/>
                <w:iCs/>
                <w:sz w:val="24"/>
                <w:u w:val="single"/>
              </w:rPr>
              <w:t>科学合理、环境风险可控，从环境角度分析选址可行。</w:t>
            </w:r>
          </w:p>
          <w:p>
            <w:pPr>
              <w:autoSpaceDE w:val="0"/>
              <w:autoSpaceDN w:val="0"/>
              <w:spacing w:line="360" w:lineRule="auto"/>
              <w:ind w:firstLine="482" w:firstLineChars="200"/>
              <w:rPr>
                <w:b/>
                <w:bCs/>
                <w:i/>
                <w:iCs/>
                <w:sz w:val="24"/>
                <w:u w:val="single"/>
              </w:rPr>
            </w:pPr>
            <w:r>
              <w:rPr>
                <w:rFonts w:hint="eastAsia"/>
                <w:b/>
                <w:bCs/>
                <w:i/>
                <w:iCs/>
                <w:sz w:val="24"/>
                <w:u w:val="single"/>
              </w:rPr>
              <w:t>3、外环境与本项目的相容性</w:t>
            </w:r>
          </w:p>
          <w:p>
            <w:pPr>
              <w:adjustRightInd w:val="0"/>
              <w:snapToGrid w:val="0"/>
              <w:spacing w:line="360" w:lineRule="auto"/>
              <w:ind w:firstLine="480" w:firstLineChars="200"/>
              <w:jc w:val="left"/>
              <w:rPr>
                <w:rFonts w:hAnsi="宋体"/>
                <w:i/>
                <w:iCs/>
                <w:sz w:val="24"/>
                <w:u w:val="single"/>
              </w:rPr>
            </w:pPr>
            <w:r>
              <w:rPr>
                <w:rFonts w:hint="eastAsia"/>
                <w:bCs/>
                <w:i/>
                <w:iCs/>
                <w:sz w:val="24"/>
                <w:u w:val="single"/>
              </w:rPr>
              <w:t>本项目位于</w:t>
            </w:r>
            <w:r>
              <w:rPr>
                <w:rFonts w:hint="eastAsia"/>
                <w:i/>
                <w:iCs/>
                <w:sz w:val="24"/>
                <w:u w:val="single"/>
              </w:rPr>
              <w:t>通化市柳河县柳河镇河北村</w:t>
            </w:r>
            <w:r>
              <w:rPr>
                <w:rFonts w:hint="eastAsia"/>
                <w:bCs/>
                <w:i/>
                <w:iCs/>
                <w:sz w:val="24"/>
                <w:u w:val="single"/>
              </w:rPr>
              <w:t>，西侧为</w:t>
            </w:r>
            <w:r>
              <w:rPr>
                <w:rFonts w:hint="eastAsia" w:ascii="宋体" w:hAnsi="宋体" w:cs="宋体"/>
                <w:i/>
                <w:iCs/>
                <w:sz w:val="24"/>
                <w:u w:val="single"/>
              </w:rPr>
              <w:t>龙兴彩印包装有限公司</w:t>
            </w:r>
            <w:r>
              <w:rPr>
                <w:rFonts w:hint="eastAsia"/>
                <w:bCs/>
                <w:i/>
                <w:iCs/>
                <w:sz w:val="24"/>
                <w:u w:val="single"/>
              </w:rPr>
              <w:t>，东侧为中德农研鲜食玉米厂（已停产多年，厂区内生产设备已拆除），南侧为恩海门窗厂，北侧隔柳西线为闲置厂房。最近敏感点为东侧330m河北村。</w:t>
            </w:r>
            <w:r>
              <w:rPr>
                <w:bCs/>
                <w:i/>
                <w:iCs/>
                <w:sz w:val="24"/>
                <w:u w:val="single"/>
              </w:rPr>
              <w:t>项目用地周边均为工业建设用地、道路、闲置场地及配套停车场，无学校、医院、集中居民区、饮用水水源保护区、自然保护地等生态环境敏感目标，</w:t>
            </w:r>
            <w:r>
              <w:rPr>
                <w:rFonts w:hint="eastAsia"/>
                <w:bCs/>
                <w:i/>
                <w:iCs/>
                <w:sz w:val="24"/>
                <w:u w:val="single"/>
              </w:rPr>
              <w:t>本项目</w:t>
            </w:r>
            <w:r>
              <w:rPr>
                <w:bCs/>
                <w:i/>
                <w:iCs/>
                <w:sz w:val="24"/>
                <w:u w:val="single"/>
              </w:rPr>
              <w:t>选址从外环境布局角度具备合理性</w:t>
            </w:r>
            <w:r>
              <w:rPr>
                <w:rFonts w:hint="eastAsia"/>
                <w:bCs/>
                <w:i/>
                <w:iCs/>
                <w:sz w:val="24"/>
                <w:u w:val="single"/>
              </w:rPr>
              <w:t>，</w:t>
            </w:r>
            <w:r>
              <w:rPr>
                <w:rFonts w:hAnsi="宋体"/>
                <w:i/>
                <w:iCs/>
                <w:sz w:val="24"/>
                <w:u w:val="single"/>
              </w:rPr>
              <w:t>与外环境相容性良好</w:t>
            </w:r>
            <w:r>
              <w:rPr>
                <w:rFonts w:hint="eastAsia" w:hAnsi="宋体"/>
                <w:i/>
                <w:iCs/>
                <w:sz w:val="24"/>
                <w:u w:val="single"/>
              </w:rPr>
              <w:t>。</w:t>
            </w:r>
          </w:p>
          <w:p>
            <w:pPr>
              <w:autoSpaceDE w:val="0"/>
              <w:autoSpaceDN w:val="0"/>
              <w:spacing w:line="360" w:lineRule="auto"/>
              <w:ind w:firstLine="482" w:firstLineChars="200"/>
              <w:rPr>
                <w:b/>
                <w:bCs/>
                <w:sz w:val="24"/>
              </w:rPr>
            </w:pPr>
            <w:r>
              <w:rPr>
                <w:rFonts w:hint="eastAsia"/>
                <w:b/>
                <w:bCs/>
                <w:sz w:val="24"/>
              </w:rPr>
              <w:t>４、“生态环境分区管控”符合性分析</w:t>
            </w:r>
          </w:p>
          <w:p>
            <w:pPr>
              <w:adjustRightInd w:val="0"/>
              <w:snapToGrid w:val="0"/>
              <w:spacing w:line="360" w:lineRule="auto"/>
              <w:ind w:firstLine="480" w:firstLineChars="200"/>
              <w:jc w:val="left"/>
              <w:rPr>
                <w:bCs/>
                <w:sz w:val="24"/>
              </w:rPr>
            </w:pPr>
            <w:r>
              <w:rPr>
                <w:rFonts w:hint="eastAsia"/>
                <w:bCs/>
                <w:sz w:val="24"/>
              </w:rPr>
              <w:t>根据吉林省委办公厅省政府办公厅印发《关于加强生态环境分区管控的若干措施》（</w:t>
            </w:r>
            <w:r>
              <w:rPr>
                <w:rFonts w:hint="eastAsia" w:ascii="宋体" w:hAnsi="宋体" w:cs="宋体"/>
                <w:sz w:val="24"/>
              </w:rPr>
              <w:t>吉办发[2024]12号</w:t>
            </w:r>
            <w:r>
              <w:rPr>
                <w:rFonts w:hint="eastAsia"/>
                <w:bCs/>
                <w:sz w:val="24"/>
              </w:rPr>
              <w:t>）和通化市人民政府办公室关于印</w:t>
            </w:r>
            <w:r>
              <w:rPr>
                <w:rFonts w:hint="eastAsia" w:ascii="宋体" w:hAnsi="宋体" w:cs="宋体"/>
                <w:sz w:val="24"/>
              </w:rPr>
              <w:t>发通化市生态环境分区管控实施方案的通知（通市政办发(2024）4号），本项目</w:t>
            </w:r>
            <w:r>
              <w:rPr>
                <w:rFonts w:hint="eastAsia"/>
                <w:bCs/>
                <w:sz w:val="24"/>
              </w:rPr>
              <w:t>与吉林省生态环境分区管控的符合性如下：</w:t>
            </w:r>
          </w:p>
          <w:p>
            <w:pPr>
              <w:adjustRightInd w:val="0"/>
              <w:snapToGrid w:val="0"/>
              <w:spacing w:line="360" w:lineRule="auto"/>
              <w:ind w:firstLine="480" w:firstLineChars="200"/>
              <w:jc w:val="left"/>
              <w:rPr>
                <w:bCs/>
                <w:sz w:val="24"/>
              </w:rPr>
            </w:pPr>
            <w:r>
              <w:rPr>
                <w:rFonts w:hint="eastAsia"/>
                <w:bCs/>
                <w:sz w:val="24"/>
              </w:rPr>
              <w:t>（1）环境管控单元</w:t>
            </w:r>
          </w:p>
          <w:p>
            <w:pPr>
              <w:adjustRightInd w:val="0"/>
              <w:snapToGrid w:val="0"/>
              <w:spacing w:line="360" w:lineRule="auto"/>
              <w:ind w:firstLine="480" w:firstLineChars="200"/>
              <w:jc w:val="left"/>
              <w:rPr>
                <w:bCs/>
                <w:sz w:val="24"/>
              </w:rPr>
            </w:pPr>
            <w:r>
              <w:rPr>
                <w:rFonts w:hint="eastAsia"/>
                <w:bCs/>
                <w:sz w:val="24"/>
              </w:rPr>
              <w:t>根据吉林省生态环境分区管控数据应用平台落图结果，本项目所处管控单元为重点管控单元，管控单元名称为柳河县城镇开发边界，环境管控单元编码：ZH22052420003。管控要求详见表1-3，分区管控分布图详见附图5。</w:t>
            </w:r>
          </w:p>
          <w:p>
            <w:pPr>
              <w:adjustRightInd w:val="0"/>
              <w:snapToGrid w:val="0"/>
              <w:spacing w:line="360" w:lineRule="auto"/>
              <w:ind w:firstLine="480" w:firstLineChars="200"/>
              <w:jc w:val="left"/>
              <w:rPr>
                <w:bCs/>
                <w:sz w:val="24"/>
              </w:rPr>
            </w:pPr>
            <w:r>
              <w:rPr>
                <w:rFonts w:hint="eastAsia"/>
                <w:bCs/>
                <w:sz w:val="24"/>
              </w:rPr>
              <w:t>（2）生态环境准入清单</w:t>
            </w:r>
          </w:p>
          <w:p>
            <w:pPr>
              <w:adjustRightInd w:val="0"/>
              <w:snapToGrid w:val="0"/>
              <w:spacing w:line="360" w:lineRule="auto"/>
              <w:ind w:firstLine="480" w:firstLineChars="200"/>
              <w:jc w:val="left"/>
              <w:rPr>
                <w:sz w:val="24"/>
              </w:rPr>
            </w:pPr>
            <w:r>
              <w:rPr>
                <w:rFonts w:hint="eastAsia"/>
                <w:bCs/>
                <w:sz w:val="24"/>
              </w:rPr>
              <w:t>根据《吉林省人民政府关于印发“吉林省生态环境准入清单”的函》（吉环函[2024] 158号）。通化市生态环境准入要求详见表1-2。柳河县城镇开发边界生态环境准入要求详见表1-3。</w:t>
            </w:r>
          </w:p>
          <w:p>
            <w:pPr>
              <w:adjustRightInd w:val="0"/>
              <w:snapToGrid w:val="0"/>
              <w:jc w:val="center"/>
              <w:rPr>
                <w:rFonts w:ascii="宋体" w:hAnsi="宋体" w:cs="宋体"/>
                <w:b/>
                <w:bCs/>
                <w:szCs w:val="21"/>
              </w:rPr>
            </w:pPr>
            <w:r>
              <w:rPr>
                <w:rFonts w:hint="eastAsia" w:ascii="宋体" w:hAnsi="宋体" w:cs="宋体"/>
                <w:b/>
                <w:bCs/>
                <w:szCs w:val="21"/>
              </w:rPr>
              <w:t>表1-2   通化市生态环境准入清单符合性分析</w:t>
            </w:r>
          </w:p>
          <w:tbl>
            <w:tblPr>
              <w:tblW w:w="6839"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left w:w="108" w:type="dxa"/>
                <w:right w:w="108" w:type="dxa"/>
              </w:tblCellMar>
            </w:tblPr>
            <w:tblGrid>
              <w:gridCol w:w="490"/>
              <w:gridCol w:w="384"/>
              <w:gridCol w:w="3705"/>
              <w:gridCol w:w="2260"/>
            </w:tblGrid>
            <w:tr>
              <w:trPr>
                <w:trHeight w:val="627" w:hRule="atLeast"/>
                <w:tblHeader/>
                <w:jc w:val="center"/>
              </w:trPr>
              <w:tc>
                <w:tcPr>
                  <w:tcW w:w="490" w:type="dxa"/>
                  <w:tcBorders>
                    <w:tl2br w:val="nil"/>
                    <w:tr2bl w:val="nil"/>
                  </w:tcBorders>
                  <w:vAlign w:val="center"/>
                </w:tcPr>
                <w:p>
                  <w:pPr>
                    <w:tabs>
                      <w:tab w:val="left" w:pos="0"/>
                    </w:tabs>
                    <w:textAlignment w:val="baseline"/>
                    <w:rPr>
                      <w:szCs w:val="21"/>
                    </w:rPr>
                  </w:pPr>
                  <w:r>
                    <w:rPr>
                      <w:kern w:val="21"/>
                      <w:szCs w:val="21"/>
                    </w:rPr>
                    <w:t>项目</w:t>
                  </w:r>
                </w:p>
              </w:tc>
              <w:tc>
                <w:tcPr>
                  <w:tcW w:w="4089" w:type="dxa"/>
                  <w:gridSpan w:val="2"/>
                  <w:tcBorders>
                    <w:tl2br w:val="nil"/>
                    <w:tr2bl w:val="nil"/>
                  </w:tcBorders>
                  <w:vAlign w:val="center"/>
                </w:tcPr>
                <w:p>
                  <w:pPr>
                    <w:tabs>
                      <w:tab w:val="left" w:pos="0"/>
                    </w:tabs>
                    <w:jc w:val="center"/>
                    <w:textAlignment w:val="baseline"/>
                    <w:rPr>
                      <w:szCs w:val="21"/>
                    </w:rPr>
                  </w:pPr>
                  <w:r>
                    <w:rPr>
                      <w:rFonts w:hint="eastAsia" w:ascii="宋体" w:hAnsi="宋体" w:cs="宋体"/>
                      <w:szCs w:val="21"/>
                    </w:rPr>
                    <w:t>管控要求</w:t>
                  </w:r>
                </w:p>
              </w:tc>
              <w:tc>
                <w:tcPr>
                  <w:tcW w:w="2260" w:type="dxa"/>
                  <w:tcBorders>
                    <w:tl2br w:val="nil"/>
                    <w:tr2bl w:val="nil"/>
                  </w:tcBorders>
                  <w:vAlign w:val="center"/>
                </w:tcPr>
                <w:p>
                  <w:pPr>
                    <w:tabs>
                      <w:tab w:val="left" w:pos="0"/>
                    </w:tabs>
                    <w:jc w:val="center"/>
                    <w:textAlignment w:val="baseline"/>
                    <w:rPr>
                      <w:szCs w:val="21"/>
                    </w:rPr>
                  </w:pPr>
                  <w:r>
                    <w:rPr>
                      <w:szCs w:val="21"/>
                    </w:rPr>
                    <w:t>项目符合性分析</w:t>
                  </w:r>
                </w:p>
              </w:tc>
            </w:tr>
            <w:tr>
              <w:trPr>
                <w:trHeight w:val="935" w:hRule="atLeast"/>
                <w:jc w:val="center"/>
              </w:trPr>
              <w:tc>
                <w:tcPr>
                  <w:tcW w:w="490" w:type="dxa"/>
                  <w:vMerge w:val="restart"/>
                  <w:tcBorders>
                    <w:tl2br w:val="nil"/>
                    <w:tr2bl w:val="nil"/>
                  </w:tcBorders>
                  <w:vAlign w:val="center"/>
                </w:tcPr>
                <w:p>
                  <w:pPr>
                    <w:tabs>
                      <w:tab w:val="left" w:pos="0"/>
                    </w:tabs>
                    <w:textAlignment w:val="baseline"/>
                    <w:rPr>
                      <w:szCs w:val="21"/>
                      <w:lang w:val="zh-CN"/>
                    </w:rPr>
                  </w:pPr>
                  <w:r>
                    <w:rPr>
                      <w:szCs w:val="21"/>
                    </w:rPr>
                    <w:t>空间布局约束</w:t>
                  </w:r>
                </w:p>
              </w:tc>
              <w:tc>
                <w:tcPr>
                  <w:tcW w:w="4089" w:type="dxa"/>
                  <w:gridSpan w:val="2"/>
                  <w:tcBorders>
                    <w:tl2br w:val="nil"/>
                    <w:tr2bl w:val="nil"/>
                  </w:tcBorders>
                  <w:vAlign w:val="center"/>
                </w:tcPr>
                <w:p>
                  <w:pPr>
                    <w:tabs>
                      <w:tab w:val="left" w:pos="0"/>
                    </w:tabs>
                    <w:textAlignment w:val="baseline"/>
                    <w:rPr>
                      <w:szCs w:val="21"/>
                      <w:lang w:val="zh-CN"/>
                    </w:rPr>
                  </w:pPr>
                  <w:r>
                    <w:rPr>
                      <w:szCs w:val="21"/>
                      <w:lang w:val="zh-CN"/>
                    </w:rPr>
                    <w:t>加快推进城镇人口密集区和环境敏感区域的危险化学品生产企业搬迁入园或转产关闭工作。</w:t>
                  </w:r>
                </w:p>
              </w:tc>
              <w:tc>
                <w:tcPr>
                  <w:tcW w:w="2260" w:type="dxa"/>
                  <w:tcBorders>
                    <w:tl2br w:val="nil"/>
                    <w:tr2bl w:val="nil"/>
                  </w:tcBorders>
                  <w:vAlign w:val="center"/>
                </w:tcPr>
                <w:p>
                  <w:pPr>
                    <w:tabs>
                      <w:tab w:val="left" w:pos="0"/>
                    </w:tabs>
                    <w:jc w:val="center"/>
                    <w:textAlignment w:val="baseline"/>
                    <w:rPr>
                      <w:szCs w:val="21"/>
                    </w:rPr>
                  </w:pPr>
                  <w:r>
                    <w:rPr>
                      <w:szCs w:val="21"/>
                    </w:rPr>
                    <w:t>不涉及</w:t>
                  </w:r>
                </w:p>
              </w:tc>
            </w:tr>
            <w:tr>
              <w:trPr>
                <w:trHeight w:val="2728" w:hRule="atLeast"/>
                <w:jc w:val="center"/>
              </w:trPr>
              <w:tc>
                <w:tcPr>
                  <w:tcW w:w="490" w:type="dxa"/>
                  <w:vMerge w:val="continue"/>
                  <w:tcBorders>
                    <w:tl2br w:val="nil"/>
                    <w:tr2bl w:val="nil"/>
                  </w:tcBorders>
                  <w:vAlign w:val="center"/>
                </w:tcPr>
                <w:p>
                  <w:pPr>
                    <w:tabs>
                      <w:tab w:val="left" w:pos="0"/>
                    </w:tabs>
                    <w:textAlignment w:val="baseline"/>
                    <w:rPr>
                      <w:szCs w:val="21"/>
                    </w:rPr>
                  </w:pPr>
                </w:p>
              </w:tc>
              <w:tc>
                <w:tcPr>
                  <w:tcW w:w="4089" w:type="dxa"/>
                  <w:gridSpan w:val="2"/>
                  <w:tcBorders>
                    <w:tl2br w:val="nil"/>
                    <w:tr2bl w:val="nil"/>
                  </w:tcBorders>
                  <w:vAlign w:val="center"/>
                </w:tcPr>
                <w:p>
                  <w:pPr>
                    <w:tabs>
                      <w:tab w:val="left" w:pos="0"/>
                    </w:tabs>
                    <w:textAlignment w:val="baseline"/>
                    <w:rPr>
                      <w:szCs w:val="21"/>
                      <w:lang w:val="zh-CN"/>
                    </w:rPr>
                  </w:pPr>
                  <w:r>
                    <w:rPr>
                      <w:szCs w:val="21"/>
                      <w:lang w:val="zh-CN"/>
                    </w:rPr>
                    <w:t>禁止在下列林地的采伐迹地种植人参：（1）自然保护区、森林公园、景区及其附近林地；（2）江河源头和两岸林地；（3）水库、湖泊周围等生态重要区位林地；（4）国道、省道、县道两侧第一层山脊内林地；（5）坡度在25度以上的林地；（6）山脊、沟壑等林地；（7）不符合人参种植标准和要求的其他林地。</w:t>
                  </w:r>
                </w:p>
              </w:tc>
              <w:tc>
                <w:tcPr>
                  <w:tcW w:w="2260" w:type="dxa"/>
                  <w:tcBorders>
                    <w:tl2br w:val="nil"/>
                    <w:tr2bl w:val="nil"/>
                  </w:tcBorders>
                  <w:vAlign w:val="center"/>
                </w:tcPr>
                <w:p>
                  <w:pPr>
                    <w:tabs>
                      <w:tab w:val="left" w:pos="0"/>
                    </w:tabs>
                    <w:jc w:val="center"/>
                    <w:textAlignment w:val="baseline"/>
                    <w:rPr>
                      <w:szCs w:val="21"/>
                      <w:lang w:val="zh-CN"/>
                    </w:rPr>
                  </w:pPr>
                  <w:r>
                    <w:rPr>
                      <w:szCs w:val="21"/>
                    </w:rPr>
                    <w:t>不涉及</w:t>
                  </w:r>
                </w:p>
              </w:tc>
            </w:tr>
            <w:tr>
              <w:trPr>
                <w:trHeight w:val="1525" w:hRule="atLeast"/>
                <w:jc w:val="center"/>
              </w:trPr>
              <w:tc>
                <w:tcPr>
                  <w:tcW w:w="490" w:type="dxa"/>
                  <w:vMerge w:val="restart"/>
                  <w:tcBorders>
                    <w:tl2br w:val="nil"/>
                    <w:tr2bl w:val="nil"/>
                  </w:tcBorders>
                  <w:vAlign w:val="center"/>
                </w:tcPr>
                <w:p>
                  <w:pPr>
                    <w:tabs>
                      <w:tab w:val="left" w:pos="0"/>
                    </w:tabs>
                    <w:textAlignment w:val="baseline"/>
                    <w:rPr>
                      <w:szCs w:val="21"/>
                    </w:rPr>
                  </w:pPr>
                  <w:r>
                    <w:rPr>
                      <w:szCs w:val="21"/>
                    </w:rPr>
                    <w:t>污染物控制要求</w:t>
                  </w:r>
                </w:p>
              </w:tc>
              <w:tc>
                <w:tcPr>
                  <w:tcW w:w="384" w:type="dxa"/>
                  <w:vMerge w:val="restart"/>
                  <w:tcBorders>
                    <w:tl2br w:val="nil"/>
                    <w:tr2bl w:val="nil"/>
                  </w:tcBorders>
                  <w:vAlign w:val="center"/>
                </w:tcPr>
                <w:p>
                  <w:pPr>
                    <w:rPr>
                      <w:szCs w:val="21"/>
                      <w:lang w:val="zh-CN"/>
                    </w:rPr>
                  </w:pPr>
                  <w:r>
                    <w:rPr>
                      <w:szCs w:val="21"/>
                    </w:rPr>
                    <w:t>环境质量目标</w:t>
                  </w:r>
                </w:p>
              </w:tc>
              <w:tc>
                <w:tcPr>
                  <w:tcW w:w="3705" w:type="dxa"/>
                  <w:tcBorders>
                    <w:tl2br w:val="nil"/>
                    <w:tr2bl w:val="nil"/>
                  </w:tcBorders>
                  <w:vAlign w:val="center"/>
                </w:tcPr>
                <w:p>
                  <w:pPr>
                    <w:tabs>
                      <w:tab w:val="left" w:pos="0"/>
                    </w:tabs>
                    <w:textAlignment w:val="baseline"/>
                    <w:rPr>
                      <w:szCs w:val="21"/>
                      <w:lang w:val="zh-CN"/>
                    </w:rPr>
                  </w:pPr>
                  <w:r>
                    <w:rPr>
                      <w:szCs w:val="21"/>
                    </w:rPr>
                    <w:t>大气环境质量持续改善。2025年全市PM</w:t>
                  </w:r>
                  <w:r>
                    <w:rPr>
                      <w:szCs w:val="21"/>
                      <w:vertAlign w:val="subscript"/>
                    </w:rPr>
                    <w:t>2.5</w:t>
                  </w:r>
                  <w:r>
                    <w:rPr>
                      <w:szCs w:val="21"/>
                    </w:rPr>
                    <w:t>年均浓度达到25微克/立方米，优良天数比例达到97%；2035年允许波动，不能恶化（沙尘影响不计入）。</w:t>
                  </w:r>
                </w:p>
              </w:tc>
              <w:tc>
                <w:tcPr>
                  <w:tcW w:w="2260" w:type="dxa"/>
                  <w:tcBorders>
                    <w:tl2br w:val="nil"/>
                    <w:tr2bl w:val="nil"/>
                  </w:tcBorders>
                  <w:vAlign w:val="center"/>
                </w:tcPr>
                <w:p>
                  <w:pPr>
                    <w:tabs>
                      <w:tab w:val="left" w:pos="0"/>
                    </w:tabs>
                    <w:textAlignment w:val="baseline"/>
                    <w:rPr>
                      <w:szCs w:val="21"/>
                    </w:rPr>
                  </w:pPr>
                  <w:r>
                    <w:rPr>
                      <w:rFonts w:hint="eastAsia" w:ascii="宋体" w:hAnsi="宋体" w:cs="宋体"/>
                      <w:szCs w:val="21"/>
                    </w:rPr>
                    <w:t>符合，项目废气经采取措施后可满足达标排放，不会降低区域环境质量。</w:t>
                  </w:r>
                </w:p>
              </w:tc>
            </w:tr>
            <w:tr>
              <w:trPr>
                <w:trHeight w:val="1552" w:hRule="atLeast"/>
                <w:jc w:val="center"/>
              </w:trPr>
              <w:tc>
                <w:tcPr>
                  <w:tcW w:w="490" w:type="dxa"/>
                  <w:vMerge w:val="continue"/>
                  <w:tcBorders>
                    <w:tl2br w:val="nil"/>
                    <w:tr2bl w:val="nil"/>
                  </w:tcBorders>
                  <w:vAlign w:val="center"/>
                </w:tcPr>
                <w:p>
                  <w:pPr>
                    <w:rPr>
                      <w:szCs w:val="21"/>
                      <w:lang w:val="zh-CN"/>
                    </w:rPr>
                  </w:pPr>
                </w:p>
              </w:tc>
              <w:tc>
                <w:tcPr>
                  <w:tcW w:w="384" w:type="dxa"/>
                  <w:vMerge w:val="continue"/>
                  <w:tcBorders>
                    <w:tl2br w:val="nil"/>
                    <w:tr2bl w:val="nil"/>
                  </w:tcBorders>
                  <w:vAlign w:val="center"/>
                </w:tcPr>
                <w:p>
                  <w:pPr>
                    <w:rPr>
                      <w:szCs w:val="21"/>
                      <w:lang w:val="zh-CN"/>
                    </w:rPr>
                  </w:pPr>
                </w:p>
              </w:tc>
              <w:tc>
                <w:tcPr>
                  <w:tcW w:w="3705" w:type="dxa"/>
                  <w:tcBorders>
                    <w:tl2br w:val="nil"/>
                    <w:tr2bl w:val="nil"/>
                  </w:tcBorders>
                  <w:vAlign w:val="center"/>
                </w:tcPr>
                <w:p>
                  <w:pPr>
                    <w:tabs>
                      <w:tab w:val="left" w:pos="0"/>
                    </w:tabs>
                    <w:textAlignment w:val="baseline"/>
                    <w:rPr>
                      <w:szCs w:val="21"/>
                    </w:rPr>
                  </w:pPr>
                  <w:r>
                    <w:rPr>
                      <w:szCs w:val="21"/>
                    </w:rPr>
                    <w:t>水环境质量持续改善。2025年，国控断面水质达到或优于III类比例达到100.0%，全面消除劣Ⅴ类水，全市集中式饮用水水源地水质达到或优于Ⅲ类水质比例保持100%。</w:t>
                  </w:r>
                </w:p>
              </w:tc>
              <w:tc>
                <w:tcPr>
                  <w:tcW w:w="2260" w:type="dxa"/>
                  <w:tcBorders>
                    <w:tl2br w:val="nil"/>
                    <w:tr2bl w:val="nil"/>
                  </w:tcBorders>
                  <w:vAlign w:val="center"/>
                </w:tcPr>
                <w:p>
                  <w:pPr>
                    <w:rPr>
                      <w:szCs w:val="21"/>
                    </w:rPr>
                  </w:pPr>
                  <w:r>
                    <w:rPr>
                      <w:rFonts w:hint="eastAsia" w:ascii="宋体" w:hAnsi="宋体" w:cs="宋体"/>
                      <w:szCs w:val="21"/>
                    </w:rPr>
                    <w:t>符合，本项目生活污水排入厂区防渗化粪池，定期清掏不外排。初期雨水经油水分离器处理后，经罐车送柳河县污水处理厂处理后排放，不会对水体产生不利影响。</w:t>
                  </w:r>
                </w:p>
              </w:tc>
            </w:tr>
            <w:tr>
              <w:trPr>
                <w:trHeight w:val="935" w:hRule="atLeast"/>
                <w:jc w:val="center"/>
              </w:trPr>
              <w:tc>
                <w:tcPr>
                  <w:tcW w:w="490" w:type="dxa"/>
                  <w:vMerge w:val="restart"/>
                  <w:tcBorders>
                    <w:tl2br w:val="nil"/>
                    <w:tr2bl w:val="nil"/>
                  </w:tcBorders>
                  <w:vAlign w:val="center"/>
                </w:tcPr>
                <w:p>
                  <w:pPr>
                    <w:tabs>
                      <w:tab w:val="left" w:pos="0"/>
                    </w:tabs>
                    <w:textAlignment w:val="baseline"/>
                    <w:rPr>
                      <w:szCs w:val="21"/>
                      <w:lang w:val="zh-CN"/>
                    </w:rPr>
                  </w:pPr>
                  <w:r>
                    <w:rPr>
                      <w:szCs w:val="21"/>
                    </w:rPr>
                    <w:t>资源利用要求</w:t>
                  </w:r>
                </w:p>
              </w:tc>
              <w:tc>
                <w:tcPr>
                  <w:tcW w:w="384" w:type="dxa"/>
                  <w:tcBorders>
                    <w:tl2br w:val="nil"/>
                    <w:tr2bl w:val="nil"/>
                  </w:tcBorders>
                  <w:vAlign w:val="center"/>
                </w:tcPr>
                <w:p>
                  <w:pPr>
                    <w:rPr>
                      <w:szCs w:val="21"/>
                      <w:lang w:val="zh-CN"/>
                    </w:rPr>
                  </w:pPr>
                  <w:r>
                    <w:rPr>
                      <w:szCs w:val="21"/>
                    </w:rPr>
                    <w:t>水资源</w:t>
                  </w:r>
                </w:p>
              </w:tc>
              <w:tc>
                <w:tcPr>
                  <w:tcW w:w="3705" w:type="dxa"/>
                  <w:tcBorders>
                    <w:tl2br w:val="nil"/>
                    <w:tr2bl w:val="nil"/>
                  </w:tcBorders>
                  <w:vAlign w:val="center"/>
                </w:tcPr>
                <w:p>
                  <w:pPr>
                    <w:rPr>
                      <w:szCs w:val="21"/>
                      <w:lang w:val="zh-CN"/>
                    </w:rPr>
                  </w:pPr>
                  <w:r>
                    <w:rPr>
                      <w:szCs w:val="21"/>
                    </w:rPr>
                    <w:t>2025年用水量控制在7.75亿立方米，2035年用水量控制在10.2亿立方米。</w:t>
                  </w:r>
                </w:p>
              </w:tc>
              <w:tc>
                <w:tcPr>
                  <w:tcW w:w="2260" w:type="dxa"/>
                  <w:tcBorders>
                    <w:tl2br w:val="nil"/>
                    <w:tr2bl w:val="nil"/>
                  </w:tcBorders>
                  <w:vAlign w:val="center"/>
                </w:tcPr>
                <w:p>
                  <w:pPr>
                    <w:rPr>
                      <w:szCs w:val="21"/>
                    </w:rPr>
                  </w:pPr>
                  <w:r>
                    <w:rPr>
                      <w:rFonts w:hint="eastAsia" w:ascii="宋体" w:hAnsi="宋体" w:cs="宋体"/>
                      <w:szCs w:val="21"/>
                    </w:rPr>
                    <w:t>符合，本项目生产不消耗水资源。</w:t>
                  </w:r>
                </w:p>
              </w:tc>
            </w:tr>
            <w:tr>
              <w:trPr>
                <w:trHeight w:val="1525" w:hRule="atLeast"/>
                <w:jc w:val="center"/>
              </w:trPr>
              <w:tc>
                <w:tcPr>
                  <w:tcW w:w="490" w:type="dxa"/>
                  <w:vMerge w:val="continue"/>
                  <w:tcBorders>
                    <w:tl2br w:val="nil"/>
                    <w:tr2bl w:val="nil"/>
                  </w:tcBorders>
                  <w:vAlign w:val="center"/>
                </w:tcPr>
                <w:p>
                  <w:pPr>
                    <w:tabs>
                      <w:tab w:val="left" w:pos="0"/>
                    </w:tabs>
                    <w:textAlignment w:val="baseline"/>
                    <w:rPr>
                      <w:szCs w:val="21"/>
                      <w:lang w:val="zh-CN"/>
                    </w:rPr>
                  </w:pPr>
                </w:p>
              </w:tc>
              <w:tc>
                <w:tcPr>
                  <w:tcW w:w="384" w:type="dxa"/>
                  <w:tcBorders>
                    <w:tl2br w:val="nil"/>
                    <w:tr2bl w:val="nil"/>
                  </w:tcBorders>
                  <w:vAlign w:val="center"/>
                </w:tcPr>
                <w:p>
                  <w:pPr>
                    <w:rPr>
                      <w:szCs w:val="21"/>
                      <w:lang w:val="zh-CN"/>
                    </w:rPr>
                  </w:pPr>
                  <w:r>
                    <w:rPr>
                      <w:szCs w:val="21"/>
                    </w:rPr>
                    <w:t>土地资源</w:t>
                  </w:r>
                </w:p>
              </w:tc>
              <w:tc>
                <w:tcPr>
                  <w:tcW w:w="3705" w:type="dxa"/>
                  <w:tcBorders>
                    <w:tl2br w:val="nil"/>
                    <w:tr2bl w:val="nil"/>
                  </w:tcBorders>
                  <w:vAlign w:val="center"/>
                </w:tcPr>
                <w:p>
                  <w:pPr>
                    <w:rPr>
                      <w:szCs w:val="21"/>
                      <w:lang w:val="zh-CN"/>
                    </w:rPr>
                  </w:pPr>
                  <w:r>
                    <w:rPr>
                      <w:szCs w:val="21"/>
                    </w:rPr>
                    <w:t>2025年耕地保有量不低于2732.93平方千米；永久基本农田保护面积不低于1787.17平方千米；城镇开发边界控制在177.60平方千米以内。</w:t>
                  </w:r>
                </w:p>
              </w:tc>
              <w:tc>
                <w:tcPr>
                  <w:tcW w:w="2260" w:type="dxa"/>
                  <w:tcBorders>
                    <w:tl2br w:val="nil"/>
                    <w:tr2bl w:val="nil"/>
                  </w:tcBorders>
                  <w:vAlign w:val="center"/>
                </w:tcPr>
                <w:p>
                  <w:pPr>
                    <w:jc w:val="center"/>
                    <w:rPr>
                      <w:szCs w:val="21"/>
                    </w:rPr>
                  </w:pPr>
                  <w:r>
                    <w:rPr>
                      <w:rFonts w:hint="eastAsia" w:ascii="宋体" w:hAnsi="宋体" w:cs="宋体"/>
                      <w:szCs w:val="21"/>
                    </w:rPr>
                    <w:t>符合，本项目租用现有场地及</w:t>
                  </w:r>
                  <w:r>
                    <w:rPr>
                      <w:rFonts w:hint="eastAsia"/>
                      <w:szCs w:val="21"/>
                    </w:rPr>
                    <w:t>厂房，利用现有工业用地</w:t>
                  </w:r>
                  <w:r>
                    <w:rPr>
                      <w:rFonts w:hint="eastAsia" w:ascii="宋体" w:hAnsi="宋体" w:cs="宋体"/>
                      <w:szCs w:val="21"/>
                    </w:rPr>
                    <w:t>。</w:t>
                  </w:r>
                </w:p>
              </w:tc>
            </w:tr>
            <w:tr>
              <w:trPr>
                <w:trHeight w:val="945" w:hRule="atLeast"/>
                <w:jc w:val="center"/>
              </w:trPr>
              <w:tc>
                <w:tcPr>
                  <w:tcW w:w="490" w:type="dxa"/>
                  <w:vMerge w:val="continue"/>
                  <w:tcBorders>
                    <w:tl2br w:val="nil"/>
                    <w:tr2bl w:val="nil"/>
                  </w:tcBorders>
                  <w:vAlign w:val="center"/>
                </w:tcPr>
                <w:p>
                  <w:pPr>
                    <w:tabs>
                      <w:tab w:val="left" w:pos="0"/>
                    </w:tabs>
                    <w:textAlignment w:val="baseline"/>
                    <w:rPr>
                      <w:szCs w:val="21"/>
                      <w:lang w:val="zh-CN"/>
                    </w:rPr>
                  </w:pPr>
                </w:p>
              </w:tc>
              <w:tc>
                <w:tcPr>
                  <w:tcW w:w="384" w:type="dxa"/>
                  <w:tcBorders>
                    <w:tl2br w:val="nil"/>
                    <w:tr2bl w:val="nil"/>
                  </w:tcBorders>
                  <w:vAlign w:val="center"/>
                </w:tcPr>
                <w:p>
                  <w:pPr>
                    <w:rPr>
                      <w:szCs w:val="21"/>
                      <w:lang w:val="zh-CN"/>
                    </w:rPr>
                  </w:pPr>
                  <w:r>
                    <w:rPr>
                      <w:szCs w:val="21"/>
                    </w:rPr>
                    <w:t>能源</w:t>
                  </w:r>
                </w:p>
              </w:tc>
              <w:tc>
                <w:tcPr>
                  <w:tcW w:w="3705" w:type="dxa"/>
                  <w:tcBorders>
                    <w:tl2br w:val="nil"/>
                    <w:tr2bl w:val="nil"/>
                  </w:tcBorders>
                  <w:vAlign w:val="center"/>
                </w:tcPr>
                <w:p>
                  <w:pPr>
                    <w:rPr>
                      <w:szCs w:val="21"/>
                      <w:lang w:val="zh-CN"/>
                    </w:rPr>
                  </w:pPr>
                  <w:r>
                    <w:rPr>
                      <w:szCs w:val="21"/>
                    </w:rPr>
                    <w:t>2025年，煤炭消费总量控制在565.60万吨以内，非化石能源消费比重达到16%。</w:t>
                  </w:r>
                </w:p>
              </w:tc>
              <w:tc>
                <w:tcPr>
                  <w:tcW w:w="2260" w:type="dxa"/>
                  <w:tcBorders>
                    <w:tl2br w:val="nil"/>
                    <w:tr2bl w:val="nil"/>
                  </w:tcBorders>
                  <w:vAlign w:val="center"/>
                </w:tcPr>
                <w:p>
                  <w:pPr>
                    <w:jc w:val="center"/>
                    <w:rPr>
                      <w:szCs w:val="21"/>
                    </w:rPr>
                  </w:pPr>
                  <w:r>
                    <w:rPr>
                      <w:rFonts w:hint="eastAsia" w:ascii="宋体" w:hAnsi="宋体" w:cs="宋体"/>
                      <w:szCs w:val="21"/>
                    </w:rPr>
                    <w:t>符合，本项目不消耗煤炭。</w:t>
                  </w:r>
                </w:p>
              </w:tc>
            </w:tr>
          </w:tbl>
          <w:p>
            <w:pPr>
              <w:adjustRightInd w:val="0"/>
              <w:snapToGrid w:val="0"/>
              <w:jc w:val="center"/>
              <w:rPr>
                <w:rFonts w:ascii="宋体" w:hAnsi="宋体" w:cs="宋体"/>
                <w:b/>
                <w:bCs/>
                <w:szCs w:val="21"/>
              </w:rPr>
            </w:pPr>
          </w:p>
          <w:p>
            <w:pPr>
              <w:adjustRightInd w:val="0"/>
              <w:snapToGrid w:val="0"/>
              <w:jc w:val="center"/>
              <w:rPr>
                <w:rFonts w:ascii="宋体" w:hAnsi="宋体" w:cs="宋体"/>
                <w:b/>
                <w:bCs/>
                <w:szCs w:val="21"/>
              </w:rPr>
            </w:pPr>
          </w:p>
          <w:p>
            <w:pPr>
              <w:adjustRightInd w:val="0"/>
              <w:snapToGrid w:val="0"/>
              <w:jc w:val="center"/>
              <w:rPr>
                <w:b/>
                <w:bCs/>
                <w:szCs w:val="21"/>
              </w:rPr>
            </w:pPr>
            <w:r>
              <w:rPr>
                <w:rFonts w:hint="eastAsia"/>
                <w:b/>
                <w:bCs/>
                <w:szCs w:val="21"/>
              </w:rPr>
              <w:t>表1-3  柳河县城镇开发边界</w:t>
            </w:r>
            <w:r>
              <w:rPr>
                <w:b/>
                <w:bCs/>
                <w:szCs w:val="21"/>
              </w:rPr>
              <w:t>生态环境准入清单</w:t>
            </w:r>
          </w:p>
          <w:tbl>
            <w:tblPr>
              <w:tblW w:w="6792"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left w:w="108" w:type="dxa"/>
                <w:right w:w="108" w:type="dxa"/>
              </w:tblCellMar>
            </w:tblPr>
            <w:tblGrid>
              <w:gridCol w:w="951"/>
              <w:gridCol w:w="784"/>
              <w:gridCol w:w="614"/>
              <w:gridCol w:w="716"/>
              <w:gridCol w:w="2062"/>
              <w:gridCol w:w="1665"/>
            </w:tblGrid>
            <w:tr>
              <w:trPr>
                <w:trHeight w:val="1066" w:hRule="atLeast"/>
              </w:trPr>
              <w:tc>
                <w:tcPr>
                  <w:tcW w:w="951" w:type="dxa"/>
                  <w:tcBorders>
                    <w:tl2br w:val="nil"/>
                    <w:tr2bl w:val="nil"/>
                  </w:tcBorders>
                  <w:vAlign w:val="center"/>
                </w:tcPr>
                <w:p>
                  <w:pPr>
                    <w:adjustRightInd w:val="0"/>
                    <w:snapToGrid w:val="0"/>
                    <w:rPr>
                      <w:rFonts w:ascii="宋体" w:hAnsi="宋体" w:cs="宋体"/>
                      <w:szCs w:val="21"/>
                    </w:rPr>
                  </w:pPr>
                  <w:r>
                    <w:rPr>
                      <w:rFonts w:hint="eastAsia" w:ascii="宋体" w:hAnsi="宋体" w:cs="宋体"/>
                      <w:szCs w:val="21"/>
                    </w:rPr>
                    <w:t>环境管控单元编码</w:t>
                  </w:r>
                </w:p>
              </w:tc>
              <w:tc>
                <w:tcPr>
                  <w:tcW w:w="784" w:type="dxa"/>
                  <w:tcBorders>
                    <w:tl2br w:val="nil"/>
                    <w:tr2bl w:val="nil"/>
                  </w:tcBorders>
                  <w:vAlign w:val="center"/>
                </w:tcPr>
                <w:p>
                  <w:pPr>
                    <w:adjustRightInd w:val="0"/>
                    <w:snapToGrid w:val="0"/>
                    <w:rPr>
                      <w:rFonts w:ascii="宋体" w:hAnsi="宋体" w:cs="宋体"/>
                      <w:szCs w:val="21"/>
                    </w:rPr>
                  </w:pPr>
                  <w:r>
                    <w:rPr>
                      <w:rFonts w:hint="eastAsia" w:ascii="宋体" w:hAnsi="宋体" w:cs="宋体"/>
                      <w:szCs w:val="21"/>
                    </w:rPr>
                    <w:t>环境管控单元名称</w:t>
                  </w:r>
                </w:p>
              </w:tc>
              <w:tc>
                <w:tcPr>
                  <w:tcW w:w="614" w:type="dxa"/>
                  <w:tcBorders>
                    <w:tl2br w:val="nil"/>
                    <w:tr2bl w:val="nil"/>
                  </w:tcBorders>
                  <w:vAlign w:val="center"/>
                </w:tcPr>
                <w:p>
                  <w:pPr>
                    <w:adjustRightInd w:val="0"/>
                    <w:snapToGrid w:val="0"/>
                    <w:rPr>
                      <w:rFonts w:ascii="宋体" w:hAnsi="宋体" w:cs="宋体"/>
                      <w:szCs w:val="21"/>
                    </w:rPr>
                  </w:pPr>
                  <w:r>
                    <w:rPr>
                      <w:rFonts w:hint="eastAsia" w:ascii="宋体" w:hAnsi="宋体" w:cs="宋体"/>
                      <w:szCs w:val="21"/>
                    </w:rPr>
                    <w:t>管控单元分类</w:t>
                  </w:r>
                </w:p>
              </w:tc>
              <w:tc>
                <w:tcPr>
                  <w:tcW w:w="716" w:type="dxa"/>
                  <w:tcBorders>
                    <w:tl2br w:val="nil"/>
                    <w:tr2bl w:val="nil"/>
                  </w:tcBorders>
                  <w:vAlign w:val="center"/>
                </w:tcPr>
                <w:p>
                  <w:pPr>
                    <w:adjustRightInd w:val="0"/>
                    <w:snapToGrid w:val="0"/>
                    <w:rPr>
                      <w:rFonts w:ascii="宋体" w:hAnsi="宋体" w:cs="宋体"/>
                      <w:szCs w:val="21"/>
                    </w:rPr>
                  </w:pPr>
                  <w:r>
                    <w:rPr>
                      <w:rFonts w:hint="eastAsia" w:ascii="宋体" w:hAnsi="宋体" w:cs="宋体"/>
                      <w:szCs w:val="21"/>
                    </w:rPr>
                    <w:t>管控类型</w:t>
                  </w:r>
                </w:p>
              </w:tc>
              <w:tc>
                <w:tcPr>
                  <w:tcW w:w="2062" w:type="dxa"/>
                  <w:tcBorders>
                    <w:tl2br w:val="nil"/>
                    <w:tr2bl w:val="nil"/>
                  </w:tcBorders>
                  <w:vAlign w:val="center"/>
                </w:tcPr>
                <w:p>
                  <w:pPr>
                    <w:adjustRightInd w:val="0"/>
                    <w:snapToGrid w:val="0"/>
                    <w:rPr>
                      <w:rFonts w:ascii="宋体" w:hAnsi="宋体" w:cs="宋体"/>
                      <w:szCs w:val="21"/>
                    </w:rPr>
                  </w:pPr>
                  <w:r>
                    <w:rPr>
                      <w:rFonts w:hint="eastAsia" w:ascii="宋体" w:hAnsi="宋体" w:cs="宋体"/>
                      <w:szCs w:val="21"/>
                    </w:rPr>
                    <w:t>管控要求</w:t>
                  </w:r>
                </w:p>
              </w:tc>
              <w:tc>
                <w:tcPr>
                  <w:tcW w:w="1665" w:type="dxa"/>
                  <w:tcBorders>
                    <w:tl2br w:val="nil"/>
                    <w:tr2bl w:val="nil"/>
                  </w:tcBorders>
                  <w:vAlign w:val="center"/>
                </w:tcPr>
                <w:p>
                  <w:pPr>
                    <w:adjustRightInd w:val="0"/>
                    <w:snapToGrid w:val="0"/>
                    <w:rPr>
                      <w:rFonts w:ascii="宋体" w:hAnsi="宋体" w:cs="宋体"/>
                      <w:szCs w:val="21"/>
                    </w:rPr>
                  </w:pPr>
                  <w:r>
                    <w:rPr>
                      <w:rFonts w:hint="eastAsia" w:ascii="宋体" w:hAnsi="宋体" w:cs="宋体"/>
                      <w:szCs w:val="21"/>
                    </w:rPr>
                    <w:t>本项目符合性</w:t>
                  </w:r>
                </w:p>
              </w:tc>
            </w:tr>
            <w:tr>
              <w:trPr>
                <w:trHeight w:val="90" w:hRule="atLeast"/>
              </w:trPr>
              <w:tc>
                <w:tcPr>
                  <w:tcW w:w="951" w:type="dxa"/>
                  <w:vMerge w:val="restart"/>
                  <w:tcBorders>
                    <w:tl2br w:val="nil"/>
                    <w:tr2bl w:val="nil"/>
                  </w:tcBorders>
                  <w:vAlign w:val="center"/>
                </w:tcPr>
                <w:p>
                  <w:pPr>
                    <w:adjustRightInd w:val="0"/>
                    <w:snapToGrid w:val="0"/>
                    <w:rPr>
                      <w:rFonts w:ascii="宋体" w:hAnsi="宋体" w:cs="宋体"/>
                      <w:szCs w:val="21"/>
                    </w:rPr>
                  </w:pPr>
                  <w:r>
                    <w:rPr>
                      <w:rFonts w:hint="eastAsia" w:ascii="宋体" w:hAnsi="宋体" w:cs="宋体"/>
                      <w:szCs w:val="21"/>
                    </w:rPr>
                    <w:t>ZH22052420003</w:t>
                  </w:r>
                </w:p>
              </w:tc>
              <w:tc>
                <w:tcPr>
                  <w:tcW w:w="784" w:type="dxa"/>
                  <w:vMerge w:val="restart"/>
                  <w:tcBorders>
                    <w:tl2br w:val="nil"/>
                    <w:tr2bl w:val="nil"/>
                  </w:tcBorders>
                  <w:vAlign w:val="center"/>
                </w:tcPr>
                <w:p>
                  <w:pPr>
                    <w:adjustRightInd w:val="0"/>
                    <w:snapToGrid w:val="0"/>
                    <w:rPr>
                      <w:rFonts w:ascii="宋体" w:hAnsi="宋体" w:cs="宋体"/>
                      <w:szCs w:val="21"/>
                    </w:rPr>
                  </w:pPr>
                  <w:r>
                    <w:rPr>
                      <w:rFonts w:hint="eastAsia" w:ascii="宋体" w:hAnsi="宋体" w:cs="宋体"/>
                      <w:szCs w:val="21"/>
                    </w:rPr>
                    <w:t>柳河县城镇开发边界</w:t>
                  </w:r>
                </w:p>
              </w:tc>
              <w:tc>
                <w:tcPr>
                  <w:tcW w:w="614" w:type="dxa"/>
                  <w:vMerge w:val="restart"/>
                  <w:tcBorders>
                    <w:tl2br w:val="nil"/>
                    <w:tr2bl w:val="nil"/>
                  </w:tcBorders>
                  <w:vAlign w:val="center"/>
                </w:tcPr>
                <w:p>
                  <w:pPr>
                    <w:adjustRightInd w:val="0"/>
                    <w:snapToGrid w:val="0"/>
                    <w:rPr>
                      <w:rFonts w:ascii="宋体" w:hAnsi="宋体" w:cs="宋体"/>
                      <w:szCs w:val="21"/>
                    </w:rPr>
                  </w:pPr>
                  <w:r>
                    <w:rPr>
                      <w:rFonts w:hint="eastAsia" w:ascii="宋体" w:hAnsi="宋体" w:cs="宋体"/>
                      <w:szCs w:val="21"/>
                    </w:rPr>
                    <w:t>2-重点管控</w:t>
                  </w:r>
                </w:p>
              </w:tc>
              <w:tc>
                <w:tcPr>
                  <w:tcW w:w="716" w:type="dxa"/>
                  <w:tcBorders>
                    <w:tl2br w:val="nil"/>
                    <w:tr2bl w:val="nil"/>
                  </w:tcBorders>
                  <w:vAlign w:val="center"/>
                </w:tcPr>
                <w:p>
                  <w:pPr>
                    <w:rPr>
                      <w:rFonts w:ascii="宋体" w:hAnsi="宋体" w:cs="宋体"/>
                      <w:kern w:val="0"/>
                      <w:szCs w:val="21"/>
                    </w:rPr>
                  </w:pPr>
                  <w:r>
                    <w:rPr>
                      <w:rFonts w:hint="eastAsia" w:ascii="宋体" w:hAnsi="宋体" w:cs="宋体"/>
                      <w:kern w:val="0"/>
                      <w:szCs w:val="21"/>
                    </w:rPr>
                    <w:t>空间布局约束</w:t>
                  </w:r>
                </w:p>
              </w:tc>
              <w:tc>
                <w:tcPr>
                  <w:tcW w:w="2062" w:type="dxa"/>
                  <w:tcBorders>
                    <w:tl2br w:val="nil"/>
                    <w:tr2bl w:val="nil"/>
                  </w:tcBorders>
                  <w:vAlign w:val="center"/>
                </w:tcPr>
                <w:p>
                  <w:pPr>
                    <w:rPr>
                      <w:rFonts w:ascii="宋体" w:hAnsi="宋体" w:cs="宋体"/>
                      <w:kern w:val="0"/>
                      <w:szCs w:val="21"/>
                    </w:rPr>
                  </w:pPr>
                  <w:r>
                    <w:rPr>
                      <w:rFonts w:hint="eastAsia" w:ascii="宋体" w:hAnsi="宋体" w:cs="宋体"/>
                      <w:kern w:val="0"/>
                      <w:szCs w:val="21"/>
                    </w:rPr>
                    <w:t>1城镇居民区、文化教育科学研究区等人口集中区域禁止畜禽养殖场、养殖小区等涉及氨排放的生产生活活动。</w:t>
                  </w:r>
                </w:p>
                <w:p>
                  <w:pPr>
                    <w:rPr>
                      <w:rFonts w:ascii="宋体" w:hAnsi="宋体" w:cs="宋体"/>
                      <w:kern w:val="0"/>
                      <w:szCs w:val="21"/>
                    </w:rPr>
                  </w:pPr>
                  <w:r>
                    <w:rPr>
                      <w:rFonts w:hint="eastAsia" w:ascii="宋体" w:hAnsi="宋体" w:cs="宋体"/>
                      <w:kern w:val="0"/>
                      <w:szCs w:val="21"/>
                    </w:rPr>
                    <w:t>2除在安全或者产业布局等方面有特殊要求的项目外，原则上应避免大规模排放大气污染物的项目布局建设。</w:t>
                  </w:r>
                </w:p>
                <w:p>
                  <w:pPr>
                    <w:rPr>
                      <w:rFonts w:ascii="宋体" w:hAnsi="宋体" w:cs="宋体"/>
                      <w:kern w:val="0"/>
                      <w:szCs w:val="21"/>
                    </w:rPr>
                  </w:pPr>
                  <w:r>
                    <w:rPr>
                      <w:rFonts w:hint="eastAsia" w:ascii="宋体" w:hAnsi="宋体" w:cs="宋体"/>
                      <w:kern w:val="0"/>
                      <w:szCs w:val="21"/>
                    </w:rPr>
                    <w:t>3除在安全或者产业布局等方面有特殊要求的项目外，应避免大规模排放水污染物的项目布局建设。</w:t>
                  </w:r>
                </w:p>
                <w:p>
                  <w:pPr>
                    <w:rPr>
                      <w:rFonts w:ascii="宋体" w:hAnsi="宋体" w:cs="宋体"/>
                      <w:kern w:val="0"/>
                      <w:szCs w:val="21"/>
                    </w:rPr>
                  </w:pPr>
                  <w:r>
                    <w:rPr>
                      <w:rFonts w:hint="eastAsia" w:ascii="宋体" w:hAnsi="宋体" w:cs="宋体"/>
                      <w:kern w:val="0"/>
                      <w:szCs w:val="21"/>
                    </w:rPr>
                    <w:t>4严格控制新建有色金属冶炼、石油加工、化工、焦化、电镀、制革等具有有毒有害物质排放的行业企业。现有相关行业企业加快提标升级改造步伐，并应建立退出机制、制定治理方案及时间表。</w:t>
                  </w:r>
                </w:p>
                <w:p>
                  <w:pPr>
                    <w:rPr>
                      <w:rFonts w:ascii="宋体" w:hAnsi="宋体" w:cs="宋体"/>
                      <w:kern w:val="0"/>
                      <w:szCs w:val="21"/>
                    </w:rPr>
                  </w:pPr>
                  <w:r>
                    <w:rPr>
                      <w:rFonts w:hint="eastAsia" w:ascii="宋体" w:hAnsi="宋体" w:cs="宋体"/>
                      <w:kern w:val="0"/>
                      <w:szCs w:val="21"/>
                    </w:rPr>
                    <w:t>5推进城市建成区内现有钢铁、建材、有色金属、造纸、印染、原料药制造、化工等污染较重的企业有序搬迁改造或依法关闭。</w:t>
                  </w:r>
                </w:p>
              </w:tc>
              <w:tc>
                <w:tcPr>
                  <w:tcW w:w="1665" w:type="dxa"/>
                  <w:tcBorders>
                    <w:tl2br w:val="nil"/>
                    <w:tr2bl w:val="nil"/>
                  </w:tcBorders>
                  <w:vAlign w:val="center"/>
                </w:tcPr>
                <w:p>
                  <w:pPr>
                    <w:adjustRightInd w:val="0"/>
                    <w:snapToGrid w:val="0"/>
                    <w:rPr>
                      <w:rFonts w:ascii="宋体" w:hAnsi="宋体" w:cs="宋体"/>
                      <w:szCs w:val="21"/>
                    </w:rPr>
                  </w:pPr>
                  <w:r>
                    <w:rPr>
                      <w:rFonts w:hint="eastAsia" w:ascii="宋体" w:hAnsi="宋体" w:cs="宋体"/>
                      <w:szCs w:val="21"/>
                    </w:rPr>
                    <w:t>符合，1本项目不属于养殖项目；2本项目废气排放量较小；3本项目生活污水排入厂区防渗化粪池，定期清掏不外排。初期雨水经油水分离器处理后，经罐车送柳河县污水处理厂处理后排放。4本项目不属于</w:t>
                  </w:r>
                  <w:r>
                    <w:rPr>
                      <w:rFonts w:hint="eastAsia" w:ascii="宋体" w:hAnsi="宋体" w:cs="宋体"/>
                      <w:kern w:val="0"/>
                      <w:szCs w:val="21"/>
                    </w:rPr>
                    <w:t>有色金属冶炼、石油加工、化工、焦化、电镀、制革等企业；5本项目不属于钢铁、建材、有色金属、造纸、印染、原料药制造、化工等污染较重的企业</w:t>
                  </w:r>
                </w:p>
              </w:tc>
            </w:tr>
            <w:tr>
              <w:trPr>
                <w:trHeight w:val="90" w:hRule="atLeast"/>
              </w:trPr>
              <w:tc>
                <w:tcPr>
                  <w:tcW w:w="951" w:type="dxa"/>
                  <w:vMerge w:val="continue"/>
                  <w:tcBorders>
                    <w:tl2br w:val="nil"/>
                    <w:tr2bl w:val="nil"/>
                  </w:tcBorders>
                  <w:vAlign w:val="center"/>
                </w:tcPr>
                <w:p>
                  <w:pPr>
                    <w:adjustRightInd w:val="0"/>
                    <w:snapToGrid w:val="0"/>
                    <w:rPr>
                      <w:rFonts w:ascii="宋体" w:hAnsi="宋体" w:cs="宋体"/>
                      <w:szCs w:val="21"/>
                    </w:rPr>
                  </w:pPr>
                </w:p>
              </w:tc>
              <w:tc>
                <w:tcPr>
                  <w:tcW w:w="784" w:type="dxa"/>
                  <w:vMerge w:val="continue"/>
                  <w:tcBorders>
                    <w:tl2br w:val="nil"/>
                    <w:tr2bl w:val="nil"/>
                  </w:tcBorders>
                  <w:vAlign w:val="center"/>
                </w:tcPr>
                <w:p>
                  <w:pPr>
                    <w:adjustRightInd w:val="0"/>
                    <w:snapToGrid w:val="0"/>
                    <w:rPr>
                      <w:rFonts w:ascii="宋体" w:hAnsi="宋体" w:cs="宋体"/>
                      <w:szCs w:val="21"/>
                    </w:rPr>
                  </w:pPr>
                </w:p>
              </w:tc>
              <w:tc>
                <w:tcPr>
                  <w:tcW w:w="614" w:type="dxa"/>
                  <w:vMerge w:val="continue"/>
                  <w:tcBorders>
                    <w:tl2br w:val="nil"/>
                    <w:tr2bl w:val="nil"/>
                  </w:tcBorders>
                  <w:vAlign w:val="center"/>
                </w:tcPr>
                <w:p>
                  <w:pPr>
                    <w:adjustRightInd w:val="0"/>
                    <w:snapToGrid w:val="0"/>
                    <w:rPr>
                      <w:rFonts w:ascii="宋体" w:hAnsi="宋体" w:cs="宋体"/>
                      <w:szCs w:val="21"/>
                    </w:rPr>
                  </w:pPr>
                </w:p>
              </w:tc>
              <w:tc>
                <w:tcPr>
                  <w:tcW w:w="716" w:type="dxa"/>
                  <w:tcBorders>
                    <w:tl2br w:val="nil"/>
                    <w:tr2bl w:val="nil"/>
                  </w:tcBorders>
                  <w:vAlign w:val="center"/>
                </w:tcPr>
                <w:p>
                  <w:pPr>
                    <w:widowControl/>
                    <w:rPr>
                      <w:rFonts w:ascii="宋体" w:hAnsi="宋体" w:cs="宋体"/>
                      <w:kern w:val="0"/>
                      <w:szCs w:val="21"/>
                    </w:rPr>
                  </w:pPr>
                  <w:r>
                    <w:rPr>
                      <w:rFonts w:hint="eastAsia" w:ascii="宋体" w:hAnsi="宋体" w:cs="宋体"/>
                      <w:kern w:val="0"/>
                      <w:szCs w:val="21"/>
                    </w:rPr>
                    <w:t>污染物排放管控</w:t>
                  </w:r>
                </w:p>
              </w:tc>
              <w:tc>
                <w:tcPr>
                  <w:tcW w:w="2062" w:type="dxa"/>
                  <w:tcBorders>
                    <w:tl2br w:val="nil"/>
                    <w:tr2bl w:val="nil"/>
                  </w:tcBorders>
                  <w:vAlign w:val="center"/>
                </w:tcPr>
                <w:p>
                  <w:pPr>
                    <w:widowControl/>
                    <w:rPr>
                      <w:rFonts w:ascii="宋体" w:hAnsi="宋体" w:cs="宋体"/>
                      <w:kern w:val="0"/>
                      <w:szCs w:val="21"/>
                      <w:u w:val="single"/>
                    </w:rPr>
                  </w:pPr>
                  <w:r>
                    <w:rPr>
                      <w:rFonts w:hint="eastAsia" w:ascii="宋体" w:hAnsi="宋体" w:cs="宋体"/>
                      <w:kern w:val="0"/>
                      <w:szCs w:val="21"/>
                    </w:rPr>
                    <w:t>加大燃煤锅炉达标排放监管力度，推进清洁燃料供应体系建设，加快淘汰老旧车辆，加强城区建筑施工场所扬尘污染整治，加强对餐饮服务业油烟污染监管，强化对加油站、储油库、油罐车等油气回收设施运行监管。</w:t>
                  </w:r>
                </w:p>
              </w:tc>
              <w:tc>
                <w:tcPr>
                  <w:tcW w:w="1665" w:type="dxa"/>
                  <w:tcBorders>
                    <w:tl2br w:val="nil"/>
                    <w:tr2bl w:val="nil"/>
                  </w:tcBorders>
                  <w:vAlign w:val="center"/>
                </w:tcPr>
                <w:p>
                  <w:pPr>
                    <w:adjustRightInd w:val="0"/>
                    <w:snapToGrid w:val="0"/>
                    <w:jc w:val="center"/>
                    <w:rPr>
                      <w:rFonts w:ascii="宋体" w:hAnsi="宋体" w:cs="宋体"/>
                      <w:szCs w:val="21"/>
                      <w:u w:val="single"/>
                    </w:rPr>
                  </w:pPr>
                  <w:r>
                    <w:rPr>
                      <w:rFonts w:hint="eastAsia" w:ascii="宋体" w:hAnsi="宋体" w:cs="宋体"/>
                      <w:kern w:val="0"/>
                      <w:szCs w:val="21"/>
                    </w:rPr>
                    <w:t>不涉及</w:t>
                  </w:r>
                </w:p>
              </w:tc>
            </w:tr>
            <w:tr>
              <w:trPr>
                <w:trHeight w:val="90" w:hRule="atLeast"/>
              </w:trPr>
              <w:tc>
                <w:tcPr>
                  <w:tcW w:w="951" w:type="dxa"/>
                  <w:vMerge w:val="continue"/>
                  <w:tcBorders>
                    <w:tl2br w:val="nil"/>
                    <w:tr2bl w:val="nil"/>
                  </w:tcBorders>
                  <w:vAlign w:val="center"/>
                </w:tcPr>
                <w:p>
                  <w:pPr>
                    <w:adjustRightInd w:val="0"/>
                    <w:snapToGrid w:val="0"/>
                    <w:rPr>
                      <w:rFonts w:ascii="宋体" w:hAnsi="宋体" w:cs="宋体"/>
                      <w:szCs w:val="21"/>
                    </w:rPr>
                  </w:pPr>
                </w:p>
              </w:tc>
              <w:tc>
                <w:tcPr>
                  <w:tcW w:w="784" w:type="dxa"/>
                  <w:vMerge w:val="continue"/>
                  <w:tcBorders>
                    <w:tl2br w:val="nil"/>
                    <w:tr2bl w:val="nil"/>
                  </w:tcBorders>
                  <w:vAlign w:val="center"/>
                </w:tcPr>
                <w:p>
                  <w:pPr>
                    <w:adjustRightInd w:val="0"/>
                    <w:snapToGrid w:val="0"/>
                    <w:rPr>
                      <w:rFonts w:ascii="宋体" w:hAnsi="宋体" w:cs="宋体"/>
                      <w:szCs w:val="21"/>
                    </w:rPr>
                  </w:pPr>
                </w:p>
              </w:tc>
              <w:tc>
                <w:tcPr>
                  <w:tcW w:w="614" w:type="dxa"/>
                  <w:vMerge w:val="continue"/>
                  <w:tcBorders>
                    <w:tl2br w:val="nil"/>
                    <w:tr2bl w:val="nil"/>
                  </w:tcBorders>
                  <w:vAlign w:val="center"/>
                </w:tcPr>
                <w:p>
                  <w:pPr>
                    <w:adjustRightInd w:val="0"/>
                    <w:snapToGrid w:val="0"/>
                    <w:rPr>
                      <w:rFonts w:ascii="宋体" w:hAnsi="宋体" w:cs="宋体"/>
                      <w:szCs w:val="21"/>
                    </w:rPr>
                  </w:pPr>
                </w:p>
              </w:tc>
              <w:tc>
                <w:tcPr>
                  <w:tcW w:w="716" w:type="dxa"/>
                  <w:tcBorders>
                    <w:tl2br w:val="nil"/>
                    <w:tr2bl w:val="nil"/>
                  </w:tcBorders>
                  <w:vAlign w:val="center"/>
                </w:tcPr>
                <w:p>
                  <w:pPr>
                    <w:widowControl/>
                    <w:rPr>
                      <w:rFonts w:ascii="宋体" w:hAnsi="宋体" w:cs="宋体"/>
                      <w:szCs w:val="21"/>
                    </w:rPr>
                  </w:pPr>
                  <w:r>
                    <w:rPr>
                      <w:rFonts w:hint="eastAsia" w:ascii="宋体" w:hAnsi="宋体" w:cs="宋体"/>
                      <w:szCs w:val="21"/>
                    </w:rPr>
                    <w:t>环境风险防控</w:t>
                  </w:r>
                </w:p>
              </w:tc>
              <w:tc>
                <w:tcPr>
                  <w:tcW w:w="2062" w:type="dxa"/>
                  <w:tcBorders>
                    <w:tl2br w:val="nil"/>
                    <w:tr2bl w:val="nil"/>
                  </w:tcBorders>
                  <w:vAlign w:val="center"/>
                </w:tcPr>
                <w:p>
                  <w:pPr>
                    <w:rPr>
                      <w:rFonts w:ascii="宋体" w:hAnsi="宋体" w:cs="宋体"/>
                      <w:szCs w:val="21"/>
                    </w:rPr>
                  </w:pPr>
                  <w:r>
                    <w:rPr>
                      <w:rFonts w:hint="eastAsia" w:ascii="宋体" w:hAnsi="宋体" w:cs="宋体"/>
                      <w:szCs w:val="21"/>
                    </w:rPr>
                    <w:t>1严格管理涉及易导致环境风险的有毒有害和易燃易爆物质的生产、使用、排放、贮运等新建、改扩建项目。</w:t>
                  </w:r>
                </w:p>
                <w:p>
                  <w:pPr>
                    <w:rPr>
                      <w:rFonts w:ascii="宋体" w:hAnsi="宋体" w:cs="宋体"/>
                      <w:szCs w:val="21"/>
                    </w:rPr>
                  </w:pPr>
                  <w:r>
                    <w:rPr>
                      <w:rFonts w:hint="eastAsia" w:ascii="宋体" w:hAnsi="宋体" w:cs="宋体"/>
                      <w:szCs w:val="21"/>
                    </w:rPr>
                    <w:t>2污染地块落实《污染地块土壤环境管理办法（试行）》要求，在环境调查、风险评估、治理与修复阶段实施土壤与地下水风险管控，暂不开发利用的地块实施以防治污染扩散为目的的土壤和地下水污染防治，对再开发利用地块实施以安全利用为目的的土壤和地下水污染防治。土壤环境污染重点监管企业、危化品仓储企业落实《工矿用地土壤环境管理办法（试行）》要求，实施项目环评、设计建设、拆除设施、终止经营全生命周期土壤和地下水污染防治。</w:t>
                  </w:r>
                </w:p>
              </w:tc>
              <w:tc>
                <w:tcPr>
                  <w:tcW w:w="1665" w:type="dxa"/>
                  <w:tcBorders>
                    <w:tl2br w:val="nil"/>
                    <w:tr2bl w:val="nil"/>
                  </w:tcBorders>
                  <w:vAlign w:val="center"/>
                </w:tcPr>
                <w:p>
                  <w:pPr>
                    <w:adjustRightInd w:val="0"/>
                    <w:snapToGrid w:val="0"/>
                    <w:rPr>
                      <w:rFonts w:ascii="宋体" w:hAnsi="宋体" w:cs="宋体"/>
                      <w:szCs w:val="21"/>
                    </w:rPr>
                  </w:pPr>
                  <w:r>
                    <w:rPr>
                      <w:rFonts w:hint="eastAsia" w:ascii="宋体" w:hAnsi="宋体" w:cs="宋体"/>
                      <w:szCs w:val="21"/>
                    </w:rPr>
                    <w:t>符合，本项目不涉及有毒有害和易燃易爆物质的生产、使用，不属于风险地块。项目运营期制定环境风险应急预案。</w:t>
                  </w:r>
                </w:p>
              </w:tc>
            </w:tr>
            <w:tr>
              <w:trPr>
                <w:trHeight w:val="90" w:hRule="atLeast"/>
              </w:trPr>
              <w:tc>
                <w:tcPr>
                  <w:tcW w:w="951" w:type="dxa"/>
                  <w:vMerge w:val="continue"/>
                  <w:tcBorders>
                    <w:tl2br w:val="nil"/>
                    <w:tr2bl w:val="nil"/>
                  </w:tcBorders>
                  <w:vAlign w:val="center"/>
                </w:tcPr>
                <w:p>
                  <w:pPr>
                    <w:adjustRightInd w:val="0"/>
                    <w:snapToGrid w:val="0"/>
                    <w:rPr>
                      <w:rFonts w:ascii="宋体" w:hAnsi="宋体" w:cs="宋体"/>
                      <w:szCs w:val="21"/>
                    </w:rPr>
                  </w:pPr>
                </w:p>
              </w:tc>
              <w:tc>
                <w:tcPr>
                  <w:tcW w:w="784" w:type="dxa"/>
                  <w:vMerge w:val="continue"/>
                  <w:tcBorders>
                    <w:tl2br w:val="nil"/>
                    <w:tr2bl w:val="nil"/>
                  </w:tcBorders>
                  <w:vAlign w:val="center"/>
                </w:tcPr>
                <w:p>
                  <w:pPr>
                    <w:adjustRightInd w:val="0"/>
                    <w:snapToGrid w:val="0"/>
                    <w:rPr>
                      <w:rFonts w:ascii="宋体" w:hAnsi="宋体" w:cs="宋体"/>
                      <w:szCs w:val="21"/>
                    </w:rPr>
                  </w:pPr>
                </w:p>
              </w:tc>
              <w:tc>
                <w:tcPr>
                  <w:tcW w:w="614" w:type="dxa"/>
                  <w:vMerge w:val="continue"/>
                  <w:tcBorders>
                    <w:tl2br w:val="nil"/>
                    <w:tr2bl w:val="nil"/>
                  </w:tcBorders>
                  <w:vAlign w:val="center"/>
                </w:tcPr>
                <w:p>
                  <w:pPr>
                    <w:adjustRightInd w:val="0"/>
                    <w:snapToGrid w:val="0"/>
                    <w:rPr>
                      <w:rFonts w:ascii="宋体" w:hAnsi="宋体" w:cs="宋体"/>
                      <w:szCs w:val="21"/>
                    </w:rPr>
                  </w:pPr>
                </w:p>
              </w:tc>
              <w:tc>
                <w:tcPr>
                  <w:tcW w:w="716" w:type="dxa"/>
                  <w:tcBorders>
                    <w:tl2br w:val="nil"/>
                    <w:tr2bl w:val="nil"/>
                  </w:tcBorders>
                  <w:vAlign w:val="center"/>
                </w:tcPr>
                <w:p>
                  <w:pPr>
                    <w:widowControl/>
                    <w:rPr>
                      <w:rFonts w:ascii="宋体" w:hAnsi="宋体" w:cs="宋体"/>
                      <w:kern w:val="0"/>
                      <w:szCs w:val="21"/>
                    </w:rPr>
                  </w:pPr>
                  <w:r>
                    <w:rPr>
                      <w:rFonts w:hint="eastAsia" w:ascii="宋体" w:hAnsi="宋体" w:cs="宋体"/>
                      <w:szCs w:val="21"/>
                    </w:rPr>
                    <w:t>资源开发效率</w:t>
                  </w:r>
                </w:p>
              </w:tc>
              <w:tc>
                <w:tcPr>
                  <w:tcW w:w="2062" w:type="dxa"/>
                  <w:tcBorders>
                    <w:tl2br w:val="nil"/>
                    <w:tr2bl w:val="nil"/>
                  </w:tcBorders>
                  <w:vAlign w:val="center"/>
                </w:tcPr>
                <w:p>
                  <w:pPr>
                    <w:widowControl/>
                    <w:rPr>
                      <w:rFonts w:ascii="宋体" w:hAnsi="宋体" w:cs="宋体"/>
                      <w:kern w:val="0"/>
                      <w:szCs w:val="21"/>
                    </w:rPr>
                  </w:pPr>
                  <w:r>
                    <w:rPr>
                      <w:rFonts w:hint="eastAsia" w:ascii="宋体" w:hAnsi="宋体" w:cs="宋体"/>
                      <w:szCs w:val="21"/>
                    </w:rPr>
                    <w:t>除在安全或者产业布局等方面有特殊要求的项目外，应严格控制新建、扩建采用高污染燃料的项目和设施。</w:t>
                  </w:r>
                </w:p>
              </w:tc>
              <w:tc>
                <w:tcPr>
                  <w:tcW w:w="1665" w:type="dxa"/>
                  <w:tcBorders>
                    <w:tl2br w:val="nil"/>
                    <w:tr2bl w:val="nil"/>
                  </w:tcBorders>
                  <w:vAlign w:val="center"/>
                </w:tcPr>
                <w:p>
                  <w:pPr>
                    <w:adjustRightInd w:val="0"/>
                    <w:snapToGrid w:val="0"/>
                    <w:rPr>
                      <w:rFonts w:ascii="宋体" w:hAnsi="宋体" w:cs="宋体"/>
                      <w:szCs w:val="21"/>
                    </w:rPr>
                  </w:pPr>
                  <w:r>
                    <w:rPr>
                      <w:rFonts w:hint="eastAsia" w:ascii="宋体" w:hAnsi="宋体" w:cs="宋体"/>
                      <w:szCs w:val="21"/>
                    </w:rPr>
                    <w:t>符合，本项目不涉及。</w:t>
                  </w:r>
                </w:p>
              </w:tc>
            </w:tr>
          </w:tbl>
          <w:p>
            <w:pPr>
              <w:spacing w:line="360" w:lineRule="auto"/>
              <w:ind w:firstLine="480" w:firstLineChars="200"/>
              <w:rPr>
                <w:sz w:val="24"/>
              </w:rPr>
            </w:pPr>
            <w:r>
              <w:rPr>
                <w:rFonts w:hint="eastAsia"/>
                <w:sz w:val="24"/>
              </w:rPr>
              <w:t>根据以上分析，本项目符合“生态环境分区管控”相关要求。</w:t>
            </w:r>
          </w:p>
          <w:p>
            <w:pPr>
              <w:autoSpaceDE w:val="0"/>
              <w:autoSpaceDN w:val="0"/>
              <w:spacing w:line="360" w:lineRule="auto"/>
              <w:ind w:firstLine="482" w:firstLineChars="200"/>
              <w:rPr>
                <w:i/>
                <w:iCs/>
                <w:sz w:val="24"/>
                <w:u w:val="single"/>
              </w:rPr>
            </w:pPr>
            <w:r>
              <w:rPr>
                <w:rFonts w:hint="eastAsia"/>
                <w:b/>
                <w:bCs/>
                <w:i/>
                <w:iCs/>
                <w:sz w:val="24"/>
                <w:u w:val="single"/>
              </w:rPr>
              <w:t>5、</w:t>
            </w:r>
            <w:bookmarkStart w:id="4" w:name="OLE_LINK4"/>
            <w:r>
              <w:rPr>
                <w:rFonts w:hint="eastAsia"/>
                <w:b/>
                <w:bCs/>
                <w:i/>
                <w:iCs/>
                <w:sz w:val="24"/>
                <w:u w:val="single"/>
              </w:rPr>
              <w:t>《报废农业机械回收拆解技术规范》（NY/T2900-2022）</w:t>
            </w:r>
            <w:bookmarkEnd w:id="4"/>
            <w:r>
              <w:rPr>
                <w:rFonts w:hint="eastAsia"/>
                <w:b/>
                <w:bCs/>
                <w:i/>
                <w:iCs/>
                <w:sz w:val="24"/>
                <w:u w:val="single"/>
              </w:rPr>
              <w:t>符合性分析</w:t>
            </w:r>
          </w:p>
          <w:p>
            <w:pPr>
              <w:autoSpaceDE w:val="0"/>
              <w:autoSpaceDN w:val="0"/>
              <w:spacing w:line="360" w:lineRule="auto"/>
              <w:ind w:firstLine="480" w:firstLineChars="200"/>
              <w:rPr>
                <w:i/>
                <w:iCs/>
                <w:sz w:val="24"/>
                <w:u w:val="single"/>
              </w:rPr>
            </w:pPr>
            <w:r>
              <w:rPr>
                <w:rFonts w:hint="eastAsia"/>
                <w:i/>
                <w:iCs/>
                <w:sz w:val="24"/>
                <w:u w:val="single"/>
              </w:rPr>
              <w:t>本次评价重点参照《报废农业机械回收拆解技术规范》（NY/T2900-2022）要求，具体分析见下表。</w:t>
            </w:r>
          </w:p>
          <w:p>
            <w:pPr>
              <w:autoSpaceDE w:val="0"/>
              <w:autoSpaceDN w:val="0"/>
              <w:ind w:firstLine="1687" w:firstLineChars="800"/>
              <w:rPr>
                <w:rFonts w:ascii="宋体" w:hAnsi="宋体" w:cs="宋体"/>
                <w:b/>
                <w:szCs w:val="21"/>
              </w:rPr>
            </w:pPr>
            <w:r>
              <w:rPr>
                <w:rFonts w:hint="eastAsia" w:ascii="宋体" w:hAnsi="宋体" w:cs="宋体"/>
                <w:b/>
                <w:szCs w:val="21"/>
              </w:rPr>
              <w:t>表1-4  本项目与技术规范的符合性一览表</w:t>
            </w:r>
          </w:p>
          <w:tbl>
            <w:tblPr>
              <w:tblW w:w="6793"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left w:w="108" w:type="dxa"/>
                <w:right w:w="108" w:type="dxa"/>
              </w:tblCellMar>
            </w:tblPr>
            <w:tblGrid>
              <w:gridCol w:w="1259"/>
              <w:gridCol w:w="3322"/>
              <w:gridCol w:w="2212"/>
            </w:tblGrid>
            <w:tr>
              <w:trPr>
                <w:trHeight w:val="23" w:hRule="atLeast"/>
                <w:jc w:val="center"/>
              </w:trPr>
              <w:tc>
                <w:tcPr>
                  <w:tcW w:w="1259" w:type="dxa"/>
                  <w:vAlign w:val="center"/>
                </w:tcPr>
                <w:p>
                  <w:pPr>
                    <w:autoSpaceDE w:val="0"/>
                    <w:autoSpaceDN w:val="0"/>
                    <w:ind w:firstLine="211" w:firstLineChars="100"/>
                    <w:rPr>
                      <w:b/>
                      <w:bCs/>
                      <w:i/>
                      <w:iCs/>
                      <w:szCs w:val="21"/>
                      <w:u w:val="single"/>
                    </w:rPr>
                  </w:pPr>
                  <w:r>
                    <w:rPr>
                      <w:rFonts w:hint="eastAsia"/>
                      <w:b/>
                      <w:bCs/>
                      <w:i/>
                      <w:iCs/>
                      <w:szCs w:val="21"/>
                      <w:u w:val="single"/>
                    </w:rPr>
                    <w:t>类别</w:t>
                  </w:r>
                </w:p>
              </w:tc>
              <w:tc>
                <w:tcPr>
                  <w:tcW w:w="3322" w:type="dxa"/>
                  <w:vAlign w:val="center"/>
                </w:tcPr>
                <w:p>
                  <w:pPr>
                    <w:autoSpaceDE w:val="0"/>
                    <w:autoSpaceDN w:val="0"/>
                    <w:rPr>
                      <w:b/>
                      <w:bCs/>
                      <w:i/>
                      <w:iCs/>
                      <w:szCs w:val="21"/>
                      <w:u w:val="single"/>
                    </w:rPr>
                  </w:pPr>
                  <w:r>
                    <w:rPr>
                      <w:rFonts w:hint="eastAsia"/>
                      <w:b/>
                      <w:bCs/>
                      <w:i/>
                      <w:iCs/>
                      <w:szCs w:val="21"/>
                      <w:u w:val="single"/>
                    </w:rPr>
                    <w:t>技术规范要求</w:t>
                  </w:r>
                </w:p>
              </w:tc>
              <w:tc>
                <w:tcPr>
                  <w:tcW w:w="2212" w:type="dxa"/>
                  <w:vAlign w:val="center"/>
                </w:tcPr>
                <w:p>
                  <w:pPr>
                    <w:autoSpaceDE w:val="0"/>
                    <w:autoSpaceDN w:val="0"/>
                    <w:rPr>
                      <w:b/>
                      <w:bCs/>
                      <w:i/>
                      <w:iCs/>
                      <w:szCs w:val="21"/>
                      <w:u w:val="single"/>
                    </w:rPr>
                  </w:pPr>
                  <w:r>
                    <w:rPr>
                      <w:rFonts w:hint="eastAsia"/>
                      <w:b/>
                      <w:bCs/>
                      <w:i/>
                      <w:iCs/>
                      <w:szCs w:val="21"/>
                      <w:u w:val="single"/>
                    </w:rPr>
                    <w:t>本项目情况</w:t>
                  </w:r>
                </w:p>
              </w:tc>
            </w:tr>
            <w:tr>
              <w:trPr>
                <w:trHeight w:val="23" w:hRule="atLeast"/>
                <w:jc w:val="center"/>
              </w:trPr>
              <w:tc>
                <w:tcPr>
                  <w:tcW w:w="1259" w:type="dxa"/>
                  <w:vMerge w:val="restart"/>
                  <w:vAlign w:val="center"/>
                </w:tcPr>
                <w:p>
                  <w:pPr>
                    <w:autoSpaceDE w:val="0"/>
                    <w:autoSpaceDN w:val="0"/>
                    <w:rPr>
                      <w:i/>
                      <w:iCs/>
                      <w:szCs w:val="21"/>
                      <w:u w:val="single"/>
                    </w:rPr>
                  </w:pPr>
                  <w:r>
                    <w:rPr>
                      <w:rFonts w:hint="eastAsia"/>
                      <w:i/>
                      <w:iCs/>
                      <w:szCs w:val="21"/>
                      <w:u w:val="single"/>
                    </w:rPr>
                    <w:t>基本要求</w:t>
                  </w:r>
                </w:p>
              </w:tc>
              <w:tc>
                <w:tcPr>
                  <w:tcW w:w="3322" w:type="dxa"/>
                  <w:vAlign w:val="center"/>
                </w:tcPr>
                <w:p>
                  <w:pPr>
                    <w:widowControl/>
                    <w:rPr>
                      <w:i/>
                      <w:iCs/>
                      <w:szCs w:val="21"/>
                      <w:u w:val="single"/>
                    </w:rPr>
                  </w:pPr>
                  <w:r>
                    <w:rPr>
                      <w:rFonts w:hint="eastAsia" w:ascii="宋体" w:hAnsi="宋体" w:cs="宋体"/>
                      <w:i/>
                      <w:iCs/>
                      <w:kern w:val="0"/>
                      <w:szCs w:val="21"/>
                      <w:u w:val="single"/>
                    </w:rPr>
                    <w:t>报废农业机械回收拆解一般作业流程： 报废农业机械回收→回收确认→按报废标准验收→牌证注销（适用时）→提报信息→拆解→内控监销→拆解物料存储→固废和危险废物处理→资源再生利用或回收利用→报废农机建档。</w:t>
                  </w:r>
                </w:p>
              </w:tc>
              <w:tc>
                <w:tcPr>
                  <w:tcW w:w="2212" w:type="dxa"/>
                  <w:vAlign w:val="center"/>
                </w:tcPr>
                <w:p>
                  <w:pPr>
                    <w:widowControl/>
                    <w:rPr>
                      <w:i/>
                      <w:iCs/>
                      <w:szCs w:val="21"/>
                      <w:u w:val="single"/>
                    </w:rPr>
                  </w:pPr>
                  <w:r>
                    <w:rPr>
                      <w:rFonts w:hint="eastAsia" w:ascii="宋体" w:hAnsi="宋体" w:cs="宋体"/>
                      <w:i/>
                      <w:iCs/>
                      <w:kern w:val="0"/>
                      <w:szCs w:val="21"/>
                      <w:u w:val="single"/>
                    </w:rPr>
                    <w:t>符合。本项目遵循报废农业机械回收拆解一般作业流程。</w:t>
                  </w:r>
                </w:p>
              </w:tc>
            </w:tr>
            <w:tr>
              <w:trPr>
                <w:trHeight w:val="23" w:hRule="atLeast"/>
                <w:jc w:val="center"/>
              </w:trPr>
              <w:tc>
                <w:tcPr>
                  <w:tcW w:w="1259" w:type="dxa"/>
                  <w:vMerge w:val="continue"/>
                  <w:vAlign w:val="center"/>
                </w:tcPr>
                <w:p>
                  <w:pPr>
                    <w:autoSpaceDE w:val="0"/>
                    <w:autoSpaceDN w:val="0"/>
                    <w:rPr>
                      <w:i/>
                      <w:iCs/>
                      <w:szCs w:val="21"/>
                      <w:u w:val="single"/>
                    </w:rPr>
                  </w:pPr>
                </w:p>
              </w:tc>
              <w:tc>
                <w:tcPr>
                  <w:tcW w:w="3322" w:type="dxa"/>
                  <w:vAlign w:val="center"/>
                </w:tcPr>
                <w:p>
                  <w:pPr>
                    <w:widowControl/>
                    <w:rPr>
                      <w:i/>
                      <w:iCs/>
                      <w:szCs w:val="21"/>
                      <w:u w:val="single"/>
                    </w:rPr>
                  </w:pPr>
                  <w:r>
                    <w:rPr>
                      <w:rFonts w:hint="eastAsia" w:ascii="宋体" w:hAnsi="宋体" w:cs="宋体"/>
                      <w:i/>
                      <w:iCs/>
                      <w:kern w:val="0"/>
                      <w:szCs w:val="21"/>
                      <w:u w:val="single"/>
                    </w:rPr>
                    <w:t>企业应具有专业技术人员，其专业能力应能达到规范拆解、环保作业、安全操作（含危险物质收集存储、运输）等相应要求，并配备专业安全生产管理人员和环保人员，国家有持证上岗规定的岗位，应持证上岗。</w:t>
                  </w:r>
                </w:p>
              </w:tc>
              <w:tc>
                <w:tcPr>
                  <w:tcW w:w="2212" w:type="dxa"/>
                  <w:vAlign w:val="center"/>
                </w:tcPr>
                <w:p>
                  <w:pPr>
                    <w:widowControl/>
                    <w:rPr>
                      <w:i/>
                      <w:iCs/>
                      <w:szCs w:val="21"/>
                      <w:u w:val="single"/>
                    </w:rPr>
                  </w:pPr>
                  <w:r>
                    <w:rPr>
                      <w:rFonts w:hint="eastAsia" w:ascii="宋体" w:hAnsi="宋体" w:cs="宋体"/>
                      <w:i/>
                      <w:iCs/>
                      <w:kern w:val="0"/>
                      <w:szCs w:val="21"/>
                      <w:u w:val="single"/>
                    </w:rPr>
                    <w:t>符合。本项目具有专业技术人员并配备专业安全生产管理人员和环保人员。</w:t>
                  </w:r>
                </w:p>
              </w:tc>
            </w:tr>
            <w:tr>
              <w:trPr>
                <w:trHeight w:val="23" w:hRule="atLeast"/>
                <w:jc w:val="center"/>
              </w:trPr>
              <w:tc>
                <w:tcPr>
                  <w:tcW w:w="1259" w:type="dxa"/>
                  <w:vMerge w:val="continue"/>
                  <w:vAlign w:val="center"/>
                </w:tcPr>
                <w:p>
                  <w:pPr>
                    <w:autoSpaceDE w:val="0"/>
                    <w:autoSpaceDN w:val="0"/>
                    <w:rPr>
                      <w:i/>
                      <w:iCs/>
                      <w:szCs w:val="21"/>
                      <w:u w:val="single"/>
                    </w:rPr>
                  </w:pPr>
                </w:p>
              </w:tc>
              <w:tc>
                <w:tcPr>
                  <w:tcW w:w="3322" w:type="dxa"/>
                  <w:vAlign w:val="center"/>
                </w:tcPr>
                <w:p>
                  <w:pPr>
                    <w:widowControl/>
                    <w:rPr>
                      <w:i/>
                      <w:iCs/>
                      <w:szCs w:val="21"/>
                      <w:u w:val="single"/>
                    </w:rPr>
                  </w:pPr>
                  <w:r>
                    <w:rPr>
                      <w:rFonts w:hint="eastAsia" w:ascii="宋体" w:hAnsi="宋体" w:cs="宋体"/>
                      <w:i/>
                      <w:iCs/>
                      <w:kern w:val="0"/>
                      <w:szCs w:val="21"/>
                      <w:u w:val="single"/>
                    </w:rPr>
                    <w:t>具有拆解电动自走式农业机械业务的企业，应具有动力蓄电池储存管理人员及</w:t>
                  </w:r>
                  <w:r>
                    <w:rPr>
                      <w:i/>
                      <w:iCs/>
                      <w:kern w:val="0"/>
                      <w:szCs w:val="21"/>
                      <w:u w:val="single"/>
                    </w:rPr>
                    <w:t>2</w:t>
                  </w:r>
                  <w:r>
                    <w:rPr>
                      <w:rFonts w:hint="eastAsia" w:ascii="宋体" w:hAnsi="宋体" w:cs="宋体"/>
                      <w:i/>
                      <w:iCs/>
                      <w:kern w:val="0"/>
                      <w:szCs w:val="21"/>
                      <w:u w:val="single"/>
                    </w:rPr>
                    <w:t xml:space="preserve">名以上持电工特种作业操作证人员。 </w:t>
                  </w:r>
                </w:p>
                <w:p>
                  <w:pPr>
                    <w:widowControl/>
                    <w:rPr>
                      <w:i/>
                      <w:iCs/>
                      <w:szCs w:val="21"/>
                      <w:u w:val="single"/>
                    </w:rPr>
                  </w:pPr>
                  <w:r>
                    <w:rPr>
                      <w:rFonts w:hint="eastAsia" w:ascii="宋体" w:hAnsi="宋体" w:cs="宋体"/>
                      <w:i/>
                      <w:iCs/>
                      <w:kern w:val="0"/>
                      <w:szCs w:val="21"/>
                      <w:u w:val="single"/>
                    </w:rPr>
                    <w:t>动力蓄电池储存管理人员应具有动力蓄电池防火、防泄漏、防短路等相关专业知识。拆解人员应在机械生产企业提供的拆解信息指导下进行拆解。</w:t>
                  </w:r>
                </w:p>
              </w:tc>
              <w:tc>
                <w:tcPr>
                  <w:tcW w:w="2212" w:type="dxa"/>
                  <w:vAlign w:val="center"/>
                </w:tcPr>
                <w:p>
                  <w:pPr>
                    <w:widowControl/>
                    <w:rPr>
                      <w:i/>
                      <w:iCs/>
                      <w:szCs w:val="21"/>
                      <w:u w:val="single"/>
                    </w:rPr>
                  </w:pPr>
                  <w:r>
                    <w:rPr>
                      <w:rFonts w:hint="eastAsia" w:ascii="宋体" w:hAnsi="宋体" w:cs="宋体"/>
                      <w:i/>
                      <w:iCs/>
                      <w:kern w:val="0"/>
                      <w:szCs w:val="21"/>
                      <w:u w:val="single"/>
                    </w:rPr>
                    <w:t>符合。本项目不涉及拆解电动自走式农业机械。</w:t>
                  </w:r>
                </w:p>
              </w:tc>
            </w:tr>
            <w:tr>
              <w:trPr>
                <w:trHeight w:val="23" w:hRule="atLeast"/>
                <w:jc w:val="center"/>
              </w:trPr>
              <w:tc>
                <w:tcPr>
                  <w:tcW w:w="1259" w:type="dxa"/>
                  <w:vMerge w:val="continue"/>
                  <w:vAlign w:val="center"/>
                </w:tcPr>
                <w:p>
                  <w:pPr>
                    <w:autoSpaceDE w:val="0"/>
                    <w:autoSpaceDN w:val="0"/>
                    <w:rPr>
                      <w:i/>
                      <w:iCs/>
                      <w:szCs w:val="21"/>
                      <w:u w:val="single"/>
                    </w:rPr>
                  </w:pPr>
                </w:p>
              </w:tc>
              <w:tc>
                <w:tcPr>
                  <w:tcW w:w="3322" w:type="dxa"/>
                  <w:vAlign w:val="center"/>
                </w:tcPr>
                <w:p>
                  <w:pPr>
                    <w:widowControl/>
                    <w:rPr>
                      <w:i/>
                      <w:iCs/>
                      <w:szCs w:val="21"/>
                      <w:u w:val="single"/>
                    </w:rPr>
                  </w:pPr>
                  <w:r>
                    <w:rPr>
                      <w:rFonts w:hint="eastAsia" w:ascii="宋体" w:hAnsi="宋体" w:cs="宋体"/>
                      <w:i/>
                      <w:iCs/>
                      <w:kern w:val="0"/>
                      <w:szCs w:val="21"/>
                      <w:u w:val="single"/>
                    </w:rPr>
                    <w:t>报废农业机械拆解作业场地应有独立的拆解区、产品及拆解后物料储存区、固体废物或危险废物料储存控制区等各功能区，各功能区场地面积应与拆解能力相匹配，场地总面积宜不低于</w:t>
                  </w:r>
                  <w:r>
                    <w:rPr>
                      <w:i/>
                      <w:iCs/>
                      <w:kern w:val="0"/>
                      <w:szCs w:val="21"/>
                      <w:u w:val="single"/>
                    </w:rPr>
                    <w:t>2000m</w:t>
                  </w:r>
                  <w:r>
                    <w:rPr>
                      <w:i/>
                      <w:iCs/>
                      <w:kern w:val="0"/>
                      <w:szCs w:val="21"/>
                      <w:u w:val="single"/>
                      <w:vertAlign w:val="superscript"/>
                    </w:rPr>
                    <w:t>2</w:t>
                  </w:r>
                  <w:r>
                    <w:rPr>
                      <w:rFonts w:hint="eastAsia" w:ascii="宋体" w:hAnsi="宋体" w:cs="宋体"/>
                      <w:i/>
                      <w:iCs/>
                      <w:kern w:val="0"/>
                      <w:szCs w:val="21"/>
                      <w:u w:val="single"/>
                    </w:rPr>
                    <w:t>，作业场地（包括拆解和储存场地）面积不低于场地总面积的</w:t>
                  </w:r>
                  <w:r>
                    <w:rPr>
                      <w:i/>
                      <w:iCs/>
                      <w:kern w:val="0"/>
                      <w:szCs w:val="21"/>
                      <w:u w:val="single"/>
                    </w:rPr>
                    <w:t>70%</w:t>
                  </w:r>
                  <w:r>
                    <w:rPr>
                      <w:rFonts w:hint="eastAsia" w:ascii="宋体" w:hAnsi="宋体" w:cs="宋体"/>
                      <w:i/>
                      <w:iCs/>
                      <w:kern w:val="0"/>
                      <w:szCs w:val="21"/>
                      <w:u w:val="single"/>
                    </w:rPr>
                    <w:t>。报废农机回收拆解企业应通过环境影响评价，选址合理。</w:t>
                  </w:r>
                </w:p>
              </w:tc>
              <w:tc>
                <w:tcPr>
                  <w:tcW w:w="2212" w:type="dxa"/>
                  <w:vAlign w:val="center"/>
                </w:tcPr>
                <w:p>
                  <w:pPr>
                    <w:widowControl/>
                    <w:rPr>
                      <w:i/>
                      <w:iCs/>
                      <w:szCs w:val="21"/>
                      <w:u w:val="single"/>
                    </w:rPr>
                  </w:pPr>
                  <w:r>
                    <w:rPr>
                      <w:rFonts w:hint="eastAsia" w:ascii="宋体" w:hAnsi="宋体" w:cs="宋体"/>
                      <w:i/>
                      <w:iCs/>
                      <w:kern w:val="0"/>
                      <w:szCs w:val="21"/>
                      <w:u w:val="single"/>
                    </w:rPr>
                    <w:t>符合，本项目报废农业机械拆解作业场地有独立的拆解区、产品及拆解后物料储存区、固体废物或危险废物料储存控制区等各功能区，各功能区场地面积与拆解能力相匹配，厂房总面积为</w:t>
                  </w:r>
                  <w:r>
                    <w:rPr>
                      <w:rFonts w:hint="eastAsia"/>
                      <w:i/>
                      <w:iCs/>
                      <w:spacing w:val="-6"/>
                      <w:szCs w:val="21"/>
                      <w:u w:val="single"/>
                    </w:rPr>
                    <w:t>2058.15</w:t>
                  </w:r>
                  <w:r>
                    <w:rPr>
                      <w:i/>
                      <w:iCs/>
                      <w:spacing w:val="-6"/>
                      <w:szCs w:val="21"/>
                      <w:u w:val="single"/>
                    </w:rPr>
                    <w:t>m</w:t>
                  </w:r>
                  <w:r>
                    <w:rPr>
                      <w:i/>
                      <w:iCs/>
                      <w:spacing w:val="-6"/>
                      <w:szCs w:val="21"/>
                      <w:u w:val="single"/>
                      <w:vertAlign w:val="superscript"/>
                    </w:rPr>
                    <w:t>2</w:t>
                  </w:r>
                  <w:r>
                    <w:rPr>
                      <w:rFonts w:hint="eastAsia" w:ascii="宋体" w:hAnsi="宋体" w:cs="宋体"/>
                      <w:i/>
                      <w:iCs/>
                      <w:kern w:val="0"/>
                      <w:szCs w:val="21"/>
                      <w:u w:val="single"/>
                    </w:rPr>
                    <w:t>，拆解和储存场地面积不低于场地总面积的</w:t>
                  </w:r>
                  <w:r>
                    <w:rPr>
                      <w:i/>
                      <w:iCs/>
                      <w:kern w:val="0"/>
                      <w:szCs w:val="21"/>
                      <w:u w:val="single"/>
                    </w:rPr>
                    <w:t>70%</w:t>
                  </w:r>
                  <w:r>
                    <w:rPr>
                      <w:rFonts w:hint="eastAsia"/>
                      <w:i/>
                      <w:iCs/>
                      <w:kern w:val="0"/>
                      <w:szCs w:val="21"/>
                      <w:u w:val="single"/>
                    </w:rPr>
                    <w:t>。</w:t>
                  </w:r>
                </w:p>
              </w:tc>
            </w:tr>
            <w:tr>
              <w:trPr>
                <w:trHeight w:val="23" w:hRule="atLeast"/>
                <w:jc w:val="center"/>
              </w:trPr>
              <w:tc>
                <w:tcPr>
                  <w:tcW w:w="1259" w:type="dxa"/>
                  <w:vMerge w:val="continue"/>
                  <w:vAlign w:val="center"/>
                </w:tcPr>
                <w:p>
                  <w:pPr>
                    <w:autoSpaceDE w:val="0"/>
                    <w:autoSpaceDN w:val="0"/>
                    <w:rPr>
                      <w:i/>
                      <w:iCs/>
                      <w:szCs w:val="21"/>
                      <w:u w:val="single"/>
                    </w:rPr>
                  </w:pPr>
                </w:p>
              </w:tc>
              <w:tc>
                <w:tcPr>
                  <w:tcW w:w="3322" w:type="dxa"/>
                  <w:vAlign w:val="center"/>
                </w:tcPr>
                <w:p>
                  <w:pPr>
                    <w:widowControl/>
                    <w:rPr>
                      <w:i/>
                      <w:iCs/>
                      <w:szCs w:val="21"/>
                      <w:u w:val="single"/>
                    </w:rPr>
                  </w:pPr>
                  <w:r>
                    <w:rPr>
                      <w:rFonts w:hint="eastAsia" w:ascii="宋体" w:hAnsi="宋体" w:cs="宋体"/>
                      <w:i/>
                      <w:iCs/>
                      <w:kern w:val="0"/>
                      <w:szCs w:val="21"/>
                      <w:u w:val="single"/>
                    </w:rPr>
                    <w:t>拆解区、产品及拆解后物料储存区、固体废物或危险废物储存控制区功能设计符合拆解能力，标识明显，具有防风、防雨和防雷功能，并满足</w:t>
                  </w:r>
                  <w:r>
                    <w:rPr>
                      <w:i/>
                      <w:iCs/>
                      <w:kern w:val="0"/>
                      <w:szCs w:val="21"/>
                      <w:u w:val="single"/>
                    </w:rPr>
                    <w:t>GB18599</w:t>
                  </w:r>
                  <w:r>
                    <w:rPr>
                      <w:rFonts w:hint="eastAsia" w:ascii="宋体" w:hAnsi="宋体" w:cs="宋体"/>
                      <w:i/>
                      <w:iCs/>
                      <w:kern w:val="0"/>
                      <w:szCs w:val="21"/>
                      <w:u w:val="single"/>
                    </w:rPr>
                    <w:t>规定的要求。固体废物储存场地应具有满足</w:t>
                  </w:r>
                  <w:r>
                    <w:rPr>
                      <w:i/>
                      <w:iCs/>
                      <w:kern w:val="0"/>
                      <w:szCs w:val="21"/>
                      <w:u w:val="single"/>
                    </w:rPr>
                    <w:t>GB18599</w:t>
                  </w:r>
                  <w:r>
                    <w:rPr>
                      <w:rFonts w:hint="eastAsia" w:ascii="宋体" w:hAnsi="宋体" w:cs="宋体"/>
                      <w:i/>
                      <w:iCs/>
                      <w:kern w:val="0"/>
                      <w:szCs w:val="21"/>
                      <w:u w:val="single"/>
                    </w:rPr>
                    <w:t>要求的一般工业固废储存设施和满足</w:t>
                  </w:r>
                  <w:r>
                    <w:rPr>
                      <w:i/>
                      <w:iCs/>
                      <w:kern w:val="0"/>
                      <w:szCs w:val="21"/>
                      <w:u w:val="single"/>
                    </w:rPr>
                    <w:t>GB18597</w:t>
                  </w:r>
                  <w:r>
                    <w:rPr>
                      <w:rFonts w:hint="eastAsia" w:ascii="宋体" w:hAnsi="宋体" w:cs="宋体"/>
                      <w:i/>
                      <w:iCs/>
                      <w:kern w:val="0"/>
                      <w:szCs w:val="21"/>
                      <w:u w:val="single"/>
                    </w:rPr>
                    <w:t>要求的危险废物储存设施。</w:t>
                  </w:r>
                </w:p>
              </w:tc>
              <w:tc>
                <w:tcPr>
                  <w:tcW w:w="2212" w:type="dxa"/>
                  <w:vAlign w:val="center"/>
                </w:tcPr>
                <w:p>
                  <w:pPr>
                    <w:widowControl/>
                    <w:rPr>
                      <w:i/>
                      <w:iCs/>
                      <w:szCs w:val="21"/>
                      <w:u w:val="single"/>
                    </w:rPr>
                  </w:pPr>
                  <w:r>
                    <w:rPr>
                      <w:rFonts w:hint="eastAsia" w:ascii="宋体" w:hAnsi="宋体" w:cs="宋体"/>
                      <w:i/>
                      <w:iCs/>
                      <w:kern w:val="0"/>
                      <w:szCs w:val="21"/>
                      <w:u w:val="single"/>
                    </w:rPr>
                    <w:t>符合。本项目固体废物储存场地具有满足</w:t>
                  </w:r>
                  <w:r>
                    <w:rPr>
                      <w:i/>
                      <w:iCs/>
                      <w:kern w:val="0"/>
                      <w:szCs w:val="21"/>
                      <w:u w:val="single"/>
                    </w:rPr>
                    <w:t>GB18599</w:t>
                  </w:r>
                  <w:r>
                    <w:rPr>
                      <w:rFonts w:hint="eastAsia" w:ascii="宋体" w:hAnsi="宋体" w:cs="宋体"/>
                      <w:i/>
                      <w:iCs/>
                      <w:kern w:val="0"/>
                      <w:szCs w:val="21"/>
                      <w:u w:val="single"/>
                    </w:rPr>
                    <w:t>要求的一般工业固废储存设施和满足</w:t>
                  </w:r>
                  <w:r>
                    <w:rPr>
                      <w:i/>
                      <w:iCs/>
                      <w:kern w:val="0"/>
                      <w:szCs w:val="21"/>
                      <w:u w:val="single"/>
                    </w:rPr>
                    <w:t>GB18597</w:t>
                  </w:r>
                  <w:r>
                    <w:rPr>
                      <w:rFonts w:hint="eastAsia" w:ascii="宋体" w:hAnsi="宋体" w:cs="宋体"/>
                      <w:i/>
                      <w:iCs/>
                      <w:kern w:val="0"/>
                      <w:szCs w:val="21"/>
                      <w:u w:val="single"/>
                    </w:rPr>
                    <w:t>要求的危险废物储存设施。</w:t>
                  </w:r>
                </w:p>
              </w:tc>
            </w:tr>
            <w:tr>
              <w:trPr>
                <w:trHeight w:val="23" w:hRule="atLeast"/>
                <w:jc w:val="center"/>
              </w:trPr>
              <w:tc>
                <w:tcPr>
                  <w:tcW w:w="1259" w:type="dxa"/>
                  <w:vMerge w:val="continue"/>
                  <w:vAlign w:val="center"/>
                </w:tcPr>
                <w:p>
                  <w:pPr>
                    <w:autoSpaceDE w:val="0"/>
                    <w:autoSpaceDN w:val="0"/>
                    <w:rPr>
                      <w:i/>
                      <w:iCs/>
                      <w:szCs w:val="21"/>
                      <w:u w:val="single"/>
                    </w:rPr>
                  </w:pPr>
                </w:p>
              </w:tc>
              <w:tc>
                <w:tcPr>
                  <w:tcW w:w="3322" w:type="dxa"/>
                  <w:vAlign w:val="center"/>
                </w:tcPr>
                <w:p>
                  <w:pPr>
                    <w:widowControl/>
                    <w:rPr>
                      <w:i/>
                      <w:iCs/>
                      <w:szCs w:val="21"/>
                      <w:u w:val="single"/>
                    </w:rPr>
                  </w:pPr>
                  <w:r>
                    <w:rPr>
                      <w:rFonts w:hint="eastAsia" w:ascii="宋体" w:hAnsi="宋体" w:cs="宋体"/>
                      <w:i/>
                      <w:iCs/>
                      <w:kern w:val="0"/>
                      <w:szCs w:val="21"/>
                      <w:u w:val="single"/>
                    </w:rPr>
                    <w:t>拆解车间应为封闭或半封闭车间，通风、光线良好，地面硬化且防渗漏，安全防范设施齐全；存储场地（包括临时存储）的地面应硬化并防渗漏。所有场所应满足</w:t>
                  </w:r>
                  <w:r>
                    <w:rPr>
                      <w:i/>
                      <w:iCs/>
                      <w:kern w:val="0"/>
                      <w:szCs w:val="21"/>
                      <w:u w:val="single"/>
                    </w:rPr>
                    <w:t>GB50037</w:t>
                  </w:r>
                  <w:r>
                    <w:rPr>
                      <w:rFonts w:hint="eastAsia" w:ascii="宋体" w:hAnsi="宋体" w:cs="宋体"/>
                      <w:i/>
                      <w:iCs/>
                      <w:kern w:val="0"/>
                      <w:szCs w:val="21"/>
                      <w:u w:val="single"/>
                    </w:rPr>
                    <w:t>规定的防渗漏要求。</w:t>
                  </w:r>
                </w:p>
              </w:tc>
              <w:tc>
                <w:tcPr>
                  <w:tcW w:w="2212" w:type="dxa"/>
                  <w:vAlign w:val="center"/>
                </w:tcPr>
                <w:p>
                  <w:pPr>
                    <w:widowControl/>
                    <w:rPr>
                      <w:i/>
                      <w:iCs/>
                      <w:szCs w:val="21"/>
                      <w:u w:val="single"/>
                    </w:rPr>
                  </w:pPr>
                  <w:r>
                    <w:rPr>
                      <w:rFonts w:hint="eastAsia" w:ascii="宋体" w:hAnsi="宋体" w:cs="宋体"/>
                      <w:i/>
                      <w:iCs/>
                      <w:kern w:val="0"/>
                      <w:szCs w:val="21"/>
                      <w:u w:val="single"/>
                    </w:rPr>
                    <w:t>符合。本项目拆解区为封闭车间，通风、光线良好，地面硬化且防渗漏，安全防范设施齐全。存储场地的地面硬化并防渗漏。所有场所满足</w:t>
                  </w:r>
                  <w:r>
                    <w:rPr>
                      <w:i/>
                      <w:iCs/>
                      <w:kern w:val="0"/>
                      <w:szCs w:val="21"/>
                      <w:u w:val="single"/>
                    </w:rPr>
                    <w:t>GB50037</w:t>
                  </w:r>
                  <w:r>
                    <w:rPr>
                      <w:rFonts w:hint="eastAsia" w:ascii="宋体" w:hAnsi="宋体" w:cs="宋体"/>
                      <w:i/>
                      <w:iCs/>
                      <w:kern w:val="0"/>
                      <w:szCs w:val="21"/>
                      <w:u w:val="single"/>
                    </w:rPr>
                    <w:t>规定的防渗漏要求。</w:t>
                  </w:r>
                </w:p>
              </w:tc>
            </w:tr>
            <w:tr>
              <w:trPr>
                <w:trHeight w:val="23" w:hRule="atLeast"/>
                <w:jc w:val="center"/>
              </w:trPr>
              <w:tc>
                <w:tcPr>
                  <w:tcW w:w="1259" w:type="dxa"/>
                  <w:vMerge w:val="continue"/>
                  <w:vAlign w:val="center"/>
                </w:tcPr>
                <w:p>
                  <w:pPr>
                    <w:autoSpaceDE w:val="0"/>
                    <w:autoSpaceDN w:val="0"/>
                    <w:rPr>
                      <w:i/>
                      <w:iCs/>
                      <w:szCs w:val="21"/>
                      <w:u w:val="single"/>
                    </w:rPr>
                  </w:pPr>
                </w:p>
              </w:tc>
              <w:tc>
                <w:tcPr>
                  <w:tcW w:w="3322" w:type="dxa"/>
                  <w:vAlign w:val="center"/>
                </w:tcPr>
                <w:p>
                  <w:pPr>
                    <w:widowControl/>
                    <w:rPr>
                      <w:i/>
                      <w:iCs/>
                      <w:szCs w:val="21"/>
                      <w:u w:val="single"/>
                    </w:rPr>
                  </w:pPr>
                  <w:r>
                    <w:rPr>
                      <w:rFonts w:hint="eastAsia" w:ascii="宋体" w:hAnsi="宋体" w:cs="宋体"/>
                      <w:i/>
                      <w:iCs/>
                      <w:kern w:val="0"/>
                      <w:szCs w:val="21"/>
                      <w:u w:val="single"/>
                    </w:rPr>
                    <w:t>场地建设应包含有害气体，易燃气体处置场所，且工艺符合</w:t>
                  </w:r>
                  <w:r>
                    <w:rPr>
                      <w:i/>
                      <w:iCs/>
                      <w:kern w:val="0"/>
                      <w:szCs w:val="21"/>
                      <w:u w:val="single"/>
                    </w:rPr>
                    <w:t>HJ348</w:t>
                  </w:r>
                  <w:r>
                    <w:rPr>
                      <w:rFonts w:hint="eastAsia" w:ascii="宋体" w:hAnsi="宋体" w:cs="宋体"/>
                      <w:i/>
                      <w:iCs/>
                      <w:kern w:val="0"/>
                      <w:szCs w:val="21"/>
                      <w:u w:val="single"/>
                    </w:rPr>
                    <w:t>的相关规定；应对污水进行无害处理，污水、清水做好分流，符合</w:t>
                  </w:r>
                  <w:r>
                    <w:rPr>
                      <w:i/>
                      <w:iCs/>
                      <w:kern w:val="0"/>
                      <w:szCs w:val="21"/>
                      <w:u w:val="single"/>
                    </w:rPr>
                    <w:t>HJ348</w:t>
                  </w:r>
                  <w:r>
                    <w:rPr>
                      <w:rFonts w:hint="eastAsia" w:ascii="宋体" w:hAnsi="宋体" w:cs="宋体"/>
                      <w:i/>
                      <w:iCs/>
                      <w:kern w:val="0"/>
                      <w:szCs w:val="21"/>
                      <w:u w:val="single"/>
                    </w:rPr>
                    <w:t>的相关规定；拆解车间消防设施齐全，应有足够的安全通道、紧急照明及疏散标识。</w:t>
                  </w:r>
                </w:p>
              </w:tc>
              <w:tc>
                <w:tcPr>
                  <w:tcW w:w="2212" w:type="dxa"/>
                  <w:vAlign w:val="center"/>
                </w:tcPr>
                <w:p>
                  <w:pPr>
                    <w:widowControl/>
                    <w:rPr>
                      <w:i/>
                      <w:iCs/>
                      <w:szCs w:val="21"/>
                      <w:u w:val="single"/>
                    </w:rPr>
                  </w:pPr>
                  <w:r>
                    <w:rPr>
                      <w:rFonts w:hint="eastAsia" w:ascii="宋体" w:hAnsi="宋体" w:cs="宋体"/>
                      <w:i/>
                      <w:iCs/>
                      <w:kern w:val="0"/>
                      <w:szCs w:val="21"/>
                      <w:u w:val="single"/>
                    </w:rPr>
                    <w:t>符合。本项目设废气处理设施后达标排放；本项目污水、清水分流，生活污水排入厂区防渗化粪池，定期清掏不外排。初期雨水经油水分离器处理后，排入污水暂存池，定期经罐车送柳河县污水处理厂处理后排放。拆解车间消防设施齐全，有足够的安全通道、紧急照明及疏散标识。</w:t>
                  </w:r>
                </w:p>
              </w:tc>
            </w:tr>
            <w:tr>
              <w:trPr>
                <w:trHeight w:val="23" w:hRule="atLeast"/>
                <w:jc w:val="center"/>
              </w:trPr>
              <w:tc>
                <w:tcPr>
                  <w:tcW w:w="1259" w:type="dxa"/>
                  <w:vMerge w:val="continue"/>
                  <w:vAlign w:val="center"/>
                </w:tcPr>
                <w:p>
                  <w:pPr>
                    <w:autoSpaceDE w:val="0"/>
                    <w:autoSpaceDN w:val="0"/>
                    <w:rPr>
                      <w:i/>
                      <w:iCs/>
                      <w:szCs w:val="21"/>
                      <w:u w:val="single"/>
                    </w:rPr>
                  </w:pPr>
                </w:p>
              </w:tc>
              <w:tc>
                <w:tcPr>
                  <w:tcW w:w="3322" w:type="dxa"/>
                  <w:vAlign w:val="center"/>
                </w:tcPr>
                <w:p>
                  <w:pPr>
                    <w:widowControl/>
                    <w:rPr>
                      <w:i/>
                      <w:iCs/>
                      <w:szCs w:val="21"/>
                      <w:u w:val="single"/>
                    </w:rPr>
                  </w:pPr>
                  <w:r>
                    <w:rPr>
                      <w:rFonts w:hint="eastAsia" w:ascii="宋体" w:hAnsi="宋体" w:cs="宋体"/>
                      <w:i/>
                      <w:iCs/>
                      <w:kern w:val="0"/>
                      <w:szCs w:val="21"/>
                      <w:u w:val="single"/>
                    </w:rPr>
                    <w:t>报废农业机械拆解企业宜配备达标的设备，包括但不限于农业机械拆解线、称重设备、起重运输设备、剪断设备、挤压设备、切割设备、破碎设备、专用容器等，在排空易燃易爆及有毒有害液体、气体物品时，应使用专用处理设备，且工作环境安全可靠，防爆等级符合标准要求。危险拆解工位增加智能化工艺装备，实现无人自动拆解。</w:t>
                  </w:r>
                </w:p>
              </w:tc>
              <w:tc>
                <w:tcPr>
                  <w:tcW w:w="2212" w:type="dxa"/>
                  <w:vAlign w:val="center"/>
                </w:tcPr>
                <w:p>
                  <w:pPr>
                    <w:widowControl/>
                    <w:rPr>
                      <w:i/>
                      <w:iCs/>
                      <w:szCs w:val="21"/>
                      <w:u w:val="single"/>
                    </w:rPr>
                  </w:pPr>
                  <w:r>
                    <w:rPr>
                      <w:rFonts w:hint="eastAsia" w:ascii="宋体" w:hAnsi="宋体" w:cs="宋体"/>
                      <w:i/>
                      <w:iCs/>
                      <w:kern w:val="0"/>
                      <w:szCs w:val="21"/>
                      <w:u w:val="single"/>
                    </w:rPr>
                    <w:t>符合。本项目包括农业机械拆解线、称重设备、剪断设备、抽油机等，不包括挤压设备、破碎设备等。在排空易燃易爆及有毒有害液体、气体物品时，使用专用处理设备，且工作环境安全可靠，防爆等级符合标准要求。</w:t>
                  </w:r>
                </w:p>
              </w:tc>
            </w:tr>
            <w:tr>
              <w:trPr>
                <w:trHeight w:val="23" w:hRule="atLeast"/>
                <w:jc w:val="center"/>
              </w:trPr>
              <w:tc>
                <w:tcPr>
                  <w:tcW w:w="1259" w:type="dxa"/>
                  <w:vMerge w:val="continue"/>
                  <w:vAlign w:val="center"/>
                </w:tcPr>
                <w:p>
                  <w:pPr>
                    <w:autoSpaceDE w:val="0"/>
                    <w:autoSpaceDN w:val="0"/>
                    <w:rPr>
                      <w:i/>
                      <w:iCs/>
                      <w:szCs w:val="21"/>
                      <w:u w:val="single"/>
                    </w:rPr>
                  </w:pPr>
                </w:p>
              </w:tc>
              <w:tc>
                <w:tcPr>
                  <w:tcW w:w="3322" w:type="dxa"/>
                  <w:vAlign w:val="center"/>
                </w:tcPr>
                <w:p>
                  <w:pPr>
                    <w:widowControl/>
                    <w:rPr>
                      <w:i/>
                      <w:iCs/>
                      <w:szCs w:val="21"/>
                      <w:u w:val="single"/>
                    </w:rPr>
                  </w:pPr>
                  <w:r>
                    <w:rPr>
                      <w:rFonts w:hint="eastAsia" w:ascii="宋体" w:hAnsi="宋体" w:cs="宋体"/>
                      <w:i/>
                      <w:iCs/>
                      <w:kern w:val="0"/>
                      <w:szCs w:val="21"/>
                      <w:u w:val="single"/>
                    </w:rPr>
                    <w:t>应具备环保设备，包括但不限于专用废液收集容器、油水分离器、专业制冷液收集容器、蓄电池</w:t>
                  </w:r>
                  <w:r>
                    <w:rPr>
                      <w:i/>
                      <w:iCs/>
                      <w:kern w:val="0"/>
                      <w:szCs w:val="21"/>
                      <w:u w:val="single"/>
                    </w:rPr>
                    <w:t>/</w:t>
                  </w:r>
                  <w:r>
                    <w:rPr>
                      <w:rFonts w:hint="eastAsia" w:ascii="宋体" w:hAnsi="宋体" w:cs="宋体"/>
                      <w:i/>
                      <w:iCs/>
                      <w:kern w:val="0"/>
                      <w:szCs w:val="21"/>
                      <w:u w:val="single"/>
                    </w:rPr>
                    <w:t>锂电池</w:t>
                  </w:r>
                  <w:r>
                    <w:rPr>
                      <w:i/>
                      <w:iCs/>
                      <w:kern w:val="0"/>
                      <w:szCs w:val="21"/>
                      <w:u w:val="single"/>
                    </w:rPr>
                    <w:t>/</w:t>
                  </w:r>
                  <w:r>
                    <w:rPr>
                      <w:rFonts w:hint="eastAsia" w:ascii="宋体" w:hAnsi="宋体" w:cs="宋体"/>
                      <w:i/>
                      <w:iCs/>
                      <w:kern w:val="0"/>
                      <w:szCs w:val="21"/>
                      <w:u w:val="single"/>
                    </w:rPr>
                    <w:t>氢燃料电池等专用收集容器。</w:t>
                  </w:r>
                </w:p>
              </w:tc>
              <w:tc>
                <w:tcPr>
                  <w:tcW w:w="2212" w:type="dxa"/>
                  <w:vAlign w:val="center"/>
                </w:tcPr>
                <w:p>
                  <w:pPr>
                    <w:widowControl/>
                    <w:rPr>
                      <w:i/>
                      <w:iCs/>
                      <w:szCs w:val="21"/>
                      <w:u w:val="single"/>
                    </w:rPr>
                  </w:pPr>
                  <w:r>
                    <w:rPr>
                      <w:rFonts w:hint="eastAsia" w:ascii="宋体" w:hAnsi="宋体" w:cs="宋体"/>
                      <w:i/>
                      <w:iCs/>
                      <w:kern w:val="0"/>
                      <w:szCs w:val="21"/>
                      <w:u w:val="single"/>
                    </w:rPr>
                    <w:t>符合。本项目设有专业废液收集容器、油水分离器、废铅酸蓄电池等专用收集容器。</w:t>
                  </w:r>
                </w:p>
              </w:tc>
            </w:tr>
            <w:tr>
              <w:trPr>
                <w:trHeight w:val="23" w:hRule="atLeast"/>
                <w:jc w:val="center"/>
              </w:trPr>
              <w:tc>
                <w:tcPr>
                  <w:tcW w:w="1259" w:type="dxa"/>
                  <w:vMerge w:val="continue"/>
                  <w:vAlign w:val="center"/>
                </w:tcPr>
                <w:p>
                  <w:pPr>
                    <w:autoSpaceDE w:val="0"/>
                    <w:autoSpaceDN w:val="0"/>
                    <w:rPr>
                      <w:i/>
                      <w:iCs/>
                      <w:szCs w:val="21"/>
                      <w:u w:val="single"/>
                    </w:rPr>
                  </w:pPr>
                </w:p>
              </w:tc>
              <w:tc>
                <w:tcPr>
                  <w:tcW w:w="3322" w:type="dxa"/>
                  <w:vAlign w:val="center"/>
                </w:tcPr>
                <w:p>
                  <w:pPr>
                    <w:widowControl/>
                    <w:rPr>
                      <w:i/>
                      <w:iCs/>
                      <w:szCs w:val="21"/>
                      <w:u w:val="single"/>
                    </w:rPr>
                  </w:pPr>
                  <w:r>
                    <w:rPr>
                      <w:rFonts w:hint="eastAsia" w:ascii="宋体" w:hAnsi="宋体" w:cs="宋体"/>
                      <w:i/>
                      <w:iCs/>
                      <w:kern w:val="0"/>
                      <w:szCs w:val="21"/>
                      <w:u w:val="single"/>
                    </w:rPr>
                    <w:t>应具备电脑、拍照设备和监控设备。</w:t>
                  </w:r>
                </w:p>
              </w:tc>
              <w:tc>
                <w:tcPr>
                  <w:tcW w:w="2212" w:type="dxa"/>
                  <w:vAlign w:val="center"/>
                </w:tcPr>
                <w:p>
                  <w:pPr>
                    <w:widowControl/>
                    <w:rPr>
                      <w:i/>
                      <w:iCs/>
                      <w:szCs w:val="21"/>
                      <w:u w:val="single"/>
                    </w:rPr>
                  </w:pPr>
                  <w:r>
                    <w:rPr>
                      <w:rFonts w:hint="eastAsia" w:ascii="宋体" w:hAnsi="宋体" w:cs="宋体"/>
                      <w:i/>
                      <w:iCs/>
                      <w:kern w:val="0"/>
                      <w:szCs w:val="21"/>
                      <w:u w:val="single"/>
                    </w:rPr>
                    <w:t>符合。本项目具备相应设备。</w:t>
                  </w:r>
                </w:p>
              </w:tc>
            </w:tr>
            <w:tr>
              <w:trPr>
                <w:trHeight w:val="23" w:hRule="atLeast"/>
                <w:jc w:val="center"/>
              </w:trPr>
              <w:tc>
                <w:tcPr>
                  <w:tcW w:w="1259" w:type="dxa"/>
                  <w:vMerge w:val="continue"/>
                  <w:vAlign w:val="center"/>
                </w:tcPr>
                <w:p>
                  <w:pPr>
                    <w:autoSpaceDE w:val="0"/>
                    <w:autoSpaceDN w:val="0"/>
                    <w:rPr>
                      <w:i/>
                      <w:iCs/>
                      <w:szCs w:val="21"/>
                      <w:u w:val="single"/>
                    </w:rPr>
                  </w:pPr>
                </w:p>
              </w:tc>
              <w:tc>
                <w:tcPr>
                  <w:tcW w:w="3322" w:type="dxa"/>
                  <w:vAlign w:val="center"/>
                </w:tcPr>
                <w:p>
                  <w:pPr>
                    <w:widowControl/>
                    <w:rPr>
                      <w:i/>
                      <w:iCs/>
                      <w:szCs w:val="21"/>
                      <w:u w:val="single"/>
                    </w:rPr>
                  </w:pPr>
                  <w:r>
                    <w:rPr>
                      <w:rFonts w:hint="eastAsia" w:ascii="宋体" w:hAnsi="宋体" w:cs="宋体"/>
                      <w:i/>
                      <w:iCs/>
                      <w:kern w:val="0"/>
                      <w:szCs w:val="21"/>
                      <w:u w:val="single"/>
                    </w:rPr>
                    <w:t>应建立设备管理制度，制定设备操作规程，并定期维护保养、更新</w:t>
                  </w:r>
                </w:p>
                <w:p>
                  <w:pPr>
                    <w:autoSpaceDE w:val="0"/>
                    <w:autoSpaceDN w:val="0"/>
                    <w:rPr>
                      <w:i/>
                      <w:iCs/>
                      <w:szCs w:val="21"/>
                      <w:u w:val="single"/>
                    </w:rPr>
                  </w:pPr>
                </w:p>
              </w:tc>
              <w:tc>
                <w:tcPr>
                  <w:tcW w:w="2212" w:type="dxa"/>
                  <w:vAlign w:val="center"/>
                </w:tcPr>
                <w:p>
                  <w:pPr>
                    <w:widowControl/>
                    <w:rPr>
                      <w:i/>
                      <w:iCs/>
                      <w:szCs w:val="21"/>
                      <w:u w:val="single"/>
                    </w:rPr>
                  </w:pPr>
                  <w:r>
                    <w:rPr>
                      <w:rFonts w:hint="eastAsia" w:ascii="宋体" w:hAnsi="宋体" w:cs="宋体"/>
                      <w:i/>
                      <w:iCs/>
                      <w:kern w:val="0"/>
                      <w:szCs w:val="21"/>
                      <w:u w:val="single"/>
                    </w:rPr>
                    <w:t>符合。本项目建立设备管理制度，制定设备操作规程并定期维护保养、更新。</w:t>
                  </w:r>
                </w:p>
              </w:tc>
            </w:tr>
            <w:tr>
              <w:trPr>
                <w:trHeight w:val="23" w:hRule="atLeast"/>
                <w:jc w:val="center"/>
              </w:trPr>
              <w:tc>
                <w:tcPr>
                  <w:tcW w:w="1259" w:type="dxa"/>
                  <w:vMerge w:val="continue"/>
                  <w:vAlign w:val="center"/>
                </w:tcPr>
                <w:p>
                  <w:pPr>
                    <w:autoSpaceDE w:val="0"/>
                    <w:autoSpaceDN w:val="0"/>
                    <w:rPr>
                      <w:i/>
                      <w:iCs/>
                      <w:szCs w:val="21"/>
                      <w:u w:val="single"/>
                    </w:rPr>
                  </w:pPr>
                </w:p>
              </w:tc>
              <w:tc>
                <w:tcPr>
                  <w:tcW w:w="3322" w:type="dxa"/>
                  <w:vAlign w:val="center"/>
                </w:tcPr>
                <w:p>
                  <w:pPr>
                    <w:widowControl/>
                    <w:rPr>
                      <w:i/>
                      <w:iCs/>
                      <w:szCs w:val="21"/>
                      <w:u w:val="single"/>
                    </w:rPr>
                  </w:pPr>
                  <w:r>
                    <w:rPr>
                      <w:rFonts w:hint="eastAsia" w:ascii="宋体" w:hAnsi="宋体" w:cs="宋体"/>
                      <w:i/>
                      <w:iCs/>
                      <w:kern w:val="0"/>
                      <w:szCs w:val="21"/>
                      <w:u w:val="single"/>
                    </w:rPr>
                    <w:t>在报废农业机械拆解及主要总成解体销毁过程中，至少对回收确认零部件拆解、对机体等零部件拆分或压扁破碎</w:t>
                  </w:r>
                  <w:r>
                    <w:rPr>
                      <w:i/>
                      <w:iCs/>
                      <w:kern w:val="0"/>
                      <w:szCs w:val="21"/>
                      <w:u w:val="single"/>
                    </w:rPr>
                    <w:t>3</w:t>
                  </w:r>
                  <w:r>
                    <w:rPr>
                      <w:rFonts w:hint="eastAsia" w:ascii="宋体" w:hAnsi="宋体" w:cs="宋体"/>
                      <w:i/>
                      <w:iCs/>
                      <w:kern w:val="0"/>
                      <w:szCs w:val="21"/>
                      <w:u w:val="single"/>
                    </w:rPr>
                    <w:t>个环节进行录像监控，应剪辑保留</w:t>
                  </w:r>
                  <w:r>
                    <w:rPr>
                      <w:i/>
                      <w:iCs/>
                      <w:kern w:val="0"/>
                      <w:szCs w:val="21"/>
                      <w:u w:val="single"/>
                    </w:rPr>
                    <w:t>10s</w:t>
                  </w:r>
                  <w:r>
                    <w:rPr>
                      <w:rFonts w:hint="eastAsia" w:ascii="宋体" w:hAnsi="宋体" w:cs="宋体"/>
                      <w:i/>
                      <w:iCs/>
                      <w:kern w:val="0"/>
                      <w:szCs w:val="21"/>
                      <w:u w:val="single"/>
                    </w:rPr>
                    <w:t>以上的重要时段视频资料正行存档，同时拍摄（或截图）机体解体销毁前中后的照片各</w:t>
                  </w:r>
                  <w:r>
                    <w:rPr>
                      <w:i/>
                      <w:iCs/>
                      <w:kern w:val="0"/>
                      <w:szCs w:val="21"/>
                      <w:u w:val="single"/>
                    </w:rPr>
                    <w:t>1</w:t>
                  </w:r>
                  <w:r>
                    <w:rPr>
                      <w:rFonts w:hint="eastAsia" w:ascii="宋体" w:hAnsi="宋体" w:cs="宋体"/>
                      <w:i/>
                      <w:iCs/>
                      <w:kern w:val="0"/>
                      <w:szCs w:val="21"/>
                      <w:u w:val="single"/>
                    </w:rPr>
                    <w:t>张。相关信息的保有期限不应少于</w:t>
                  </w:r>
                  <w:r>
                    <w:rPr>
                      <w:i/>
                      <w:iCs/>
                      <w:kern w:val="0"/>
                      <w:szCs w:val="21"/>
                      <w:u w:val="single"/>
                    </w:rPr>
                    <w:t>5</w:t>
                  </w:r>
                  <w:r>
                    <w:rPr>
                      <w:rFonts w:hint="eastAsia" w:ascii="宋体" w:hAnsi="宋体" w:cs="宋体"/>
                      <w:i/>
                      <w:iCs/>
                      <w:kern w:val="0"/>
                      <w:szCs w:val="21"/>
                      <w:u w:val="single"/>
                    </w:rPr>
                    <w:t>年。</w:t>
                  </w:r>
                </w:p>
              </w:tc>
              <w:tc>
                <w:tcPr>
                  <w:tcW w:w="2212" w:type="dxa"/>
                  <w:vAlign w:val="center"/>
                </w:tcPr>
                <w:p>
                  <w:pPr>
                    <w:autoSpaceDE w:val="0"/>
                    <w:autoSpaceDN w:val="0"/>
                    <w:rPr>
                      <w:i/>
                      <w:iCs/>
                      <w:szCs w:val="21"/>
                      <w:u w:val="single"/>
                    </w:rPr>
                  </w:pPr>
                  <w:r>
                    <w:rPr>
                      <w:rFonts w:hint="eastAsia" w:ascii="宋体" w:hAnsi="宋体" w:cs="宋体"/>
                      <w:i/>
                      <w:iCs/>
                      <w:kern w:val="0"/>
                      <w:szCs w:val="21"/>
                      <w:u w:val="single"/>
                    </w:rPr>
                    <w:t>遵循报废农业机械回收拆解作业要求。</w:t>
                  </w:r>
                </w:p>
              </w:tc>
            </w:tr>
            <w:tr>
              <w:trPr>
                <w:trHeight w:val="23" w:hRule="atLeast"/>
                <w:jc w:val="center"/>
              </w:trPr>
              <w:tc>
                <w:tcPr>
                  <w:tcW w:w="1259" w:type="dxa"/>
                  <w:vMerge w:val="continue"/>
                  <w:vAlign w:val="center"/>
                </w:tcPr>
                <w:p>
                  <w:pPr>
                    <w:autoSpaceDE w:val="0"/>
                    <w:autoSpaceDN w:val="0"/>
                    <w:rPr>
                      <w:i/>
                      <w:iCs/>
                      <w:szCs w:val="21"/>
                      <w:u w:val="single"/>
                    </w:rPr>
                  </w:pPr>
                </w:p>
              </w:tc>
              <w:tc>
                <w:tcPr>
                  <w:tcW w:w="3322" w:type="dxa"/>
                  <w:vAlign w:val="center"/>
                </w:tcPr>
                <w:p>
                  <w:pPr>
                    <w:widowControl/>
                    <w:rPr>
                      <w:i/>
                      <w:iCs/>
                      <w:szCs w:val="21"/>
                      <w:u w:val="single"/>
                    </w:rPr>
                  </w:pPr>
                  <w:r>
                    <w:rPr>
                      <w:rFonts w:hint="eastAsia" w:ascii="宋体" w:hAnsi="宋体" w:cs="宋体"/>
                      <w:i/>
                      <w:iCs/>
                      <w:kern w:val="0"/>
                      <w:szCs w:val="21"/>
                      <w:u w:val="single"/>
                    </w:rPr>
                    <w:t>拆解企业根据生产企业提供的产品说明书，产品图册编制拆解作业流程图，保证零部件和材料可再回收利用。拆解作业流移图应详细注明拆解流程、拆解方法，所需设备或工具，拆解后物料的搬运、储存，并做好标识；对于复杂产品或部件、需编制拆解作业指导书。</w:t>
                  </w:r>
                </w:p>
              </w:tc>
              <w:tc>
                <w:tcPr>
                  <w:tcW w:w="2212" w:type="dxa"/>
                  <w:vAlign w:val="center"/>
                </w:tcPr>
                <w:p>
                  <w:pPr>
                    <w:widowControl/>
                    <w:rPr>
                      <w:i/>
                      <w:iCs/>
                      <w:szCs w:val="21"/>
                      <w:u w:val="single"/>
                    </w:rPr>
                  </w:pPr>
                  <w:r>
                    <w:rPr>
                      <w:rFonts w:hint="eastAsia" w:ascii="宋体" w:hAnsi="宋体" w:cs="宋体"/>
                      <w:i/>
                      <w:iCs/>
                      <w:kern w:val="0"/>
                      <w:szCs w:val="21"/>
                      <w:u w:val="single"/>
                    </w:rPr>
                    <w:t>符合。企业按行业规范编制拆解作业流程。</w:t>
                  </w:r>
                </w:p>
                <w:p>
                  <w:pPr>
                    <w:autoSpaceDE w:val="0"/>
                    <w:autoSpaceDN w:val="0"/>
                    <w:rPr>
                      <w:i/>
                      <w:iCs/>
                      <w:szCs w:val="21"/>
                      <w:u w:val="single"/>
                    </w:rPr>
                  </w:pPr>
                </w:p>
              </w:tc>
            </w:tr>
            <w:tr>
              <w:trPr>
                <w:trHeight w:val="23" w:hRule="atLeast"/>
                <w:jc w:val="center"/>
              </w:trPr>
              <w:tc>
                <w:tcPr>
                  <w:tcW w:w="1259" w:type="dxa"/>
                  <w:vMerge w:val="continue"/>
                  <w:vAlign w:val="center"/>
                </w:tcPr>
                <w:p>
                  <w:pPr>
                    <w:autoSpaceDE w:val="0"/>
                    <w:autoSpaceDN w:val="0"/>
                    <w:rPr>
                      <w:i/>
                      <w:iCs/>
                      <w:szCs w:val="21"/>
                      <w:u w:val="single"/>
                    </w:rPr>
                  </w:pPr>
                </w:p>
              </w:tc>
              <w:tc>
                <w:tcPr>
                  <w:tcW w:w="3322" w:type="dxa"/>
                  <w:vAlign w:val="center"/>
                </w:tcPr>
                <w:p>
                  <w:pPr>
                    <w:widowControl/>
                    <w:rPr>
                      <w:rFonts w:ascii="宋体" w:hAnsi="宋体" w:cs="宋体"/>
                      <w:i/>
                      <w:iCs/>
                      <w:kern w:val="0"/>
                      <w:szCs w:val="21"/>
                      <w:u w:val="single"/>
                    </w:rPr>
                  </w:pPr>
                  <w:r>
                    <w:rPr>
                      <w:rFonts w:hint="eastAsia" w:ascii="宋体" w:hAnsi="宋体" w:cs="宋体"/>
                      <w:i/>
                      <w:iCs/>
                      <w:kern w:val="0"/>
                      <w:szCs w:val="21"/>
                      <w:u w:val="single"/>
                    </w:rPr>
                    <w:t>应建立报废农业机械回收拆解档案和数据库，对回收报废的农业机械逐台登记；记录农业机械和所有者信息，信息主要包括：机主（单位或个人）名称、证件号码、牌照号码（适用时）、品牌型号、机架号、发动机号、出厂年份、接收或收购日期等；记录回收、拆解、废弃物处理及拆解后零部件材料和废弃物的数量</w:t>
                  </w:r>
                  <w:r>
                    <w:rPr>
                      <w:i/>
                      <w:iCs/>
                      <w:kern w:val="0"/>
                      <w:szCs w:val="21"/>
                      <w:u w:val="single"/>
                    </w:rPr>
                    <w:t>/</w:t>
                  </w:r>
                  <w:r>
                    <w:rPr>
                      <w:rFonts w:hint="eastAsia" w:ascii="宋体" w:hAnsi="宋体" w:cs="宋体"/>
                      <w:i/>
                      <w:iCs/>
                      <w:kern w:val="0"/>
                      <w:szCs w:val="21"/>
                      <w:u w:val="single"/>
                    </w:rPr>
                    <w:t>重量和流向等，并做好标识，处理批次和拆解数量与重量应统一；纸质档案保存期限不应少于</w:t>
                  </w:r>
                  <w:r>
                    <w:rPr>
                      <w:i/>
                      <w:iCs/>
                      <w:kern w:val="0"/>
                      <w:szCs w:val="21"/>
                      <w:u w:val="single"/>
                    </w:rPr>
                    <w:t>3</w:t>
                  </w:r>
                  <w:r>
                    <w:rPr>
                      <w:rFonts w:hint="eastAsia" w:ascii="宋体" w:hAnsi="宋体" w:cs="宋体"/>
                      <w:i/>
                      <w:iCs/>
                      <w:kern w:val="0"/>
                      <w:szCs w:val="21"/>
                      <w:u w:val="single"/>
                    </w:rPr>
                    <w:t>年，备份的电子档案和数据库，保存期限不应少于</w:t>
                  </w:r>
                  <w:r>
                    <w:rPr>
                      <w:i/>
                      <w:iCs/>
                      <w:kern w:val="0"/>
                      <w:szCs w:val="21"/>
                      <w:u w:val="single"/>
                    </w:rPr>
                    <w:t>5</w:t>
                  </w:r>
                  <w:r>
                    <w:rPr>
                      <w:rFonts w:hint="eastAsia" w:ascii="宋体" w:hAnsi="宋体" w:cs="宋体"/>
                      <w:i/>
                      <w:iCs/>
                      <w:kern w:val="0"/>
                      <w:szCs w:val="21"/>
                      <w:u w:val="single"/>
                    </w:rPr>
                    <w:t>年。</w:t>
                  </w:r>
                </w:p>
              </w:tc>
              <w:tc>
                <w:tcPr>
                  <w:tcW w:w="2212" w:type="dxa"/>
                  <w:vAlign w:val="center"/>
                </w:tcPr>
                <w:p>
                  <w:pPr>
                    <w:widowControl/>
                    <w:rPr>
                      <w:i/>
                      <w:iCs/>
                      <w:szCs w:val="21"/>
                      <w:u w:val="single"/>
                    </w:rPr>
                  </w:pPr>
                  <w:r>
                    <w:rPr>
                      <w:rFonts w:hint="eastAsia" w:ascii="宋体" w:hAnsi="宋体" w:cs="宋体"/>
                      <w:i/>
                      <w:iCs/>
                      <w:kern w:val="0"/>
                      <w:szCs w:val="21"/>
                      <w:u w:val="single"/>
                    </w:rPr>
                    <w:t>符合，企业对回收报废的农业机械逐台登记，记录流向并进行存档。</w:t>
                  </w:r>
                </w:p>
                <w:p>
                  <w:pPr>
                    <w:autoSpaceDE w:val="0"/>
                    <w:autoSpaceDN w:val="0"/>
                    <w:rPr>
                      <w:i/>
                      <w:iCs/>
                      <w:szCs w:val="21"/>
                      <w:u w:val="single"/>
                    </w:rPr>
                  </w:pPr>
                </w:p>
              </w:tc>
            </w:tr>
            <w:tr>
              <w:trPr>
                <w:trHeight w:val="23" w:hRule="atLeast"/>
                <w:jc w:val="center"/>
              </w:trPr>
              <w:tc>
                <w:tcPr>
                  <w:tcW w:w="1259" w:type="dxa"/>
                  <w:vMerge w:val="continue"/>
                  <w:vAlign w:val="center"/>
                </w:tcPr>
                <w:p>
                  <w:pPr>
                    <w:autoSpaceDE w:val="0"/>
                    <w:autoSpaceDN w:val="0"/>
                    <w:rPr>
                      <w:i/>
                      <w:iCs/>
                      <w:szCs w:val="21"/>
                      <w:u w:val="single"/>
                    </w:rPr>
                  </w:pPr>
                </w:p>
              </w:tc>
              <w:tc>
                <w:tcPr>
                  <w:tcW w:w="3322" w:type="dxa"/>
                  <w:vAlign w:val="center"/>
                </w:tcPr>
                <w:p>
                  <w:pPr>
                    <w:widowControl/>
                    <w:rPr>
                      <w:rFonts w:ascii="宋体" w:hAnsi="宋体" w:cs="宋体"/>
                      <w:i/>
                      <w:iCs/>
                      <w:kern w:val="0"/>
                      <w:szCs w:val="21"/>
                      <w:u w:val="single"/>
                    </w:rPr>
                  </w:pPr>
                  <w:r>
                    <w:rPr>
                      <w:rFonts w:hint="eastAsia" w:ascii="宋体" w:hAnsi="宋体" w:cs="宋体"/>
                      <w:i/>
                      <w:iCs/>
                      <w:kern w:val="0"/>
                      <w:szCs w:val="21"/>
                      <w:u w:val="single"/>
                    </w:rPr>
                    <w:t xml:space="preserve">拆解场地内应设置安全标志，安全标志应符合 </w:t>
                  </w:r>
                  <w:r>
                    <w:rPr>
                      <w:i/>
                      <w:iCs/>
                      <w:kern w:val="0"/>
                      <w:szCs w:val="21"/>
                      <w:u w:val="single"/>
                    </w:rPr>
                    <w:t>GB2894</w:t>
                  </w:r>
                  <w:r>
                    <w:rPr>
                      <w:rFonts w:hint="eastAsia" w:ascii="宋体" w:hAnsi="宋体" w:cs="宋体"/>
                      <w:i/>
                      <w:iCs/>
                      <w:kern w:val="0"/>
                      <w:szCs w:val="21"/>
                      <w:u w:val="single"/>
                    </w:rPr>
                    <w:t>的规定。</w:t>
                  </w:r>
                </w:p>
              </w:tc>
              <w:tc>
                <w:tcPr>
                  <w:tcW w:w="2212" w:type="dxa"/>
                  <w:vAlign w:val="center"/>
                </w:tcPr>
                <w:p>
                  <w:pPr>
                    <w:widowControl/>
                    <w:rPr>
                      <w:i/>
                      <w:iCs/>
                      <w:szCs w:val="21"/>
                      <w:u w:val="single"/>
                    </w:rPr>
                  </w:pPr>
                  <w:r>
                    <w:rPr>
                      <w:rFonts w:hint="eastAsia" w:ascii="宋体" w:hAnsi="宋体" w:cs="宋体"/>
                      <w:i/>
                      <w:iCs/>
                      <w:kern w:val="0"/>
                      <w:szCs w:val="21"/>
                      <w:u w:val="single"/>
                    </w:rPr>
                    <w:t>符合。企业设符合</w:t>
                  </w:r>
                  <w:r>
                    <w:rPr>
                      <w:i/>
                      <w:iCs/>
                      <w:kern w:val="0"/>
                      <w:szCs w:val="21"/>
                      <w:u w:val="single"/>
                    </w:rPr>
                    <w:t xml:space="preserve">GB2894 </w:t>
                  </w:r>
                  <w:r>
                    <w:rPr>
                      <w:rFonts w:hint="eastAsia" w:ascii="宋体" w:hAnsi="宋体" w:cs="宋体"/>
                      <w:i/>
                      <w:iCs/>
                      <w:kern w:val="0"/>
                      <w:szCs w:val="21"/>
                      <w:u w:val="single"/>
                    </w:rPr>
                    <w:t>规定的安全标志。</w:t>
                  </w:r>
                </w:p>
              </w:tc>
            </w:tr>
            <w:tr>
              <w:trPr>
                <w:trHeight w:val="23" w:hRule="atLeast"/>
                <w:jc w:val="center"/>
              </w:trPr>
              <w:tc>
                <w:tcPr>
                  <w:tcW w:w="1259" w:type="dxa"/>
                  <w:vMerge w:val="continue"/>
                  <w:vAlign w:val="center"/>
                </w:tcPr>
                <w:p>
                  <w:pPr>
                    <w:autoSpaceDE w:val="0"/>
                    <w:autoSpaceDN w:val="0"/>
                    <w:rPr>
                      <w:i/>
                      <w:iCs/>
                      <w:szCs w:val="21"/>
                      <w:u w:val="single"/>
                    </w:rPr>
                  </w:pPr>
                </w:p>
              </w:tc>
              <w:tc>
                <w:tcPr>
                  <w:tcW w:w="3322" w:type="dxa"/>
                  <w:vAlign w:val="center"/>
                </w:tcPr>
                <w:p>
                  <w:pPr>
                    <w:widowControl/>
                    <w:rPr>
                      <w:rFonts w:ascii="宋体" w:hAnsi="宋体" w:cs="宋体"/>
                      <w:i/>
                      <w:iCs/>
                      <w:kern w:val="0"/>
                      <w:szCs w:val="21"/>
                      <w:u w:val="single"/>
                    </w:rPr>
                  </w:pPr>
                  <w:r>
                    <w:rPr>
                      <w:rFonts w:hint="eastAsia" w:ascii="宋体" w:hAnsi="宋体" w:cs="宋体"/>
                      <w:i/>
                      <w:iCs/>
                      <w:kern w:val="0"/>
                      <w:szCs w:val="21"/>
                      <w:u w:val="single"/>
                    </w:rPr>
                    <w:t>拆解区环境噪声限值应符合</w:t>
                  </w:r>
                  <w:r>
                    <w:rPr>
                      <w:i/>
                      <w:iCs/>
                      <w:kern w:val="0"/>
                      <w:szCs w:val="21"/>
                      <w:u w:val="single"/>
                    </w:rPr>
                    <w:t>GB12348</w:t>
                  </w:r>
                  <w:r>
                    <w:rPr>
                      <w:rFonts w:hint="eastAsia" w:ascii="宋体" w:hAnsi="宋体" w:cs="宋体"/>
                      <w:i/>
                      <w:iCs/>
                      <w:kern w:val="0"/>
                      <w:szCs w:val="21"/>
                      <w:u w:val="single"/>
                    </w:rPr>
                    <w:t>规定的三类声环境功能区的要求。</w:t>
                  </w:r>
                </w:p>
              </w:tc>
              <w:tc>
                <w:tcPr>
                  <w:tcW w:w="2212" w:type="dxa"/>
                  <w:vAlign w:val="center"/>
                </w:tcPr>
                <w:p>
                  <w:pPr>
                    <w:widowControl/>
                    <w:rPr>
                      <w:i/>
                      <w:iCs/>
                      <w:szCs w:val="21"/>
                      <w:u w:val="single"/>
                    </w:rPr>
                  </w:pPr>
                  <w:r>
                    <w:rPr>
                      <w:rFonts w:hint="eastAsia" w:ascii="宋体" w:hAnsi="宋体" w:cs="宋体"/>
                      <w:i/>
                      <w:iCs/>
                      <w:kern w:val="0"/>
                      <w:szCs w:val="21"/>
                      <w:u w:val="single"/>
                    </w:rPr>
                    <w:t xml:space="preserve">符合。拆解区符合 </w:t>
                  </w:r>
                  <w:r>
                    <w:rPr>
                      <w:i/>
                      <w:iCs/>
                      <w:kern w:val="0"/>
                      <w:szCs w:val="21"/>
                      <w:u w:val="single"/>
                    </w:rPr>
                    <w:t xml:space="preserve">GB12348 </w:t>
                  </w:r>
                  <w:r>
                    <w:rPr>
                      <w:rFonts w:hint="eastAsia" w:ascii="宋体" w:hAnsi="宋体" w:cs="宋体"/>
                      <w:i/>
                      <w:iCs/>
                      <w:kern w:val="0"/>
                      <w:szCs w:val="21"/>
                      <w:u w:val="single"/>
                    </w:rPr>
                    <w:t xml:space="preserve">规定要求。 </w:t>
                  </w:r>
                </w:p>
              </w:tc>
            </w:tr>
            <w:tr>
              <w:trPr>
                <w:trHeight w:val="23" w:hRule="atLeast"/>
                <w:jc w:val="center"/>
              </w:trPr>
              <w:tc>
                <w:tcPr>
                  <w:tcW w:w="1259" w:type="dxa"/>
                  <w:vMerge w:val="continue"/>
                  <w:vAlign w:val="center"/>
                </w:tcPr>
                <w:p>
                  <w:pPr>
                    <w:autoSpaceDE w:val="0"/>
                    <w:autoSpaceDN w:val="0"/>
                    <w:rPr>
                      <w:i/>
                      <w:iCs/>
                      <w:szCs w:val="21"/>
                      <w:u w:val="single"/>
                    </w:rPr>
                  </w:pPr>
                </w:p>
              </w:tc>
              <w:tc>
                <w:tcPr>
                  <w:tcW w:w="3322" w:type="dxa"/>
                  <w:vAlign w:val="center"/>
                </w:tcPr>
                <w:p>
                  <w:pPr>
                    <w:widowControl/>
                    <w:rPr>
                      <w:rFonts w:ascii="宋体" w:hAnsi="宋体" w:cs="宋体"/>
                      <w:i/>
                      <w:iCs/>
                      <w:kern w:val="0"/>
                      <w:szCs w:val="21"/>
                      <w:u w:val="single"/>
                    </w:rPr>
                  </w:pPr>
                  <w:r>
                    <w:rPr>
                      <w:rFonts w:hint="eastAsia" w:ascii="宋体" w:hAnsi="宋体" w:cs="宋体"/>
                      <w:i/>
                      <w:iCs/>
                      <w:kern w:val="0"/>
                      <w:szCs w:val="21"/>
                      <w:u w:val="single"/>
                    </w:rPr>
                    <w:t>拆解时存在有害气体或易燃气体，应做好导流和无害处理。</w:t>
                  </w:r>
                </w:p>
              </w:tc>
              <w:tc>
                <w:tcPr>
                  <w:tcW w:w="2212" w:type="dxa"/>
                  <w:vAlign w:val="center"/>
                </w:tcPr>
                <w:p>
                  <w:pPr>
                    <w:widowControl/>
                    <w:rPr>
                      <w:i/>
                      <w:iCs/>
                      <w:szCs w:val="21"/>
                      <w:u w:val="single"/>
                    </w:rPr>
                  </w:pPr>
                  <w:r>
                    <w:rPr>
                      <w:rFonts w:hint="eastAsia" w:ascii="宋体" w:hAnsi="宋体" w:cs="宋体"/>
                      <w:i/>
                      <w:iCs/>
                      <w:kern w:val="0"/>
                      <w:szCs w:val="21"/>
                      <w:u w:val="single"/>
                    </w:rPr>
                    <w:t>符合。废气经布袋除尘器</w:t>
                  </w:r>
                  <w:r>
                    <w:rPr>
                      <w:i/>
                      <w:iCs/>
                      <w:kern w:val="0"/>
                      <w:szCs w:val="21"/>
                      <w:u w:val="single"/>
                    </w:rPr>
                    <w:t>+</w:t>
                  </w:r>
                  <w:r>
                    <w:rPr>
                      <w:rFonts w:hint="eastAsia" w:ascii="宋体" w:hAnsi="宋体" w:cs="宋体"/>
                      <w:i/>
                      <w:iCs/>
                      <w:kern w:val="0"/>
                      <w:szCs w:val="21"/>
                      <w:u w:val="single"/>
                    </w:rPr>
                    <w:t>活性炭吸附装置处理后经</w:t>
                  </w:r>
                  <w:r>
                    <w:rPr>
                      <w:i/>
                      <w:iCs/>
                      <w:kern w:val="0"/>
                      <w:szCs w:val="21"/>
                      <w:u w:val="single"/>
                    </w:rPr>
                    <w:t>15m</w:t>
                  </w:r>
                  <w:r>
                    <w:rPr>
                      <w:rFonts w:hint="eastAsia" w:ascii="宋体" w:hAnsi="宋体" w:cs="宋体"/>
                      <w:i/>
                      <w:iCs/>
                      <w:kern w:val="0"/>
                      <w:szCs w:val="21"/>
                      <w:u w:val="single"/>
                    </w:rPr>
                    <w:t>高排气筒达标排放。</w:t>
                  </w:r>
                </w:p>
              </w:tc>
            </w:tr>
            <w:tr>
              <w:trPr>
                <w:trHeight w:val="23" w:hRule="atLeast"/>
                <w:jc w:val="center"/>
              </w:trPr>
              <w:tc>
                <w:tcPr>
                  <w:tcW w:w="1259" w:type="dxa"/>
                  <w:vAlign w:val="center"/>
                </w:tcPr>
                <w:p>
                  <w:pPr>
                    <w:widowControl/>
                    <w:rPr>
                      <w:i/>
                      <w:iCs/>
                      <w:szCs w:val="21"/>
                      <w:u w:val="single"/>
                    </w:rPr>
                  </w:pPr>
                  <w:r>
                    <w:rPr>
                      <w:rFonts w:hint="eastAsia" w:ascii="宋体" w:hAnsi="宋体" w:cs="宋体"/>
                      <w:i/>
                      <w:iCs/>
                      <w:kern w:val="0"/>
                      <w:szCs w:val="21"/>
                      <w:u w:val="single"/>
                    </w:rPr>
                    <w:t xml:space="preserve">回收技术 </w:t>
                  </w:r>
                </w:p>
                <w:p>
                  <w:pPr>
                    <w:widowControl/>
                    <w:rPr>
                      <w:i/>
                      <w:iCs/>
                      <w:szCs w:val="21"/>
                      <w:u w:val="single"/>
                    </w:rPr>
                  </w:pPr>
                  <w:r>
                    <w:rPr>
                      <w:rFonts w:hint="eastAsia" w:ascii="宋体" w:hAnsi="宋体" w:cs="宋体"/>
                      <w:i/>
                      <w:iCs/>
                      <w:kern w:val="0"/>
                      <w:szCs w:val="21"/>
                      <w:u w:val="single"/>
                    </w:rPr>
                    <w:t>要求</w:t>
                  </w:r>
                </w:p>
                <w:p>
                  <w:pPr>
                    <w:autoSpaceDE w:val="0"/>
                    <w:autoSpaceDN w:val="0"/>
                    <w:rPr>
                      <w:i/>
                      <w:iCs/>
                      <w:szCs w:val="21"/>
                      <w:u w:val="single"/>
                    </w:rPr>
                  </w:pPr>
                </w:p>
              </w:tc>
              <w:tc>
                <w:tcPr>
                  <w:tcW w:w="3322" w:type="dxa"/>
                  <w:vAlign w:val="center"/>
                </w:tcPr>
                <w:p>
                  <w:pPr>
                    <w:widowControl/>
                    <w:rPr>
                      <w:rFonts w:ascii="宋体" w:hAnsi="宋体" w:cs="宋体"/>
                      <w:i/>
                      <w:iCs/>
                      <w:kern w:val="0"/>
                      <w:szCs w:val="21"/>
                      <w:u w:val="single"/>
                    </w:rPr>
                  </w:pPr>
                  <w:r>
                    <w:rPr>
                      <w:rFonts w:hint="eastAsia" w:ascii="宋体" w:hAnsi="宋体" w:cs="宋体"/>
                      <w:i/>
                      <w:iCs/>
                      <w:kern w:val="0"/>
                      <w:szCs w:val="21"/>
                      <w:u w:val="single"/>
                    </w:rPr>
                    <w:t>回收企业收到报废自走式农业机械后，应检查发动机、散热器、变速箱、差速器、油箱、后处理装置和燃料罐等总成部件的密封和破损情况。对于出现泄漏的总成部件，应采取适当的方式收集泄漏的液体或封住泄漏处，防止废液渗入地下</w:t>
                  </w:r>
                </w:p>
              </w:tc>
              <w:tc>
                <w:tcPr>
                  <w:tcW w:w="2212" w:type="dxa"/>
                  <w:vAlign w:val="center"/>
                </w:tcPr>
                <w:p>
                  <w:pPr>
                    <w:widowControl/>
                    <w:rPr>
                      <w:rFonts w:ascii="宋体" w:hAnsi="宋体" w:cs="宋体"/>
                      <w:i/>
                      <w:iCs/>
                      <w:kern w:val="0"/>
                      <w:szCs w:val="21"/>
                      <w:u w:val="single"/>
                    </w:rPr>
                  </w:pPr>
                  <w:r>
                    <w:rPr>
                      <w:rFonts w:hint="eastAsia" w:ascii="宋体" w:hAnsi="宋体" w:cs="宋体"/>
                      <w:i/>
                      <w:iCs/>
                      <w:kern w:val="0"/>
                      <w:szCs w:val="21"/>
                      <w:u w:val="single"/>
                    </w:rPr>
                    <w:t>符合，本项目不涉及电动自走式农业机械，对收到农业机械进行检查。对于出现泄漏的总成部件，采取适当的方式收集泄漏的液体或封住泄漏处，防止废液渗入地下。</w:t>
                  </w:r>
                </w:p>
              </w:tc>
            </w:tr>
            <w:tr>
              <w:trPr>
                <w:trHeight w:val="23" w:hRule="atLeast"/>
                <w:jc w:val="center"/>
              </w:trPr>
              <w:tc>
                <w:tcPr>
                  <w:tcW w:w="1259" w:type="dxa"/>
                  <w:vMerge w:val="restart"/>
                  <w:vAlign w:val="center"/>
                </w:tcPr>
                <w:p>
                  <w:pPr>
                    <w:widowControl/>
                    <w:rPr>
                      <w:i/>
                      <w:iCs/>
                      <w:szCs w:val="21"/>
                      <w:u w:val="single"/>
                    </w:rPr>
                  </w:pPr>
                  <w:r>
                    <w:rPr>
                      <w:rFonts w:hint="eastAsia" w:ascii="宋体" w:hAnsi="宋体" w:cs="宋体"/>
                      <w:i/>
                      <w:iCs/>
                      <w:kern w:val="0"/>
                      <w:szCs w:val="21"/>
                      <w:u w:val="single"/>
                    </w:rPr>
                    <w:t>拆解技术要求</w:t>
                  </w:r>
                </w:p>
                <w:p>
                  <w:pPr>
                    <w:autoSpaceDE w:val="0"/>
                    <w:autoSpaceDN w:val="0"/>
                    <w:rPr>
                      <w:i/>
                      <w:iCs/>
                      <w:szCs w:val="21"/>
                      <w:u w:val="single"/>
                    </w:rPr>
                  </w:pPr>
                </w:p>
              </w:tc>
              <w:tc>
                <w:tcPr>
                  <w:tcW w:w="3322" w:type="dxa"/>
                  <w:vAlign w:val="center"/>
                </w:tcPr>
                <w:p>
                  <w:pPr>
                    <w:widowControl/>
                    <w:rPr>
                      <w:rFonts w:ascii="宋体" w:hAnsi="宋体" w:cs="宋体"/>
                      <w:i/>
                      <w:iCs/>
                      <w:kern w:val="0"/>
                      <w:szCs w:val="21"/>
                      <w:u w:val="single"/>
                    </w:rPr>
                  </w:pPr>
                  <w:r>
                    <w:rPr>
                      <w:rFonts w:hint="eastAsia" w:ascii="宋体" w:hAnsi="宋体" w:cs="宋体"/>
                      <w:i/>
                      <w:iCs/>
                      <w:kern w:val="0"/>
                      <w:szCs w:val="21"/>
                      <w:u w:val="single"/>
                    </w:rPr>
                    <w:t>应对报废自走式农业机械的发动机、变速箱、传动箱、转向器、散热器差速器、油箱、液压油箱、空调压缩机、铅酸电池、锂电池、氢燃料电池等总成部件的密封情况进行检查。对出现泄漏的地方，应采取适当的方式收集泄漏的液体或封住泄漏处，防止废液渗入地下。</w:t>
                  </w:r>
                </w:p>
              </w:tc>
              <w:tc>
                <w:tcPr>
                  <w:tcW w:w="2212" w:type="dxa"/>
                  <w:vAlign w:val="center"/>
                </w:tcPr>
                <w:p>
                  <w:pPr>
                    <w:widowControl/>
                    <w:rPr>
                      <w:rFonts w:ascii="宋体" w:hAnsi="宋体" w:cs="宋体"/>
                      <w:i/>
                      <w:iCs/>
                      <w:kern w:val="0"/>
                      <w:szCs w:val="21"/>
                      <w:u w:val="single"/>
                    </w:rPr>
                  </w:pPr>
                  <w:r>
                    <w:rPr>
                      <w:rFonts w:hint="eastAsia" w:ascii="宋体" w:hAnsi="宋体" w:cs="宋体"/>
                      <w:i/>
                      <w:iCs/>
                      <w:kern w:val="0"/>
                      <w:szCs w:val="21"/>
                      <w:u w:val="single"/>
                    </w:rPr>
                    <w:t>符合，本项目不涉及电动自走式农业机械，本项目对收到农业机械进行检查。对于出现泄漏的总成部件，采取适当的方式收集泄漏的液体或封住泄漏处，防止废液渗入地下。</w:t>
                  </w:r>
                </w:p>
              </w:tc>
            </w:tr>
            <w:tr>
              <w:trPr>
                <w:trHeight w:val="23" w:hRule="atLeast"/>
                <w:jc w:val="center"/>
              </w:trPr>
              <w:tc>
                <w:tcPr>
                  <w:tcW w:w="1259" w:type="dxa"/>
                  <w:vMerge w:val="continue"/>
                  <w:vAlign w:val="center"/>
                </w:tcPr>
                <w:p>
                  <w:pPr>
                    <w:autoSpaceDE w:val="0"/>
                    <w:autoSpaceDN w:val="0"/>
                    <w:rPr>
                      <w:i/>
                      <w:iCs/>
                      <w:szCs w:val="21"/>
                      <w:u w:val="single"/>
                    </w:rPr>
                  </w:pPr>
                </w:p>
              </w:tc>
              <w:tc>
                <w:tcPr>
                  <w:tcW w:w="3322" w:type="dxa"/>
                  <w:vAlign w:val="center"/>
                </w:tcPr>
                <w:p>
                  <w:pPr>
                    <w:widowControl/>
                    <w:rPr>
                      <w:rFonts w:ascii="宋体" w:hAnsi="宋体" w:cs="宋体"/>
                      <w:i/>
                      <w:iCs/>
                      <w:kern w:val="0"/>
                      <w:szCs w:val="21"/>
                      <w:u w:val="single"/>
                    </w:rPr>
                  </w:pPr>
                  <w:r>
                    <w:rPr>
                      <w:rFonts w:hint="eastAsia" w:ascii="宋体" w:hAnsi="宋体" w:cs="宋体"/>
                      <w:i/>
                      <w:iCs/>
                      <w:kern w:val="0"/>
                      <w:szCs w:val="21"/>
                      <w:u w:val="single"/>
                    </w:rPr>
                    <w:t>按照规定对报废农业机械的主要信息进行登记拍照，并在机身醒目处设置唯一性标识。</w:t>
                  </w:r>
                </w:p>
              </w:tc>
              <w:tc>
                <w:tcPr>
                  <w:tcW w:w="2212" w:type="dxa"/>
                  <w:vAlign w:val="center"/>
                </w:tcPr>
                <w:p>
                  <w:pPr>
                    <w:widowControl/>
                    <w:rPr>
                      <w:rFonts w:ascii="宋体" w:hAnsi="宋体" w:cs="宋体"/>
                      <w:i/>
                      <w:iCs/>
                      <w:kern w:val="0"/>
                      <w:szCs w:val="21"/>
                      <w:u w:val="single"/>
                    </w:rPr>
                  </w:pPr>
                  <w:r>
                    <w:rPr>
                      <w:rFonts w:hint="eastAsia" w:ascii="宋体" w:hAnsi="宋体" w:cs="宋体"/>
                      <w:i/>
                      <w:iCs/>
                      <w:kern w:val="0"/>
                      <w:szCs w:val="21"/>
                      <w:u w:val="single"/>
                    </w:rPr>
                    <w:t>符合。本项目对收到农机主要信息进行登记拍照并设置标识。</w:t>
                  </w:r>
                </w:p>
              </w:tc>
            </w:tr>
            <w:tr>
              <w:trPr>
                <w:trHeight w:val="23" w:hRule="atLeast"/>
                <w:jc w:val="center"/>
              </w:trPr>
              <w:tc>
                <w:tcPr>
                  <w:tcW w:w="1259" w:type="dxa"/>
                  <w:vMerge w:val="continue"/>
                  <w:vAlign w:val="center"/>
                </w:tcPr>
                <w:p>
                  <w:pPr>
                    <w:autoSpaceDE w:val="0"/>
                    <w:autoSpaceDN w:val="0"/>
                    <w:rPr>
                      <w:i/>
                      <w:iCs/>
                      <w:szCs w:val="21"/>
                      <w:u w:val="single"/>
                    </w:rPr>
                  </w:pPr>
                </w:p>
              </w:tc>
              <w:tc>
                <w:tcPr>
                  <w:tcW w:w="3322" w:type="dxa"/>
                  <w:vAlign w:val="center"/>
                </w:tcPr>
                <w:p>
                  <w:pPr>
                    <w:widowControl/>
                    <w:rPr>
                      <w:rFonts w:ascii="宋体" w:hAnsi="宋体" w:cs="宋体"/>
                      <w:i/>
                      <w:iCs/>
                      <w:kern w:val="0"/>
                      <w:szCs w:val="21"/>
                      <w:u w:val="single"/>
                    </w:rPr>
                  </w:pPr>
                  <w:r>
                    <w:rPr>
                      <w:rFonts w:hint="eastAsia" w:ascii="宋体" w:hAnsi="宋体" w:cs="宋体"/>
                      <w:i/>
                      <w:iCs/>
                      <w:kern w:val="0"/>
                      <w:szCs w:val="21"/>
                      <w:u w:val="single"/>
                    </w:rPr>
                    <w:t>报废农业机械应与其他废弃物分开储存，严禁侧放、倒放；如需叠放，应做到堆放合理，方便装卸，保障人身财产安全。</w:t>
                  </w:r>
                </w:p>
              </w:tc>
              <w:tc>
                <w:tcPr>
                  <w:tcW w:w="2212" w:type="dxa"/>
                  <w:vAlign w:val="center"/>
                </w:tcPr>
                <w:p>
                  <w:pPr>
                    <w:widowControl/>
                    <w:rPr>
                      <w:rFonts w:ascii="宋体" w:hAnsi="宋体" w:cs="宋体"/>
                      <w:i/>
                      <w:iCs/>
                      <w:kern w:val="0"/>
                      <w:szCs w:val="21"/>
                      <w:u w:val="single"/>
                    </w:rPr>
                  </w:pPr>
                  <w:r>
                    <w:rPr>
                      <w:rFonts w:hint="eastAsia" w:ascii="宋体" w:hAnsi="宋体" w:cs="宋体"/>
                      <w:i/>
                      <w:iCs/>
                      <w:kern w:val="0"/>
                      <w:szCs w:val="21"/>
                      <w:u w:val="single"/>
                    </w:rPr>
                    <w:t>符合。本项目报废农机置于报废农机暂存区。严禁侧放、倒放。</w:t>
                  </w:r>
                </w:p>
              </w:tc>
            </w:tr>
            <w:tr>
              <w:trPr>
                <w:trHeight w:val="23" w:hRule="atLeast"/>
                <w:jc w:val="center"/>
              </w:trPr>
              <w:tc>
                <w:tcPr>
                  <w:tcW w:w="1259" w:type="dxa"/>
                  <w:vMerge w:val="continue"/>
                  <w:vAlign w:val="center"/>
                </w:tcPr>
                <w:p>
                  <w:pPr>
                    <w:autoSpaceDE w:val="0"/>
                    <w:autoSpaceDN w:val="0"/>
                    <w:rPr>
                      <w:i/>
                      <w:iCs/>
                      <w:szCs w:val="21"/>
                      <w:u w:val="single"/>
                    </w:rPr>
                  </w:pPr>
                </w:p>
              </w:tc>
              <w:tc>
                <w:tcPr>
                  <w:tcW w:w="3322" w:type="dxa"/>
                  <w:vAlign w:val="center"/>
                </w:tcPr>
                <w:p>
                  <w:pPr>
                    <w:widowControl/>
                    <w:rPr>
                      <w:rFonts w:ascii="宋体" w:hAnsi="宋体" w:cs="宋体"/>
                      <w:i/>
                      <w:iCs/>
                      <w:kern w:val="0"/>
                      <w:szCs w:val="21"/>
                      <w:u w:val="single"/>
                    </w:rPr>
                  </w:pPr>
                  <w:r>
                    <w:rPr>
                      <w:rFonts w:hint="eastAsia" w:ascii="宋体" w:hAnsi="宋体" w:cs="宋体"/>
                      <w:i/>
                      <w:iCs/>
                      <w:kern w:val="0"/>
                      <w:szCs w:val="21"/>
                      <w:u w:val="single"/>
                    </w:rPr>
                    <w:t>回收报废农业机械后，应在</w:t>
                  </w:r>
                  <w:r>
                    <w:rPr>
                      <w:i/>
                      <w:iCs/>
                      <w:kern w:val="0"/>
                      <w:szCs w:val="21"/>
                      <w:u w:val="single"/>
                    </w:rPr>
                    <w:t>3</w:t>
                  </w:r>
                  <w:r>
                    <w:rPr>
                      <w:rFonts w:hint="eastAsia" w:ascii="宋体" w:hAnsi="宋体" w:cs="宋体"/>
                      <w:i/>
                      <w:iCs/>
                      <w:kern w:val="0"/>
                      <w:szCs w:val="21"/>
                      <w:u w:val="single"/>
                    </w:rPr>
                    <w:t>个月内将其拆解完毕。</w:t>
                  </w:r>
                </w:p>
              </w:tc>
              <w:tc>
                <w:tcPr>
                  <w:tcW w:w="2212" w:type="dxa"/>
                  <w:vAlign w:val="center"/>
                </w:tcPr>
                <w:p>
                  <w:pPr>
                    <w:widowControl/>
                    <w:rPr>
                      <w:rFonts w:ascii="宋体" w:hAnsi="宋体" w:cs="宋体"/>
                      <w:i/>
                      <w:iCs/>
                      <w:kern w:val="0"/>
                      <w:szCs w:val="21"/>
                      <w:u w:val="single"/>
                    </w:rPr>
                  </w:pPr>
                  <w:r>
                    <w:rPr>
                      <w:rFonts w:hint="eastAsia" w:ascii="宋体" w:hAnsi="宋体" w:cs="宋体"/>
                      <w:i/>
                      <w:iCs/>
                      <w:kern w:val="0"/>
                      <w:szCs w:val="21"/>
                      <w:u w:val="single"/>
                    </w:rPr>
                    <w:t>符合。本项目收到农机后，</w:t>
                  </w:r>
                  <w:r>
                    <w:rPr>
                      <w:i/>
                      <w:iCs/>
                      <w:kern w:val="0"/>
                      <w:szCs w:val="21"/>
                      <w:u w:val="single"/>
                    </w:rPr>
                    <w:t>3</w:t>
                  </w:r>
                  <w:r>
                    <w:rPr>
                      <w:rFonts w:hint="eastAsia" w:ascii="宋体" w:hAnsi="宋体" w:cs="宋体"/>
                      <w:i/>
                      <w:iCs/>
                      <w:kern w:val="0"/>
                      <w:szCs w:val="21"/>
                      <w:u w:val="single"/>
                    </w:rPr>
                    <w:t>个月内拆解完毕。</w:t>
                  </w:r>
                </w:p>
              </w:tc>
            </w:tr>
            <w:tr>
              <w:trPr>
                <w:trHeight w:val="23" w:hRule="atLeast"/>
                <w:jc w:val="center"/>
              </w:trPr>
              <w:tc>
                <w:tcPr>
                  <w:tcW w:w="1259" w:type="dxa"/>
                  <w:vMerge w:val="continue"/>
                  <w:vAlign w:val="center"/>
                </w:tcPr>
                <w:p>
                  <w:pPr>
                    <w:autoSpaceDE w:val="0"/>
                    <w:autoSpaceDN w:val="0"/>
                    <w:rPr>
                      <w:i/>
                      <w:iCs/>
                      <w:szCs w:val="21"/>
                      <w:u w:val="single"/>
                    </w:rPr>
                  </w:pPr>
                </w:p>
              </w:tc>
              <w:tc>
                <w:tcPr>
                  <w:tcW w:w="3322" w:type="dxa"/>
                  <w:vAlign w:val="center"/>
                </w:tcPr>
                <w:p>
                  <w:pPr>
                    <w:widowControl/>
                    <w:rPr>
                      <w:rFonts w:ascii="宋体" w:hAnsi="宋体" w:cs="宋体"/>
                      <w:i/>
                      <w:iCs/>
                      <w:kern w:val="0"/>
                      <w:szCs w:val="21"/>
                      <w:u w:val="single"/>
                    </w:rPr>
                  </w:pPr>
                  <w:r>
                    <w:rPr>
                      <w:rFonts w:hint="eastAsia" w:ascii="宋体" w:hAnsi="宋体" w:cs="宋体"/>
                      <w:i/>
                      <w:iCs/>
                      <w:kern w:val="0"/>
                      <w:szCs w:val="21"/>
                      <w:u w:val="single"/>
                    </w:rPr>
                    <w:t>先对报废农业机械进行清洁处理，去除机械外部的非原机所属的覆盖物。在拆解预处理区域排空并分类收集农业机械内的废液。拆卸动力蓄电池，拆除铅酸蓄电池、油箱、气泵、水泵、气罐、液罐、锂电池、液压泵、空调器等外围附属件。</w:t>
                  </w:r>
                </w:p>
              </w:tc>
              <w:tc>
                <w:tcPr>
                  <w:tcW w:w="2212" w:type="dxa"/>
                  <w:vAlign w:val="center"/>
                </w:tcPr>
                <w:p>
                  <w:pPr>
                    <w:widowControl/>
                    <w:rPr>
                      <w:i/>
                      <w:iCs/>
                      <w:szCs w:val="21"/>
                      <w:u w:val="single"/>
                    </w:rPr>
                  </w:pPr>
                  <w:r>
                    <w:rPr>
                      <w:rFonts w:hint="eastAsia" w:ascii="宋体" w:hAnsi="宋体" w:cs="宋体"/>
                      <w:i/>
                      <w:iCs/>
                      <w:kern w:val="0"/>
                      <w:szCs w:val="21"/>
                      <w:u w:val="single"/>
                    </w:rPr>
                    <w:t>符合。本项目按流程拆解农机。</w:t>
                  </w:r>
                </w:p>
                <w:p>
                  <w:pPr>
                    <w:widowControl/>
                    <w:rPr>
                      <w:rFonts w:ascii="宋体" w:hAnsi="宋体" w:cs="宋体"/>
                      <w:i/>
                      <w:iCs/>
                      <w:kern w:val="0"/>
                      <w:szCs w:val="21"/>
                      <w:u w:val="single"/>
                    </w:rPr>
                  </w:pPr>
                </w:p>
              </w:tc>
            </w:tr>
            <w:tr>
              <w:trPr>
                <w:trHeight w:val="23" w:hRule="atLeast"/>
                <w:jc w:val="center"/>
              </w:trPr>
              <w:tc>
                <w:tcPr>
                  <w:tcW w:w="1259" w:type="dxa"/>
                  <w:vMerge w:val="continue"/>
                  <w:vAlign w:val="center"/>
                </w:tcPr>
                <w:p>
                  <w:pPr>
                    <w:autoSpaceDE w:val="0"/>
                    <w:autoSpaceDN w:val="0"/>
                    <w:rPr>
                      <w:i/>
                      <w:iCs/>
                      <w:szCs w:val="21"/>
                      <w:u w:val="single"/>
                    </w:rPr>
                  </w:pPr>
                </w:p>
              </w:tc>
              <w:tc>
                <w:tcPr>
                  <w:tcW w:w="3322" w:type="dxa"/>
                  <w:vAlign w:val="center"/>
                </w:tcPr>
                <w:p>
                  <w:pPr>
                    <w:widowControl/>
                    <w:rPr>
                      <w:rFonts w:ascii="宋体" w:hAnsi="宋体" w:cs="宋体"/>
                      <w:i/>
                      <w:iCs/>
                      <w:kern w:val="0"/>
                      <w:szCs w:val="21"/>
                      <w:u w:val="single"/>
                    </w:rPr>
                  </w:pPr>
                  <w:r>
                    <w:rPr>
                      <w:rFonts w:hint="eastAsia" w:ascii="宋体" w:hAnsi="宋体" w:cs="宋体"/>
                      <w:i/>
                      <w:iCs/>
                      <w:kern w:val="0"/>
                      <w:szCs w:val="21"/>
                      <w:u w:val="single"/>
                    </w:rPr>
                    <w:t>拆解的发动机、变速箱总成，具备再制造条件的，可按照国家规定交售给具有再制造能力的企业进行再制造循环利用。不具备再制造条件的，可将发动机、变速箱总成交售给有资质的拆解企业进行拆解和破碎；或按</w:t>
                  </w:r>
                  <w:r>
                    <w:rPr>
                      <w:i/>
                      <w:iCs/>
                      <w:kern w:val="0"/>
                      <w:szCs w:val="21"/>
                      <w:u w:val="single"/>
                    </w:rPr>
                    <w:t>6.5.1.1,6.5.1.2</w:t>
                  </w:r>
                  <w:r>
                    <w:rPr>
                      <w:rFonts w:hint="eastAsia" w:ascii="宋体" w:hAnsi="宋体" w:cs="宋体"/>
                      <w:i/>
                      <w:iCs/>
                      <w:kern w:val="0"/>
                      <w:szCs w:val="21"/>
                      <w:u w:val="single"/>
                    </w:rPr>
                    <w:t>方式销毁后作为废金属，交给钢铁企业进行冶炼。不可再利用的总成及配件按</w:t>
                  </w:r>
                  <w:r>
                    <w:rPr>
                      <w:i/>
                      <w:iCs/>
                      <w:kern w:val="0"/>
                      <w:szCs w:val="21"/>
                      <w:u w:val="single"/>
                    </w:rPr>
                    <w:t>6.5.1.1</w:t>
                  </w:r>
                  <w:r>
                    <w:rPr>
                      <w:rFonts w:hint="eastAsia" w:ascii="宋体" w:hAnsi="宋体" w:cs="宋体"/>
                      <w:i/>
                      <w:iCs/>
                      <w:kern w:val="0"/>
                      <w:szCs w:val="21"/>
                      <w:u w:val="single"/>
                    </w:rPr>
                    <w:t>、</w:t>
                  </w:r>
                  <w:r>
                    <w:rPr>
                      <w:i/>
                      <w:iCs/>
                      <w:kern w:val="0"/>
                      <w:szCs w:val="21"/>
                      <w:u w:val="single"/>
                    </w:rPr>
                    <w:t>6.5.1.2</w:t>
                  </w:r>
                  <w:r>
                    <w:rPr>
                      <w:rFonts w:hint="eastAsia" w:ascii="宋体" w:hAnsi="宋体" w:cs="宋体"/>
                      <w:i/>
                      <w:iCs/>
                      <w:kern w:val="0"/>
                      <w:szCs w:val="21"/>
                      <w:u w:val="single"/>
                    </w:rPr>
                    <w:t>或其他等效方式处理。</w:t>
                  </w:r>
                </w:p>
              </w:tc>
              <w:tc>
                <w:tcPr>
                  <w:tcW w:w="2212" w:type="dxa"/>
                  <w:vAlign w:val="center"/>
                </w:tcPr>
                <w:p>
                  <w:pPr>
                    <w:widowControl/>
                    <w:rPr>
                      <w:i/>
                      <w:iCs/>
                      <w:szCs w:val="21"/>
                      <w:u w:val="single"/>
                    </w:rPr>
                  </w:pPr>
                  <w:r>
                    <w:rPr>
                      <w:rFonts w:hint="eastAsia" w:ascii="宋体" w:hAnsi="宋体" w:cs="宋体"/>
                      <w:i/>
                      <w:iCs/>
                      <w:kern w:val="0"/>
                      <w:szCs w:val="21"/>
                      <w:u w:val="single"/>
                    </w:rPr>
                    <w:t>符合。按要求对发动机、变速箱总成等进行拆解剪断。</w:t>
                  </w:r>
                </w:p>
                <w:p>
                  <w:pPr>
                    <w:widowControl/>
                    <w:rPr>
                      <w:rFonts w:ascii="宋体" w:hAnsi="宋体" w:cs="宋体"/>
                      <w:i/>
                      <w:iCs/>
                      <w:kern w:val="0"/>
                      <w:szCs w:val="21"/>
                      <w:u w:val="single"/>
                    </w:rPr>
                  </w:pPr>
                </w:p>
              </w:tc>
            </w:tr>
            <w:tr>
              <w:trPr>
                <w:trHeight w:val="23" w:hRule="atLeast"/>
                <w:jc w:val="center"/>
              </w:trPr>
              <w:tc>
                <w:tcPr>
                  <w:tcW w:w="1259" w:type="dxa"/>
                  <w:vMerge w:val="restart"/>
                  <w:vAlign w:val="center"/>
                </w:tcPr>
                <w:p>
                  <w:pPr>
                    <w:widowControl/>
                    <w:rPr>
                      <w:i/>
                      <w:iCs/>
                      <w:szCs w:val="21"/>
                      <w:u w:val="single"/>
                    </w:rPr>
                  </w:pPr>
                  <w:r>
                    <w:rPr>
                      <w:rFonts w:hint="eastAsia" w:ascii="宋体" w:hAnsi="宋体" w:cs="宋体"/>
                      <w:i/>
                      <w:iCs/>
                      <w:kern w:val="0"/>
                      <w:szCs w:val="21"/>
                      <w:u w:val="single"/>
                    </w:rPr>
                    <w:t>拆解后储 存</w:t>
                  </w:r>
                </w:p>
              </w:tc>
              <w:tc>
                <w:tcPr>
                  <w:tcW w:w="3322" w:type="dxa"/>
                  <w:vAlign w:val="center"/>
                </w:tcPr>
                <w:p>
                  <w:pPr>
                    <w:widowControl/>
                    <w:rPr>
                      <w:i/>
                      <w:iCs/>
                      <w:szCs w:val="21"/>
                      <w:u w:val="single"/>
                    </w:rPr>
                  </w:pPr>
                  <w:r>
                    <w:rPr>
                      <w:rFonts w:hint="eastAsia" w:ascii="宋体" w:hAnsi="宋体" w:cs="宋体"/>
                      <w:i/>
                      <w:iCs/>
                      <w:kern w:val="0"/>
                      <w:szCs w:val="21"/>
                      <w:u w:val="single"/>
                    </w:rPr>
                    <w:t>固体废物的储存应符合</w:t>
                  </w:r>
                  <w:r>
                    <w:rPr>
                      <w:i/>
                      <w:iCs/>
                      <w:kern w:val="0"/>
                      <w:szCs w:val="21"/>
                      <w:u w:val="single"/>
                    </w:rPr>
                    <w:t>GB18599</w:t>
                  </w:r>
                  <w:r>
                    <w:rPr>
                      <w:rFonts w:hint="eastAsia" w:ascii="宋体" w:hAnsi="宋体" w:cs="宋体"/>
                      <w:i/>
                      <w:iCs/>
                      <w:kern w:val="0"/>
                      <w:szCs w:val="21"/>
                      <w:u w:val="single"/>
                    </w:rPr>
                    <w:t xml:space="preserve">、 </w:t>
                  </w:r>
                  <w:r>
                    <w:rPr>
                      <w:i/>
                      <w:iCs/>
                      <w:kern w:val="0"/>
                      <w:szCs w:val="21"/>
                      <w:u w:val="single"/>
                    </w:rPr>
                    <w:t>GB18597</w:t>
                  </w:r>
                  <w:r>
                    <w:rPr>
                      <w:rFonts w:hint="eastAsia" w:ascii="宋体" w:hAnsi="宋体" w:cs="宋体"/>
                      <w:i/>
                      <w:iCs/>
                      <w:kern w:val="0"/>
                      <w:szCs w:val="21"/>
                      <w:u w:val="single"/>
                    </w:rPr>
                    <w:t>和</w:t>
                  </w:r>
                  <w:r>
                    <w:rPr>
                      <w:i/>
                      <w:iCs/>
                      <w:kern w:val="0"/>
                      <w:szCs w:val="21"/>
                      <w:u w:val="single"/>
                    </w:rPr>
                    <w:t>HJ2025</w:t>
                  </w:r>
                  <w:r>
                    <w:rPr>
                      <w:rFonts w:hint="eastAsia" w:ascii="宋体" w:hAnsi="宋体" w:cs="宋体"/>
                      <w:i/>
                      <w:iCs/>
                      <w:kern w:val="0"/>
                      <w:szCs w:val="21"/>
                      <w:u w:val="single"/>
                    </w:rPr>
                    <w:t xml:space="preserve">的规定。 </w:t>
                  </w:r>
                </w:p>
                <w:p>
                  <w:pPr>
                    <w:widowControl/>
                    <w:rPr>
                      <w:i/>
                      <w:iCs/>
                      <w:szCs w:val="21"/>
                      <w:u w:val="single"/>
                    </w:rPr>
                  </w:pPr>
                  <w:r>
                    <w:rPr>
                      <w:rFonts w:hint="eastAsia" w:ascii="宋体" w:hAnsi="宋体" w:cs="宋体"/>
                      <w:i/>
                      <w:iCs/>
                      <w:kern w:val="0"/>
                      <w:szCs w:val="21"/>
                      <w:u w:val="single"/>
                    </w:rPr>
                    <w:t xml:space="preserve">一般工业固体废物储存设施及包装物应按照 </w:t>
                  </w:r>
                  <w:r>
                    <w:rPr>
                      <w:i/>
                      <w:iCs/>
                      <w:kern w:val="0"/>
                      <w:szCs w:val="21"/>
                      <w:u w:val="single"/>
                    </w:rPr>
                    <w:t>GB15562.2</w:t>
                  </w:r>
                  <w:r>
                    <w:rPr>
                      <w:rFonts w:hint="eastAsia" w:ascii="宋体" w:hAnsi="宋体" w:cs="宋体"/>
                      <w:i/>
                      <w:iCs/>
                      <w:kern w:val="0"/>
                      <w:szCs w:val="21"/>
                      <w:u w:val="single"/>
                    </w:rPr>
                    <w:t>的规定进行标识，危险废物储存设施及包装物的标志应符合</w:t>
                  </w:r>
                  <w:r>
                    <w:rPr>
                      <w:i/>
                      <w:iCs/>
                      <w:kern w:val="0"/>
                      <w:szCs w:val="21"/>
                      <w:u w:val="single"/>
                    </w:rPr>
                    <w:t>GB18597</w:t>
                  </w:r>
                  <w:r>
                    <w:rPr>
                      <w:rFonts w:hint="eastAsia" w:ascii="宋体" w:hAnsi="宋体" w:cs="宋体"/>
                      <w:i/>
                      <w:iCs/>
                      <w:kern w:val="0"/>
                      <w:szCs w:val="21"/>
                      <w:u w:val="single"/>
                    </w:rPr>
                    <w:t xml:space="preserve">和 </w:t>
                  </w:r>
                  <w:r>
                    <w:rPr>
                      <w:i/>
                      <w:iCs/>
                      <w:kern w:val="0"/>
                      <w:szCs w:val="21"/>
                      <w:u w:val="single"/>
                    </w:rPr>
                    <w:t>HJ2025</w:t>
                  </w:r>
                  <w:r>
                    <w:rPr>
                      <w:rFonts w:hint="eastAsia" w:ascii="宋体" w:hAnsi="宋体" w:cs="宋体"/>
                      <w:i/>
                      <w:iCs/>
                      <w:kern w:val="0"/>
                      <w:szCs w:val="21"/>
                      <w:u w:val="single"/>
                    </w:rPr>
                    <w:t xml:space="preserve">的规定。所有固体废物避免混合、混放。 </w:t>
                  </w:r>
                </w:p>
                <w:p>
                  <w:pPr>
                    <w:widowControl/>
                    <w:rPr>
                      <w:rFonts w:ascii="宋体" w:hAnsi="宋体" w:cs="宋体"/>
                      <w:i/>
                      <w:iCs/>
                      <w:kern w:val="0"/>
                      <w:szCs w:val="21"/>
                      <w:u w:val="single"/>
                    </w:rPr>
                  </w:pPr>
                  <w:r>
                    <w:rPr>
                      <w:rFonts w:hint="eastAsia" w:ascii="宋体" w:hAnsi="宋体" w:cs="宋体"/>
                      <w:i/>
                      <w:iCs/>
                      <w:kern w:val="0"/>
                      <w:szCs w:val="21"/>
                      <w:u w:val="single"/>
                    </w:rPr>
                    <w:t>妥善处置固体废物，不应非法转移﹑倾倒、利用和处置。制冷剂应使用专用设备进行回收，有条件的可分类收集，并使用专门容器单独储存。废弃电器、铅酸蓄电池储存场地不得有明火。容器和装置要防漏和防止洒溅，并对其进行日常性检查，对拆解后的所有固体废物分类储存和标识。</w:t>
                  </w:r>
                </w:p>
              </w:tc>
              <w:tc>
                <w:tcPr>
                  <w:tcW w:w="2212" w:type="dxa"/>
                  <w:vAlign w:val="center"/>
                </w:tcPr>
                <w:p>
                  <w:pPr>
                    <w:widowControl/>
                    <w:rPr>
                      <w:rFonts w:ascii="宋体" w:hAnsi="宋体" w:cs="宋体"/>
                      <w:i/>
                      <w:iCs/>
                      <w:szCs w:val="21"/>
                      <w:u w:val="single"/>
                    </w:rPr>
                  </w:pPr>
                  <w:r>
                    <w:rPr>
                      <w:rFonts w:hint="eastAsia" w:ascii="宋体" w:hAnsi="宋体" w:cs="宋体"/>
                      <w:i/>
                      <w:iCs/>
                      <w:kern w:val="0"/>
                      <w:szCs w:val="21"/>
                      <w:u w:val="single"/>
                    </w:rPr>
                    <w:t>符合。本项目固体废物的储存符合GB18599、GB18597和HJ2025的规定。一般工业固体废物储存设施及包装物应按照 GB15562.2的规定进行标识，危险废物储存设施及包装物的标志应符合GB18597和HJ2025的规定。报废农机不涉及废制冷剂。</w:t>
                  </w:r>
                </w:p>
                <w:p>
                  <w:pPr>
                    <w:widowControl/>
                    <w:rPr>
                      <w:rFonts w:ascii="宋体" w:hAnsi="宋体" w:cs="宋体"/>
                      <w:i/>
                      <w:iCs/>
                      <w:kern w:val="0"/>
                      <w:szCs w:val="21"/>
                      <w:u w:val="single"/>
                    </w:rPr>
                  </w:pPr>
                </w:p>
              </w:tc>
            </w:tr>
            <w:tr>
              <w:trPr>
                <w:trHeight w:val="23" w:hRule="atLeast"/>
                <w:jc w:val="center"/>
              </w:trPr>
              <w:tc>
                <w:tcPr>
                  <w:tcW w:w="1259" w:type="dxa"/>
                  <w:vMerge w:val="continue"/>
                  <w:vAlign w:val="center"/>
                </w:tcPr>
                <w:p>
                  <w:pPr>
                    <w:autoSpaceDE w:val="0"/>
                    <w:autoSpaceDN w:val="0"/>
                    <w:rPr>
                      <w:i/>
                      <w:iCs/>
                      <w:szCs w:val="21"/>
                      <w:u w:val="single"/>
                    </w:rPr>
                  </w:pPr>
                </w:p>
              </w:tc>
              <w:tc>
                <w:tcPr>
                  <w:tcW w:w="3322" w:type="dxa"/>
                  <w:vAlign w:val="center"/>
                </w:tcPr>
                <w:p>
                  <w:pPr>
                    <w:widowControl/>
                    <w:rPr>
                      <w:i/>
                      <w:iCs/>
                      <w:szCs w:val="21"/>
                      <w:u w:val="single"/>
                    </w:rPr>
                  </w:pPr>
                  <w:r>
                    <w:rPr>
                      <w:rFonts w:hint="eastAsia" w:ascii="宋体" w:hAnsi="宋体" w:cs="宋体"/>
                      <w:i/>
                      <w:iCs/>
                      <w:kern w:val="0"/>
                      <w:szCs w:val="21"/>
                      <w:u w:val="single"/>
                    </w:rPr>
                    <w:t xml:space="preserve">回用件应分类储存和标识，存放在封闭或半封闭的储存场地中。回用件储存前应做清洁等处理。 </w:t>
                  </w:r>
                </w:p>
                <w:p>
                  <w:pPr>
                    <w:widowControl/>
                    <w:rPr>
                      <w:rFonts w:ascii="宋体" w:hAnsi="宋体" w:cs="宋体"/>
                      <w:i/>
                      <w:iCs/>
                      <w:kern w:val="0"/>
                      <w:szCs w:val="21"/>
                      <w:u w:val="single"/>
                    </w:rPr>
                  </w:pPr>
                  <w:r>
                    <w:rPr>
                      <w:rFonts w:hint="eastAsia" w:ascii="宋体" w:hAnsi="宋体" w:cs="宋体"/>
                      <w:i/>
                      <w:iCs/>
                      <w:kern w:val="0"/>
                      <w:szCs w:val="21"/>
                      <w:u w:val="single"/>
                    </w:rPr>
                    <w:t>拆解后的电子元器件应分类储存，电路板等属于危险废物的，应单独储存。</w:t>
                  </w:r>
                </w:p>
              </w:tc>
              <w:tc>
                <w:tcPr>
                  <w:tcW w:w="2212" w:type="dxa"/>
                  <w:vAlign w:val="center"/>
                </w:tcPr>
                <w:p>
                  <w:pPr>
                    <w:widowControl/>
                    <w:rPr>
                      <w:rFonts w:ascii="宋体" w:hAnsi="宋体" w:cs="宋体"/>
                      <w:i/>
                      <w:iCs/>
                      <w:kern w:val="0"/>
                      <w:szCs w:val="21"/>
                      <w:u w:val="single"/>
                    </w:rPr>
                  </w:pPr>
                  <w:r>
                    <w:rPr>
                      <w:rFonts w:hint="eastAsia" w:ascii="宋体" w:hAnsi="宋体" w:cs="宋体"/>
                      <w:i/>
                      <w:iCs/>
                      <w:kern w:val="0"/>
                      <w:szCs w:val="21"/>
                      <w:u w:val="single"/>
                    </w:rPr>
                    <w:t xml:space="preserve">符合。本项目固体废物的储存符合 </w:t>
                  </w:r>
                  <w:r>
                    <w:rPr>
                      <w:i/>
                      <w:iCs/>
                      <w:kern w:val="0"/>
                      <w:szCs w:val="21"/>
                      <w:u w:val="single"/>
                    </w:rPr>
                    <w:t>GB18599</w:t>
                  </w:r>
                  <w:r>
                    <w:rPr>
                      <w:rFonts w:hint="eastAsia" w:ascii="宋体" w:hAnsi="宋体" w:cs="宋体"/>
                      <w:i/>
                      <w:iCs/>
                      <w:kern w:val="0"/>
                      <w:szCs w:val="21"/>
                      <w:u w:val="single"/>
                    </w:rPr>
                    <w:t>、</w:t>
                  </w:r>
                  <w:r>
                    <w:rPr>
                      <w:i/>
                      <w:iCs/>
                      <w:kern w:val="0"/>
                      <w:szCs w:val="21"/>
                      <w:u w:val="single"/>
                    </w:rPr>
                    <w:t>GB18597</w:t>
                  </w:r>
                  <w:r>
                    <w:rPr>
                      <w:rFonts w:hint="eastAsia" w:ascii="宋体" w:hAnsi="宋体" w:cs="宋体"/>
                      <w:i/>
                      <w:iCs/>
                      <w:kern w:val="0"/>
                      <w:szCs w:val="21"/>
                      <w:u w:val="single"/>
                    </w:rPr>
                    <w:t>和</w:t>
                  </w:r>
                  <w:r>
                    <w:rPr>
                      <w:i/>
                      <w:iCs/>
                      <w:kern w:val="0"/>
                      <w:szCs w:val="21"/>
                      <w:u w:val="single"/>
                    </w:rPr>
                    <w:t>HJ2025</w:t>
                  </w:r>
                  <w:r>
                    <w:rPr>
                      <w:rFonts w:hint="eastAsia" w:ascii="宋体" w:hAnsi="宋体" w:cs="宋体"/>
                      <w:i/>
                      <w:iCs/>
                      <w:kern w:val="0"/>
                      <w:szCs w:val="21"/>
                      <w:u w:val="single"/>
                    </w:rPr>
                    <w:t>的规定。一般固废和危险废物分类存储。危险废物单独存储。</w:t>
                  </w:r>
                </w:p>
              </w:tc>
            </w:tr>
            <w:tr>
              <w:trPr>
                <w:trHeight w:val="23" w:hRule="atLeast"/>
                <w:jc w:val="center"/>
              </w:trPr>
              <w:tc>
                <w:tcPr>
                  <w:tcW w:w="1259" w:type="dxa"/>
                  <w:vAlign w:val="center"/>
                </w:tcPr>
                <w:p>
                  <w:pPr>
                    <w:widowControl/>
                    <w:rPr>
                      <w:i/>
                      <w:iCs/>
                      <w:szCs w:val="21"/>
                      <w:u w:val="single"/>
                    </w:rPr>
                  </w:pPr>
                  <w:r>
                    <w:rPr>
                      <w:rFonts w:hint="eastAsia" w:ascii="宋体" w:hAnsi="宋体" w:cs="宋体"/>
                      <w:i/>
                      <w:iCs/>
                      <w:kern w:val="0"/>
                      <w:szCs w:val="21"/>
                      <w:u w:val="single"/>
                    </w:rPr>
                    <w:t>拆解后处置</w:t>
                  </w:r>
                </w:p>
              </w:tc>
              <w:tc>
                <w:tcPr>
                  <w:tcW w:w="3322" w:type="dxa"/>
                  <w:vAlign w:val="center"/>
                </w:tcPr>
                <w:p>
                  <w:pPr>
                    <w:widowControl/>
                    <w:rPr>
                      <w:rFonts w:ascii="宋体" w:hAnsi="宋体" w:cs="宋体"/>
                      <w:i/>
                      <w:iCs/>
                      <w:kern w:val="0"/>
                      <w:szCs w:val="21"/>
                      <w:u w:val="single"/>
                    </w:rPr>
                  </w:pPr>
                  <w:r>
                    <w:rPr>
                      <w:rFonts w:hint="eastAsia" w:ascii="宋体" w:hAnsi="宋体" w:cs="宋体"/>
                      <w:i/>
                      <w:iCs/>
                      <w:kern w:val="0"/>
                      <w:szCs w:val="21"/>
                      <w:u w:val="single"/>
                    </w:rPr>
                    <w:t>废液应使用专用密闭容器储存，防漏、防洒溅、防挥发并交给具有相应资质的废液回收处理企业处置。 拆解后的可再利用零部件存储前应做清洗和防锈等处理后在室内存储，并标明 “回用件”。</w:t>
                  </w:r>
                </w:p>
                <w:p>
                  <w:pPr>
                    <w:widowControl/>
                    <w:rPr>
                      <w:rFonts w:ascii="宋体" w:hAnsi="宋体" w:cs="宋体"/>
                      <w:i/>
                      <w:iCs/>
                      <w:kern w:val="0"/>
                      <w:szCs w:val="21"/>
                      <w:u w:val="single"/>
                    </w:rPr>
                  </w:pPr>
                  <w:r>
                    <w:rPr>
                      <w:rFonts w:hint="eastAsia" w:ascii="宋体" w:hAnsi="宋体" w:cs="宋体"/>
                      <w:i/>
                      <w:iCs/>
                      <w:kern w:val="0"/>
                      <w:szCs w:val="21"/>
                      <w:u w:val="single"/>
                    </w:rPr>
                    <w:t>拆解后的所有的零部件、材料、废物，应按照</w:t>
                  </w:r>
                  <w:r>
                    <w:rPr>
                      <w:i/>
                      <w:iCs/>
                      <w:kern w:val="0"/>
                      <w:szCs w:val="21"/>
                      <w:u w:val="single"/>
                    </w:rPr>
                    <w:t>GB18484</w:t>
                  </w:r>
                  <w:r>
                    <w:rPr>
                      <w:rFonts w:hint="eastAsia" w:ascii="宋体" w:hAnsi="宋体" w:cs="宋体"/>
                      <w:i/>
                      <w:iCs/>
                      <w:kern w:val="0"/>
                      <w:szCs w:val="21"/>
                      <w:u w:val="single"/>
                    </w:rPr>
                    <w:t>的规定分类存储和标识，废物不得焚烧、丢弃。 对列入国家危险废物名录的危险废物应按照</w:t>
                  </w:r>
                  <w:r>
                    <w:rPr>
                      <w:i/>
                      <w:iCs/>
                      <w:kern w:val="0"/>
                      <w:szCs w:val="21"/>
                      <w:u w:val="single"/>
                    </w:rPr>
                    <w:t>GB18599</w:t>
                  </w:r>
                  <w:r>
                    <w:rPr>
                      <w:rFonts w:hint="eastAsia" w:ascii="宋体" w:hAnsi="宋体" w:cs="宋体"/>
                      <w:i/>
                      <w:iCs/>
                      <w:kern w:val="0"/>
                      <w:szCs w:val="21"/>
                      <w:u w:val="single"/>
                    </w:rPr>
                    <w:t>的规定进行储存和污染控制管理。</w:t>
                  </w:r>
                </w:p>
                <w:p>
                  <w:pPr>
                    <w:widowControl/>
                    <w:rPr>
                      <w:rFonts w:ascii="宋体" w:hAnsi="宋体" w:cs="宋体"/>
                      <w:i/>
                      <w:iCs/>
                      <w:kern w:val="0"/>
                      <w:szCs w:val="21"/>
                      <w:u w:val="single"/>
                    </w:rPr>
                  </w:pPr>
                  <w:r>
                    <w:rPr>
                      <w:rFonts w:hint="eastAsia" w:ascii="宋体" w:hAnsi="宋体" w:cs="宋体"/>
                      <w:i/>
                      <w:iCs/>
                      <w:kern w:val="0"/>
                      <w:szCs w:val="21"/>
                      <w:u w:val="single"/>
                    </w:rPr>
                    <w:t>拆解后有毒有害的危险废物的储存和处置应符合</w:t>
                  </w:r>
                  <w:r>
                    <w:rPr>
                      <w:i/>
                      <w:iCs/>
                      <w:kern w:val="0"/>
                      <w:szCs w:val="21"/>
                      <w:u w:val="single"/>
                    </w:rPr>
                    <w:t>GB18597</w:t>
                  </w:r>
                  <w:r>
                    <w:rPr>
                      <w:rFonts w:hint="eastAsia" w:ascii="宋体" w:hAnsi="宋体" w:cs="宋体"/>
                      <w:i/>
                      <w:iCs/>
                      <w:kern w:val="0"/>
                      <w:szCs w:val="21"/>
                      <w:u w:val="single"/>
                    </w:rPr>
                    <w:t>的规定，危险废物应交由具有相应资质的企业进行处置。动力蓄电池、电子元器件拆解后应单独存放，对锂电池进行整体拆解存放，做好防止自燃措施，并交由有资质的处置企业进行回收处理，电子元器件应交由有废电器资质企业拆解，不可自行拆解。</w:t>
                  </w:r>
                </w:p>
              </w:tc>
              <w:tc>
                <w:tcPr>
                  <w:tcW w:w="2212" w:type="dxa"/>
                  <w:vAlign w:val="center"/>
                </w:tcPr>
                <w:p>
                  <w:pPr>
                    <w:widowControl/>
                    <w:rPr>
                      <w:i/>
                      <w:iCs/>
                      <w:szCs w:val="21"/>
                      <w:u w:val="single"/>
                    </w:rPr>
                  </w:pPr>
                  <w:r>
                    <w:rPr>
                      <w:rFonts w:hint="eastAsia" w:ascii="宋体" w:hAnsi="宋体" w:cs="宋体"/>
                      <w:i/>
                      <w:iCs/>
                      <w:kern w:val="0"/>
                      <w:szCs w:val="21"/>
                      <w:u w:val="single"/>
                    </w:rPr>
                    <w:t>符合。本项目固体废物的储存符合</w:t>
                  </w:r>
                  <w:r>
                    <w:rPr>
                      <w:i/>
                      <w:iCs/>
                      <w:kern w:val="0"/>
                      <w:szCs w:val="21"/>
                      <w:u w:val="single"/>
                    </w:rPr>
                    <w:t>GB18599</w:t>
                  </w:r>
                  <w:r>
                    <w:rPr>
                      <w:rFonts w:hint="eastAsia" w:ascii="宋体" w:hAnsi="宋体" w:cs="宋体"/>
                      <w:i/>
                      <w:iCs/>
                      <w:kern w:val="0"/>
                      <w:szCs w:val="21"/>
                      <w:u w:val="single"/>
                    </w:rPr>
                    <w:t>、</w:t>
                  </w:r>
                  <w:r>
                    <w:rPr>
                      <w:i/>
                      <w:iCs/>
                      <w:kern w:val="0"/>
                      <w:szCs w:val="21"/>
                      <w:u w:val="single"/>
                    </w:rPr>
                    <w:t>GB18597</w:t>
                  </w:r>
                  <w:r>
                    <w:rPr>
                      <w:rFonts w:hint="eastAsia" w:ascii="宋体" w:hAnsi="宋体" w:cs="宋体"/>
                      <w:i/>
                      <w:iCs/>
                      <w:kern w:val="0"/>
                      <w:szCs w:val="21"/>
                      <w:u w:val="single"/>
                    </w:rPr>
                    <w:t>和</w:t>
                  </w:r>
                  <w:r>
                    <w:rPr>
                      <w:i/>
                      <w:iCs/>
                      <w:kern w:val="0"/>
                      <w:szCs w:val="21"/>
                      <w:u w:val="single"/>
                    </w:rPr>
                    <w:t>HJ2025</w:t>
                  </w:r>
                  <w:r>
                    <w:rPr>
                      <w:rFonts w:hint="eastAsia" w:ascii="宋体" w:hAnsi="宋体" w:cs="宋体"/>
                      <w:i/>
                      <w:iCs/>
                      <w:kern w:val="0"/>
                      <w:szCs w:val="21"/>
                      <w:u w:val="single"/>
                    </w:rPr>
                    <w:t>的规定。拆解后危险废物交由有资质单位处理。电子元器件拆解后应单独存放，交由有资质单位处理。电子元件不进行拆解，本项目不涉及动力蓄电池。</w:t>
                  </w:r>
                </w:p>
                <w:p>
                  <w:pPr>
                    <w:widowControl/>
                    <w:rPr>
                      <w:rFonts w:ascii="宋体" w:hAnsi="宋体" w:cs="宋体"/>
                      <w:i/>
                      <w:iCs/>
                      <w:kern w:val="0"/>
                      <w:szCs w:val="21"/>
                      <w:u w:val="single"/>
                    </w:rPr>
                  </w:pPr>
                </w:p>
              </w:tc>
            </w:tr>
          </w:tbl>
          <w:p>
            <w:pPr>
              <w:autoSpaceDE w:val="0"/>
              <w:autoSpaceDN w:val="0"/>
              <w:spacing w:line="360" w:lineRule="auto"/>
              <w:ind w:firstLine="480" w:firstLineChars="200"/>
              <w:rPr>
                <w:sz w:val="24"/>
              </w:rPr>
            </w:pPr>
            <w:r>
              <w:rPr>
                <w:rFonts w:hint="eastAsia"/>
                <w:sz w:val="24"/>
              </w:rPr>
              <w:t>由上表可知，本项目符合《报废农业机械回收拆解技术规范》（NY/T2900-2022）中相关要求。</w:t>
            </w:r>
          </w:p>
          <w:p>
            <w:pPr>
              <w:autoSpaceDE w:val="0"/>
              <w:autoSpaceDN w:val="0"/>
              <w:spacing w:line="360" w:lineRule="auto"/>
              <w:ind w:firstLine="482" w:firstLineChars="200"/>
              <w:rPr>
                <w:b/>
                <w:bCs/>
                <w:sz w:val="24"/>
              </w:rPr>
            </w:pPr>
            <w:r>
              <w:rPr>
                <w:rFonts w:hint="eastAsia"/>
                <w:b/>
                <w:bCs/>
                <w:sz w:val="24"/>
              </w:rPr>
              <w:t>6、《报废机动车拆解企业污染控制技术规范》（HJ 348-2022）符合性分析</w:t>
            </w:r>
          </w:p>
          <w:p>
            <w:pPr>
              <w:autoSpaceDE w:val="0"/>
              <w:autoSpaceDN w:val="0"/>
              <w:spacing w:line="360" w:lineRule="auto"/>
              <w:ind w:firstLine="480" w:firstLineChars="200"/>
              <w:rPr>
                <w:sz w:val="24"/>
              </w:rPr>
            </w:pPr>
            <w:r>
              <w:rPr>
                <w:rFonts w:hint="eastAsia"/>
                <w:sz w:val="24"/>
              </w:rPr>
              <w:t>根据《报废机动车拆解企业污染控制技术规范》（HJ 348-2022）适用范围的规定，非道路移动机械拆解参照本标准执行。</w:t>
            </w:r>
            <w:r>
              <w:rPr>
                <w:sz w:val="24"/>
              </w:rPr>
              <w:t>项目</w:t>
            </w:r>
            <w:r>
              <w:rPr>
                <w:rFonts w:hint="eastAsia"/>
                <w:sz w:val="24"/>
              </w:rPr>
              <w:t>标准</w:t>
            </w:r>
            <w:r>
              <w:rPr>
                <w:sz w:val="24"/>
              </w:rPr>
              <w:t>要求符合性见下表</w:t>
            </w:r>
            <w:r>
              <w:rPr>
                <w:rFonts w:hint="eastAsia"/>
                <w:sz w:val="24"/>
              </w:rPr>
              <w:t>。</w:t>
            </w:r>
          </w:p>
          <w:p>
            <w:pPr>
              <w:autoSpaceDE w:val="0"/>
              <w:autoSpaceDN w:val="0"/>
              <w:ind w:firstLine="1897" w:firstLineChars="900"/>
              <w:rPr>
                <w:rFonts w:ascii="宋体" w:hAnsi="宋体"/>
                <w:szCs w:val="21"/>
              </w:rPr>
            </w:pPr>
            <w:r>
              <w:rPr>
                <w:rFonts w:ascii="宋体" w:hAnsi="宋体"/>
                <w:b/>
                <w:szCs w:val="21"/>
              </w:rPr>
              <w:t>表</w:t>
            </w:r>
            <w:r>
              <w:rPr>
                <w:rFonts w:hint="eastAsia" w:ascii="宋体" w:hAnsi="宋体"/>
                <w:b/>
                <w:szCs w:val="21"/>
              </w:rPr>
              <w:t>1-5</w:t>
            </w:r>
            <w:r>
              <w:rPr>
                <w:rFonts w:ascii="宋体" w:hAnsi="宋体"/>
                <w:b/>
                <w:szCs w:val="21"/>
              </w:rPr>
              <w:t xml:space="preserve">  本项目与技术规范的符合性一览表</w:t>
            </w:r>
          </w:p>
          <w:tbl>
            <w:tblPr>
              <w:tblW w:w="6792"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left w:w="108" w:type="dxa"/>
                <w:right w:w="108" w:type="dxa"/>
              </w:tblCellMar>
            </w:tblPr>
            <w:tblGrid>
              <w:gridCol w:w="398"/>
              <w:gridCol w:w="352"/>
              <w:gridCol w:w="2770"/>
              <w:gridCol w:w="2585"/>
              <w:gridCol w:w="687"/>
            </w:tblGrid>
            <w:tr>
              <w:trPr>
                <w:trHeight w:val="225" w:hRule="atLeast"/>
                <w:jc w:val="center"/>
              </w:trPr>
              <w:tc>
                <w:tcPr>
                  <w:tcW w:w="3520" w:type="dxa"/>
                  <w:gridSpan w:val="3"/>
                  <w:vAlign w:val="center"/>
                </w:tcPr>
                <w:p>
                  <w:pPr>
                    <w:autoSpaceDE w:val="0"/>
                    <w:autoSpaceDN w:val="0"/>
                    <w:jc w:val="center"/>
                    <w:rPr>
                      <w:b/>
                      <w:bCs/>
                      <w:kern w:val="0"/>
                      <w:szCs w:val="21"/>
                    </w:rPr>
                  </w:pPr>
                  <w:r>
                    <w:rPr>
                      <w:rFonts w:hint="eastAsia"/>
                      <w:b/>
                      <w:bCs/>
                      <w:kern w:val="0"/>
                      <w:szCs w:val="21"/>
                    </w:rPr>
                    <w:t>技术规范</w:t>
                  </w:r>
                </w:p>
              </w:tc>
              <w:tc>
                <w:tcPr>
                  <w:tcW w:w="2585" w:type="dxa"/>
                  <w:vAlign w:val="center"/>
                </w:tcPr>
                <w:p>
                  <w:pPr>
                    <w:jc w:val="center"/>
                    <w:rPr>
                      <w:b/>
                      <w:bCs/>
                      <w:kern w:val="0"/>
                      <w:szCs w:val="21"/>
                    </w:rPr>
                  </w:pPr>
                  <w:r>
                    <w:rPr>
                      <w:rFonts w:hint="eastAsia" w:ascii="宋体" w:hAnsi="宋体" w:cs="宋体"/>
                      <w:b/>
                      <w:bCs/>
                      <w:szCs w:val="21"/>
                    </w:rPr>
                    <w:t>符合性分析</w:t>
                  </w:r>
                </w:p>
              </w:tc>
              <w:tc>
                <w:tcPr>
                  <w:tcW w:w="687" w:type="dxa"/>
                  <w:vAlign w:val="center"/>
                </w:tcPr>
                <w:p>
                  <w:pPr>
                    <w:jc w:val="center"/>
                    <w:rPr>
                      <w:b/>
                      <w:bCs/>
                      <w:kern w:val="0"/>
                      <w:szCs w:val="21"/>
                    </w:rPr>
                  </w:pPr>
                  <w:r>
                    <w:rPr>
                      <w:rFonts w:hint="eastAsia" w:ascii="宋体" w:hAnsi="宋体" w:cs="宋体"/>
                      <w:b/>
                      <w:bCs/>
                      <w:szCs w:val="21"/>
                    </w:rPr>
                    <w:t>符合性</w:t>
                  </w:r>
                </w:p>
              </w:tc>
            </w:tr>
            <w:tr>
              <w:trPr>
                <w:trHeight w:val="90" w:hRule="atLeast"/>
                <w:jc w:val="center"/>
              </w:trPr>
              <w:tc>
                <w:tcPr>
                  <w:tcW w:w="398" w:type="dxa"/>
                  <w:vMerge w:val="restart"/>
                  <w:vAlign w:val="center"/>
                </w:tcPr>
                <w:p>
                  <w:pPr>
                    <w:autoSpaceDE w:val="0"/>
                    <w:autoSpaceDN w:val="0"/>
                    <w:jc w:val="center"/>
                    <w:rPr>
                      <w:kern w:val="0"/>
                      <w:szCs w:val="21"/>
                    </w:rPr>
                  </w:pPr>
                  <w:r>
                    <w:rPr>
                      <w:rFonts w:hint="eastAsia"/>
                      <w:kern w:val="0"/>
                      <w:szCs w:val="21"/>
                    </w:rPr>
                    <w:t>总体要求</w:t>
                  </w:r>
                </w:p>
              </w:tc>
              <w:tc>
                <w:tcPr>
                  <w:tcW w:w="3122" w:type="dxa"/>
                  <w:gridSpan w:val="2"/>
                  <w:vAlign w:val="top"/>
                </w:tcPr>
                <w:p>
                  <w:pPr>
                    <w:autoSpaceDE w:val="0"/>
                    <w:autoSpaceDN w:val="0"/>
                    <w:rPr>
                      <w:kern w:val="0"/>
                      <w:szCs w:val="21"/>
                    </w:rPr>
                  </w:pPr>
                  <w:r>
                    <w:rPr>
                      <w:rFonts w:hint="eastAsia"/>
                      <w:kern w:val="0"/>
                      <w:szCs w:val="21"/>
                    </w:rPr>
                    <w:t>报废机动车的拆解应遵循减量化、资源化和无害化的原则。报废机动车回收拆解企业应优先采用资源回收率高、污染物排放量少的工艺和设备，防范二次污染，实现减污降碳协同增效。</w:t>
                  </w:r>
                </w:p>
              </w:tc>
              <w:tc>
                <w:tcPr>
                  <w:tcW w:w="2585" w:type="dxa"/>
                  <w:vAlign w:val="top"/>
                </w:tcPr>
                <w:p>
                  <w:pPr>
                    <w:widowControl/>
                    <w:jc w:val="left"/>
                    <w:rPr>
                      <w:kern w:val="0"/>
                      <w:szCs w:val="21"/>
                    </w:rPr>
                  </w:pPr>
                  <w:r>
                    <w:rPr>
                      <w:rFonts w:hint="eastAsia"/>
                      <w:kern w:val="0"/>
                      <w:szCs w:val="21"/>
                    </w:rPr>
                    <w:t>本项目拆解下来的可回收资源外卖综合利用，</w:t>
                  </w:r>
                  <w:r>
                    <w:rPr>
                      <w:kern w:val="0"/>
                      <w:szCs w:val="21"/>
                    </w:rPr>
                    <w:t>废机油滤清器、废蓄电池</w:t>
                  </w:r>
                  <w:r>
                    <w:rPr>
                      <w:rFonts w:hint="eastAsia"/>
                      <w:kern w:val="0"/>
                      <w:szCs w:val="21"/>
                    </w:rPr>
                    <w:t>等</w:t>
                  </w:r>
                  <w:r>
                    <w:rPr>
                      <w:kern w:val="0"/>
                      <w:szCs w:val="21"/>
                    </w:rPr>
                    <w:t>，经分类密闭包装后暂存于</w:t>
                  </w:r>
                  <w:r>
                    <w:rPr>
                      <w:rFonts w:hint="eastAsia"/>
                      <w:kern w:val="0"/>
                      <w:szCs w:val="21"/>
                    </w:rPr>
                    <w:t>危险废物贮存库</w:t>
                  </w:r>
                  <w:r>
                    <w:rPr>
                      <w:kern w:val="0"/>
                      <w:szCs w:val="21"/>
                    </w:rPr>
                    <w:t>内，由有资质单位定期清运处理</w:t>
                  </w:r>
                  <w:r>
                    <w:rPr>
                      <w:rFonts w:hint="eastAsia"/>
                      <w:kern w:val="0"/>
                      <w:szCs w:val="21"/>
                    </w:rPr>
                    <w:t>。本项目采用资源回收率高、污染物排放量少的工艺和设备，防范二次污染，实现减污降碳协同增效。</w:t>
                  </w:r>
                </w:p>
              </w:tc>
              <w:tc>
                <w:tcPr>
                  <w:tcW w:w="687" w:type="dxa"/>
                  <w:vAlign w:val="center"/>
                </w:tcPr>
                <w:p>
                  <w:pPr>
                    <w:autoSpaceDE w:val="0"/>
                    <w:autoSpaceDN w:val="0"/>
                    <w:jc w:val="center"/>
                    <w:rPr>
                      <w:kern w:val="0"/>
                      <w:szCs w:val="21"/>
                    </w:rPr>
                  </w:pPr>
                  <w:r>
                    <w:rPr>
                      <w:rFonts w:hint="eastAsia" w:ascii="宋体" w:hAnsi="宋体" w:cs="宋体"/>
                      <w:kern w:val="0"/>
                      <w:szCs w:val="21"/>
                    </w:rPr>
                    <w:t>符合</w:t>
                  </w:r>
                </w:p>
              </w:tc>
            </w:tr>
            <w:tr>
              <w:trPr>
                <w:trHeight w:val="212" w:hRule="atLeast"/>
                <w:jc w:val="center"/>
              </w:trPr>
              <w:tc>
                <w:tcPr>
                  <w:tcW w:w="398" w:type="dxa"/>
                  <w:vMerge w:val="continue"/>
                  <w:vAlign w:val="center"/>
                </w:tcPr>
                <w:p>
                  <w:pPr>
                    <w:autoSpaceDE w:val="0"/>
                    <w:autoSpaceDN w:val="0"/>
                    <w:jc w:val="center"/>
                    <w:rPr>
                      <w:kern w:val="0"/>
                      <w:szCs w:val="21"/>
                    </w:rPr>
                  </w:pPr>
                </w:p>
              </w:tc>
              <w:tc>
                <w:tcPr>
                  <w:tcW w:w="3122" w:type="dxa"/>
                  <w:gridSpan w:val="2"/>
                  <w:vAlign w:val="top"/>
                </w:tcPr>
                <w:p>
                  <w:pPr>
                    <w:autoSpaceDE w:val="0"/>
                    <w:autoSpaceDN w:val="0"/>
                    <w:rPr>
                      <w:kern w:val="0"/>
                      <w:szCs w:val="21"/>
                    </w:rPr>
                  </w:pPr>
                  <w:r>
                    <w:rPr>
                      <w:rFonts w:hint="eastAsia"/>
                      <w:kern w:val="0"/>
                      <w:szCs w:val="21"/>
                    </w:rPr>
                    <w:t>报废机动车拆解建设项目选址不应位于国务院和国务院有关主管部门及省、自治区、直辖市人民政府划定的生态保护红线区域、永久基本农田和其他需要特别保护的区域内。</w:t>
                  </w:r>
                </w:p>
              </w:tc>
              <w:tc>
                <w:tcPr>
                  <w:tcW w:w="2585" w:type="dxa"/>
                  <w:vAlign w:val="top"/>
                </w:tcPr>
                <w:p>
                  <w:pPr>
                    <w:autoSpaceDE w:val="0"/>
                    <w:autoSpaceDN w:val="0"/>
                    <w:rPr>
                      <w:kern w:val="0"/>
                      <w:szCs w:val="21"/>
                    </w:rPr>
                  </w:pPr>
                  <w:r>
                    <w:rPr>
                      <w:rFonts w:hint="eastAsia"/>
                      <w:kern w:val="0"/>
                      <w:szCs w:val="21"/>
                    </w:rPr>
                    <w:t>本项目位于柳河县柳河镇河北村，不涉及生态保护红线区域、永久基本农田和其他需要特别保护的区域。</w:t>
                  </w:r>
                </w:p>
              </w:tc>
              <w:tc>
                <w:tcPr>
                  <w:tcW w:w="687" w:type="dxa"/>
                  <w:vAlign w:val="center"/>
                </w:tcPr>
                <w:p>
                  <w:pPr>
                    <w:autoSpaceDE w:val="0"/>
                    <w:autoSpaceDN w:val="0"/>
                    <w:jc w:val="center"/>
                    <w:rPr>
                      <w:bCs/>
                      <w:szCs w:val="21"/>
                    </w:rPr>
                  </w:pPr>
                  <w:r>
                    <w:rPr>
                      <w:rFonts w:hint="eastAsia" w:ascii="宋体" w:hAnsi="宋体" w:cs="宋体"/>
                      <w:kern w:val="0"/>
                      <w:szCs w:val="21"/>
                    </w:rPr>
                    <w:t>符合</w:t>
                  </w:r>
                </w:p>
              </w:tc>
            </w:tr>
            <w:tr>
              <w:trPr>
                <w:trHeight w:val="212" w:hRule="atLeast"/>
                <w:jc w:val="center"/>
              </w:trPr>
              <w:tc>
                <w:tcPr>
                  <w:tcW w:w="398" w:type="dxa"/>
                  <w:vMerge w:val="continue"/>
                  <w:vAlign w:val="center"/>
                </w:tcPr>
                <w:p>
                  <w:pPr>
                    <w:autoSpaceDE w:val="0"/>
                    <w:autoSpaceDN w:val="0"/>
                    <w:jc w:val="center"/>
                    <w:rPr>
                      <w:kern w:val="0"/>
                      <w:szCs w:val="21"/>
                    </w:rPr>
                  </w:pPr>
                </w:p>
              </w:tc>
              <w:tc>
                <w:tcPr>
                  <w:tcW w:w="3122" w:type="dxa"/>
                  <w:gridSpan w:val="2"/>
                  <w:vAlign w:val="top"/>
                </w:tcPr>
                <w:p>
                  <w:pPr>
                    <w:autoSpaceDE w:val="0"/>
                    <w:autoSpaceDN w:val="0"/>
                    <w:rPr>
                      <w:kern w:val="0"/>
                      <w:szCs w:val="21"/>
                    </w:rPr>
                  </w:pPr>
                  <w:r>
                    <w:rPr>
                      <w:rFonts w:hint="eastAsia"/>
                      <w:kern w:val="0"/>
                      <w:szCs w:val="21"/>
                    </w:rPr>
                    <w:t>报废机动车回收拆解企业应具备集中的运营场地，并实行封闭式规范管理。</w:t>
                  </w:r>
                </w:p>
              </w:tc>
              <w:tc>
                <w:tcPr>
                  <w:tcW w:w="2585" w:type="dxa"/>
                  <w:vAlign w:val="top"/>
                </w:tcPr>
                <w:p>
                  <w:pPr>
                    <w:autoSpaceDE w:val="0"/>
                    <w:autoSpaceDN w:val="0"/>
                    <w:rPr>
                      <w:kern w:val="0"/>
                      <w:szCs w:val="21"/>
                    </w:rPr>
                  </w:pPr>
                  <w:r>
                    <w:rPr>
                      <w:rFonts w:hint="eastAsia"/>
                      <w:kern w:val="0"/>
                      <w:szCs w:val="21"/>
                    </w:rPr>
                    <w:t>本项目具备集中的运营场地，并实行封闭式管理。</w:t>
                  </w:r>
                </w:p>
              </w:tc>
              <w:tc>
                <w:tcPr>
                  <w:tcW w:w="687" w:type="dxa"/>
                  <w:vAlign w:val="center"/>
                </w:tcPr>
                <w:p>
                  <w:pPr>
                    <w:autoSpaceDE w:val="0"/>
                    <w:autoSpaceDN w:val="0"/>
                    <w:jc w:val="center"/>
                    <w:rPr>
                      <w:kern w:val="0"/>
                      <w:szCs w:val="21"/>
                    </w:rPr>
                  </w:pPr>
                  <w:r>
                    <w:rPr>
                      <w:rFonts w:hint="eastAsia" w:ascii="宋体" w:hAnsi="宋体" w:cs="宋体"/>
                      <w:kern w:val="0"/>
                      <w:szCs w:val="21"/>
                    </w:rPr>
                    <w:t>符合</w:t>
                  </w:r>
                </w:p>
              </w:tc>
            </w:tr>
            <w:tr>
              <w:trPr>
                <w:trHeight w:val="212" w:hRule="atLeast"/>
                <w:jc w:val="center"/>
              </w:trPr>
              <w:tc>
                <w:tcPr>
                  <w:tcW w:w="398" w:type="dxa"/>
                  <w:vMerge w:val="continue"/>
                  <w:vAlign w:val="center"/>
                </w:tcPr>
                <w:p>
                  <w:pPr>
                    <w:autoSpaceDE w:val="0"/>
                    <w:autoSpaceDN w:val="0"/>
                    <w:jc w:val="center"/>
                    <w:rPr>
                      <w:kern w:val="0"/>
                      <w:szCs w:val="21"/>
                    </w:rPr>
                  </w:pPr>
                </w:p>
              </w:tc>
              <w:tc>
                <w:tcPr>
                  <w:tcW w:w="3122" w:type="dxa"/>
                  <w:gridSpan w:val="2"/>
                  <w:vAlign w:val="top"/>
                </w:tcPr>
                <w:p>
                  <w:pPr>
                    <w:autoSpaceDE w:val="0"/>
                    <w:autoSpaceDN w:val="0"/>
                    <w:rPr>
                      <w:kern w:val="0"/>
                      <w:szCs w:val="21"/>
                    </w:rPr>
                  </w:pPr>
                  <w:r>
                    <w:rPr>
                      <w:rFonts w:hint="eastAsia"/>
                      <w:kern w:val="0"/>
                      <w:szCs w:val="21"/>
                    </w:rPr>
                    <w:t>报废机动车回收拆解企业应根据HJ1034、HJ1200等规定取得排污许可证，并按照排污许可证管理要求进行规范排污。</w:t>
                  </w:r>
                </w:p>
              </w:tc>
              <w:tc>
                <w:tcPr>
                  <w:tcW w:w="2585" w:type="dxa"/>
                  <w:vAlign w:val="top"/>
                </w:tcPr>
                <w:p>
                  <w:pPr>
                    <w:autoSpaceDE w:val="0"/>
                    <w:autoSpaceDN w:val="0"/>
                    <w:rPr>
                      <w:kern w:val="0"/>
                      <w:szCs w:val="21"/>
                    </w:rPr>
                  </w:pPr>
                  <w:r>
                    <w:rPr>
                      <w:rFonts w:hint="eastAsia"/>
                      <w:kern w:val="0"/>
                      <w:szCs w:val="21"/>
                    </w:rPr>
                    <w:t>企业在投产前根据HJ1034、HJ1200等规定取得排污许可证，并按照排污许可证管理要求进行规范排污。</w:t>
                  </w:r>
                </w:p>
              </w:tc>
              <w:tc>
                <w:tcPr>
                  <w:tcW w:w="687" w:type="dxa"/>
                  <w:vAlign w:val="center"/>
                </w:tcPr>
                <w:p>
                  <w:pPr>
                    <w:autoSpaceDE w:val="0"/>
                    <w:autoSpaceDN w:val="0"/>
                    <w:jc w:val="center"/>
                    <w:rPr>
                      <w:rFonts w:ascii="宋体" w:hAnsi="宋体" w:cs="宋体"/>
                      <w:kern w:val="0"/>
                      <w:szCs w:val="21"/>
                    </w:rPr>
                  </w:pPr>
                  <w:r>
                    <w:rPr>
                      <w:rFonts w:hint="eastAsia" w:ascii="宋体" w:hAnsi="宋体" w:cs="宋体"/>
                      <w:kern w:val="0"/>
                      <w:szCs w:val="21"/>
                    </w:rPr>
                    <w:t>符合</w:t>
                  </w:r>
                </w:p>
              </w:tc>
            </w:tr>
            <w:tr>
              <w:trPr>
                <w:trHeight w:val="212" w:hRule="atLeast"/>
                <w:jc w:val="center"/>
              </w:trPr>
              <w:tc>
                <w:tcPr>
                  <w:tcW w:w="398" w:type="dxa"/>
                  <w:vMerge w:val="continue"/>
                  <w:vAlign w:val="center"/>
                </w:tcPr>
                <w:p>
                  <w:pPr>
                    <w:autoSpaceDE w:val="0"/>
                    <w:autoSpaceDN w:val="0"/>
                    <w:jc w:val="center"/>
                    <w:rPr>
                      <w:kern w:val="0"/>
                      <w:szCs w:val="21"/>
                    </w:rPr>
                  </w:pPr>
                </w:p>
              </w:tc>
              <w:tc>
                <w:tcPr>
                  <w:tcW w:w="3122" w:type="dxa"/>
                  <w:gridSpan w:val="2"/>
                  <w:vAlign w:val="top"/>
                </w:tcPr>
                <w:p>
                  <w:pPr>
                    <w:autoSpaceDE w:val="0"/>
                    <w:autoSpaceDN w:val="0"/>
                    <w:rPr>
                      <w:kern w:val="0"/>
                      <w:szCs w:val="21"/>
                    </w:rPr>
                  </w:pPr>
                  <w:r>
                    <w:rPr>
                      <w:rFonts w:hint="eastAsia"/>
                      <w:kern w:val="0"/>
                      <w:szCs w:val="21"/>
                    </w:rPr>
                    <w:t>报废机动车回收拆解企业应依照《报废机动车回收管理办法实施细则》等相关要求向机动车生产企业获取报废机动车拆解指导手册等相关技术信息，依规开展报废机动车拆解工作。</w:t>
                  </w:r>
                </w:p>
              </w:tc>
              <w:tc>
                <w:tcPr>
                  <w:tcW w:w="2585" w:type="dxa"/>
                  <w:vAlign w:val="top"/>
                </w:tcPr>
                <w:p>
                  <w:pPr>
                    <w:autoSpaceDE w:val="0"/>
                    <w:autoSpaceDN w:val="0"/>
                    <w:rPr>
                      <w:kern w:val="0"/>
                      <w:szCs w:val="21"/>
                    </w:rPr>
                  </w:pPr>
                  <w:r>
                    <w:rPr>
                      <w:rFonts w:hint="eastAsia"/>
                      <w:kern w:val="0"/>
                      <w:szCs w:val="21"/>
                    </w:rPr>
                    <w:t>本企业获取报农机拆解指导手册等相关技术信息。依规开展报废农机拆解工作。</w:t>
                  </w:r>
                </w:p>
              </w:tc>
              <w:tc>
                <w:tcPr>
                  <w:tcW w:w="687" w:type="dxa"/>
                  <w:vAlign w:val="center"/>
                </w:tcPr>
                <w:p>
                  <w:pPr>
                    <w:autoSpaceDE w:val="0"/>
                    <w:autoSpaceDN w:val="0"/>
                    <w:jc w:val="center"/>
                    <w:rPr>
                      <w:rFonts w:ascii="宋体" w:hAnsi="宋体" w:cs="宋体"/>
                      <w:kern w:val="0"/>
                      <w:szCs w:val="21"/>
                    </w:rPr>
                  </w:pPr>
                  <w:r>
                    <w:rPr>
                      <w:rFonts w:hint="eastAsia" w:ascii="宋体" w:hAnsi="宋体" w:cs="宋体"/>
                      <w:kern w:val="0"/>
                      <w:szCs w:val="21"/>
                    </w:rPr>
                    <w:t>符合</w:t>
                  </w:r>
                </w:p>
              </w:tc>
            </w:tr>
            <w:tr>
              <w:trPr>
                <w:trHeight w:val="212" w:hRule="atLeast"/>
                <w:jc w:val="center"/>
              </w:trPr>
              <w:tc>
                <w:tcPr>
                  <w:tcW w:w="398" w:type="dxa"/>
                  <w:vMerge w:val="continue"/>
                  <w:vAlign w:val="center"/>
                </w:tcPr>
                <w:p>
                  <w:pPr>
                    <w:autoSpaceDE w:val="0"/>
                    <w:autoSpaceDN w:val="0"/>
                    <w:jc w:val="center"/>
                    <w:rPr>
                      <w:kern w:val="0"/>
                      <w:szCs w:val="21"/>
                    </w:rPr>
                  </w:pPr>
                </w:p>
              </w:tc>
              <w:tc>
                <w:tcPr>
                  <w:tcW w:w="3122" w:type="dxa"/>
                  <w:gridSpan w:val="2"/>
                  <w:vAlign w:val="top"/>
                </w:tcPr>
                <w:p>
                  <w:pPr>
                    <w:autoSpaceDE w:val="0"/>
                    <w:autoSpaceDN w:val="0"/>
                    <w:rPr>
                      <w:kern w:val="0"/>
                      <w:szCs w:val="21"/>
                    </w:rPr>
                  </w:pPr>
                  <w:r>
                    <w:rPr>
                      <w:rFonts w:hint="eastAsia"/>
                      <w:kern w:val="0"/>
                      <w:szCs w:val="21"/>
                    </w:rPr>
                    <w:t>报废机动车回收拆解企业应依据GB22128等相关规定开展拆解作业。不应露天拆解报废机动车，拆解产物不应露天堆放，不应对大气、土壤、地表水和地下水造成污染。</w:t>
                  </w:r>
                </w:p>
              </w:tc>
              <w:tc>
                <w:tcPr>
                  <w:tcW w:w="2585" w:type="dxa"/>
                  <w:vAlign w:val="top"/>
                </w:tcPr>
                <w:p>
                  <w:pPr>
                    <w:autoSpaceDE w:val="0"/>
                    <w:autoSpaceDN w:val="0"/>
                    <w:rPr>
                      <w:kern w:val="0"/>
                      <w:szCs w:val="21"/>
                    </w:rPr>
                  </w:pPr>
                  <w:r>
                    <w:rPr>
                      <w:rFonts w:hint="eastAsia"/>
                      <w:kern w:val="0"/>
                      <w:szCs w:val="21"/>
                    </w:rPr>
                    <w:t>本项目拆解工作位于封闭车间内进行，拆解产物贮存于厂房内，地面进行防渗。</w:t>
                  </w:r>
                </w:p>
              </w:tc>
              <w:tc>
                <w:tcPr>
                  <w:tcW w:w="687" w:type="dxa"/>
                  <w:vAlign w:val="center"/>
                </w:tcPr>
                <w:p>
                  <w:pPr>
                    <w:autoSpaceDE w:val="0"/>
                    <w:autoSpaceDN w:val="0"/>
                    <w:jc w:val="center"/>
                    <w:rPr>
                      <w:rFonts w:ascii="宋体" w:hAnsi="宋体" w:cs="宋体"/>
                      <w:kern w:val="0"/>
                      <w:szCs w:val="21"/>
                    </w:rPr>
                  </w:pPr>
                  <w:r>
                    <w:rPr>
                      <w:rFonts w:hint="eastAsia" w:ascii="宋体" w:hAnsi="宋体" w:cs="宋体"/>
                      <w:kern w:val="0"/>
                      <w:szCs w:val="21"/>
                    </w:rPr>
                    <w:t>符合</w:t>
                  </w:r>
                </w:p>
              </w:tc>
            </w:tr>
            <w:tr>
              <w:trPr>
                <w:trHeight w:val="212" w:hRule="atLeast"/>
                <w:jc w:val="center"/>
              </w:trPr>
              <w:tc>
                <w:tcPr>
                  <w:tcW w:w="398" w:type="dxa"/>
                  <w:vMerge w:val="continue"/>
                  <w:vAlign w:val="center"/>
                </w:tcPr>
                <w:p>
                  <w:pPr>
                    <w:autoSpaceDE w:val="0"/>
                    <w:autoSpaceDN w:val="0"/>
                    <w:jc w:val="center"/>
                    <w:rPr>
                      <w:kern w:val="0"/>
                      <w:szCs w:val="21"/>
                    </w:rPr>
                  </w:pPr>
                </w:p>
              </w:tc>
              <w:tc>
                <w:tcPr>
                  <w:tcW w:w="3122" w:type="dxa"/>
                  <w:gridSpan w:val="2"/>
                  <w:vAlign w:val="top"/>
                </w:tcPr>
                <w:p>
                  <w:pPr>
                    <w:autoSpaceDE w:val="0"/>
                    <w:autoSpaceDN w:val="0"/>
                    <w:rPr>
                      <w:kern w:val="0"/>
                      <w:szCs w:val="21"/>
                    </w:rPr>
                  </w:pPr>
                  <w:r>
                    <w:rPr>
                      <w:rFonts w:hint="eastAsia"/>
                      <w:kern w:val="0"/>
                      <w:szCs w:val="21"/>
                    </w:rPr>
                    <w:t>报废机动车回收拆解企业应具备与生产规模相匹配的环境保护设施，环境保护设施的设计、施工与运行应遵守“三同时”环境管理制度</w:t>
                  </w:r>
                </w:p>
              </w:tc>
              <w:tc>
                <w:tcPr>
                  <w:tcW w:w="2585" w:type="dxa"/>
                  <w:vAlign w:val="top"/>
                </w:tcPr>
                <w:p>
                  <w:pPr>
                    <w:autoSpaceDE w:val="0"/>
                    <w:autoSpaceDN w:val="0"/>
                    <w:rPr>
                      <w:kern w:val="0"/>
                      <w:szCs w:val="21"/>
                    </w:rPr>
                  </w:pPr>
                  <w:r>
                    <w:rPr>
                      <w:rFonts w:hint="eastAsia"/>
                      <w:kern w:val="0"/>
                      <w:szCs w:val="21"/>
                    </w:rPr>
                    <w:t>本项目产生的废气经布袋除尘器除尘、活性炭吸附处理后，污染能做到达标排放，本项目已提出“三同时”环境管理制度要求。</w:t>
                  </w:r>
                </w:p>
              </w:tc>
              <w:tc>
                <w:tcPr>
                  <w:tcW w:w="687" w:type="dxa"/>
                  <w:vAlign w:val="center"/>
                </w:tcPr>
                <w:p>
                  <w:pPr>
                    <w:autoSpaceDE w:val="0"/>
                    <w:autoSpaceDN w:val="0"/>
                    <w:jc w:val="center"/>
                    <w:rPr>
                      <w:rFonts w:ascii="宋体" w:hAnsi="宋体" w:cs="宋体"/>
                      <w:kern w:val="0"/>
                      <w:szCs w:val="21"/>
                    </w:rPr>
                  </w:pPr>
                  <w:r>
                    <w:rPr>
                      <w:rFonts w:hint="eastAsia" w:ascii="宋体" w:hAnsi="宋体" w:cs="宋体"/>
                      <w:kern w:val="0"/>
                      <w:szCs w:val="21"/>
                    </w:rPr>
                    <w:t>符合</w:t>
                  </w:r>
                </w:p>
              </w:tc>
            </w:tr>
            <w:tr>
              <w:trPr>
                <w:trHeight w:val="212" w:hRule="atLeast"/>
                <w:jc w:val="center"/>
              </w:trPr>
              <w:tc>
                <w:tcPr>
                  <w:tcW w:w="398" w:type="dxa"/>
                  <w:vMerge w:val="continue"/>
                  <w:vAlign w:val="top"/>
                </w:tcPr>
                <w:p>
                  <w:pPr>
                    <w:autoSpaceDE w:val="0"/>
                    <w:autoSpaceDN w:val="0"/>
                    <w:rPr>
                      <w:kern w:val="0"/>
                      <w:szCs w:val="21"/>
                    </w:rPr>
                  </w:pPr>
                </w:p>
              </w:tc>
              <w:tc>
                <w:tcPr>
                  <w:tcW w:w="3122" w:type="dxa"/>
                  <w:gridSpan w:val="2"/>
                  <w:vAlign w:val="top"/>
                </w:tcPr>
                <w:p>
                  <w:pPr>
                    <w:autoSpaceDE w:val="0"/>
                    <w:autoSpaceDN w:val="0"/>
                    <w:rPr>
                      <w:kern w:val="0"/>
                      <w:szCs w:val="21"/>
                    </w:rPr>
                  </w:pPr>
                  <w:r>
                    <w:rPr>
                      <w:rFonts w:hint="eastAsia"/>
                      <w:kern w:val="0"/>
                      <w:szCs w:val="21"/>
                    </w:rPr>
                    <w:t>报废机动车回收拆解及贮存过程除满足环境保护相关要求外，还应符合国家安全生产、职业健康、交通运输、消防等法规标准的相关要求</w:t>
                  </w:r>
                </w:p>
              </w:tc>
              <w:tc>
                <w:tcPr>
                  <w:tcW w:w="2585" w:type="dxa"/>
                  <w:vAlign w:val="top"/>
                </w:tcPr>
                <w:p>
                  <w:pPr>
                    <w:autoSpaceDE w:val="0"/>
                    <w:autoSpaceDN w:val="0"/>
                    <w:rPr>
                      <w:kern w:val="0"/>
                      <w:szCs w:val="21"/>
                    </w:rPr>
                  </w:pPr>
                  <w:r>
                    <w:rPr>
                      <w:rFonts w:hint="eastAsia"/>
                      <w:kern w:val="0"/>
                      <w:szCs w:val="21"/>
                    </w:rPr>
                    <w:t>本项目符合国家安全生产、职业健康、交通运输、消防等法规标准的相关要求。</w:t>
                  </w:r>
                </w:p>
              </w:tc>
              <w:tc>
                <w:tcPr>
                  <w:tcW w:w="687" w:type="dxa"/>
                  <w:vAlign w:val="center"/>
                </w:tcPr>
                <w:p>
                  <w:pPr>
                    <w:autoSpaceDE w:val="0"/>
                    <w:autoSpaceDN w:val="0"/>
                    <w:jc w:val="center"/>
                    <w:rPr>
                      <w:rFonts w:ascii="宋体" w:hAnsi="宋体" w:cs="宋体"/>
                      <w:kern w:val="0"/>
                      <w:szCs w:val="21"/>
                    </w:rPr>
                  </w:pPr>
                  <w:r>
                    <w:rPr>
                      <w:rFonts w:hint="eastAsia" w:ascii="宋体" w:hAnsi="宋体" w:cs="宋体"/>
                      <w:kern w:val="0"/>
                      <w:szCs w:val="21"/>
                    </w:rPr>
                    <w:t>符合</w:t>
                  </w:r>
                </w:p>
              </w:tc>
            </w:tr>
            <w:tr>
              <w:trPr>
                <w:trHeight w:val="212" w:hRule="atLeast"/>
                <w:jc w:val="center"/>
              </w:trPr>
              <w:tc>
                <w:tcPr>
                  <w:tcW w:w="398" w:type="dxa"/>
                  <w:vMerge w:val="restart"/>
                  <w:vAlign w:val="center"/>
                </w:tcPr>
                <w:p>
                  <w:pPr>
                    <w:autoSpaceDE w:val="0"/>
                    <w:autoSpaceDN w:val="0"/>
                    <w:jc w:val="center"/>
                    <w:rPr>
                      <w:kern w:val="0"/>
                      <w:szCs w:val="21"/>
                    </w:rPr>
                  </w:pPr>
                  <w:r>
                    <w:rPr>
                      <w:rFonts w:hint="eastAsia"/>
                      <w:kern w:val="0"/>
                      <w:szCs w:val="21"/>
                    </w:rPr>
                    <w:t>基础设施污染控制要求</w:t>
                  </w:r>
                </w:p>
              </w:tc>
              <w:tc>
                <w:tcPr>
                  <w:tcW w:w="3122" w:type="dxa"/>
                  <w:gridSpan w:val="2"/>
                  <w:vAlign w:val="top"/>
                </w:tcPr>
                <w:p>
                  <w:pPr>
                    <w:autoSpaceDE w:val="0"/>
                    <w:autoSpaceDN w:val="0"/>
                    <w:rPr>
                      <w:kern w:val="0"/>
                      <w:szCs w:val="21"/>
                    </w:rPr>
                  </w:pPr>
                  <w:r>
                    <w:rPr>
                      <w:rFonts w:hint="eastAsia"/>
                      <w:kern w:val="0"/>
                      <w:szCs w:val="21"/>
                    </w:rPr>
                    <w:t>报废机动车回收拆解企业应划分不同的功能区，包括办公区和作业区。作业区应包括：</w:t>
                  </w:r>
                </w:p>
                <w:p>
                  <w:pPr>
                    <w:autoSpaceDE w:val="0"/>
                    <w:autoSpaceDN w:val="0"/>
                    <w:rPr>
                      <w:kern w:val="0"/>
                      <w:szCs w:val="21"/>
                    </w:rPr>
                  </w:pPr>
                  <w:r>
                    <w:rPr>
                      <w:rFonts w:hint="eastAsia"/>
                      <w:kern w:val="0"/>
                      <w:szCs w:val="21"/>
                    </w:rPr>
                    <w:t>①整车贮存区（分为传统燃料机动车区和电动汽车区）；</w:t>
                  </w:r>
                </w:p>
                <w:p>
                  <w:pPr>
                    <w:autoSpaceDE w:val="0"/>
                    <w:autoSpaceDN w:val="0"/>
                    <w:rPr>
                      <w:kern w:val="0"/>
                      <w:szCs w:val="21"/>
                    </w:rPr>
                  </w:pPr>
                  <w:r>
                    <w:rPr>
                      <w:rFonts w:hint="eastAsia"/>
                      <w:kern w:val="0"/>
                      <w:szCs w:val="21"/>
                    </w:rPr>
                    <w:t>②动力蓄电池拆卸区；</w:t>
                  </w:r>
                </w:p>
                <w:p>
                  <w:pPr>
                    <w:autoSpaceDE w:val="0"/>
                    <w:autoSpaceDN w:val="0"/>
                    <w:rPr>
                      <w:kern w:val="0"/>
                      <w:szCs w:val="21"/>
                    </w:rPr>
                  </w:pPr>
                  <w:r>
                    <w:rPr>
                      <w:rFonts w:hint="eastAsia"/>
                      <w:kern w:val="0"/>
                      <w:szCs w:val="21"/>
                    </w:rPr>
                    <w:t>③铅蓄电池拆卸区；</w:t>
                  </w:r>
                </w:p>
                <w:p>
                  <w:pPr>
                    <w:autoSpaceDE w:val="0"/>
                    <w:autoSpaceDN w:val="0"/>
                    <w:rPr>
                      <w:kern w:val="0"/>
                      <w:szCs w:val="21"/>
                    </w:rPr>
                  </w:pPr>
                  <w:r>
                    <w:rPr>
                      <w:rFonts w:hint="eastAsia"/>
                      <w:kern w:val="0"/>
                      <w:szCs w:val="21"/>
                    </w:rPr>
                    <w:t>④电池分类贮存区；</w:t>
                  </w:r>
                </w:p>
                <w:p>
                  <w:pPr>
                    <w:autoSpaceDE w:val="0"/>
                    <w:autoSpaceDN w:val="0"/>
                    <w:rPr>
                      <w:kern w:val="0"/>
                      <w:szCs w:val="21"/>
                    </w:rPr>
                  </w:pPr>
                  <w:r>
                    <w:rPr>
                      <w:rFonts w:hint="eastAsia"/>
                      <w:kern w:val="0"/>
                      <w:szCs w:val="21"/>
                    </w:rPr>
                    <w:t>⑤拆解区；</w:t>
                  </w:r>
                </w:p>
                <w:p>
                  <w:pPr>
                    <w:autoSpaceDE w:val="0"/>
                    <w:autoSpaceDN w:val="0"/>
                    <w:rPr>
                      <w:kern w:val="0"/>
                      <w:szCs w:val="21"/>
                    </w:rPr>
                  </w:pPr>
                  <w:r>
                    <w:rPr>
                      <w:rFonts w:hint="eastAsia"/>
                      <w:kern w:val="0"/>
                      <w:szCs w:val="21"/>
                    </w:rPr>
                    <w:t>⑥产品（半成品；不包括电池）贮存区；</w:t>
                  </w:r>
                </w:p>
                <w:p>
                  <w:pPr>
                    <w:autoSpaceDE w:val="0"/>
                    <w:autoSpaceDN w:val="0"/>
                    <w:rPr>
                      <w:kern w:val="0"/>
                      <w:szCs w:val="21"/>
                    </w:rPr>
                  </w:pPr>
                  <w:r>
                    <w:rPr>
                      <w:rFonts w:hint="eastAsia"/>
                      <w:kern w:val="0"/>
                      <w:szCs w:val="21"/>
                    </w:rPr>
                    <w:t>⑦破碎分选区；</w:t>
                  </w:r>
                </w:p>
                <w:p>
                  <w:pPr>
                    <w:autoSpaceDE w:val="0"/>
                    <w:autoSpaceDN w:val="0"/>
                    <w:rPr>
                      <w:kern w:val="0"/>
                      <w:szCs w:val="21"/>
                    </w:rPr>
                  </w:pPr>
                  <w:r>
                    <w:rPr>
                      <w:rFonts w:hint="eastAsia"/>
                      <w:kern w:val="0"/>
                      <w:szCs w:val="21"/>
                    </w:rPr>
                    <w:t>⑧一般工业固体废物贮存区；</w:t>
                  </w:r>
                </w:p>
                <w:p>
                  <w:pPr>
                    <w:autoSpaceDE w:val="0"/>
                    <w:autoSpaceDN w:val="0"/>
                    <w:rPr>
                      <w:kern w:val="0"/>
                      <w:szCs w:val="21"/>
                    </w:rPr>
                  </w:pPr>
                  <w:r>
                    <w:rPr>
                      <w:rFonts w:hint="eastAsia"/>
                      <w:kern w:val="0"/>
                      <w:szCs w:val="21"/>
                    </w:rPr>
                    <w:t>⑨危险废物贮存区。</w:t>
                  </w:r>
                </w:p>
              </w:tc>
              <w:tc>
                <w:tcPr>
                  <w:tcW w:w="2585" w:type="dxa"/>
                  <w:vAlign w:val="top"/>
                </w:tcPr>
                <w:p>
                  <w:pPr>
                    <w:widowControl/>
                    <w:jc w:val="left"/>
                  </w:pPr>
                  <w:r>
                    <w:rPr>
                      <w:rFonts w:hint="eastAsia"/>
                      <w:kern w:val="0"/>
                      <w:szCs w:val="21"/>
                    </w:rPr>
                    <w:t>本项目已划分不同功能区域。</w:t>
                  </w:r>
                  <w:r>
                    <w:rPr>
                      <w:rFonts w:hint="eastAsia" w:ascii="宋体" w:hAnsi="宋体" w:cs="宋体"/>
                      <w:kern w:val="0"/>
                      <w:szCs w:val="21"/>
                    </w:rPr>
                    <w:t>厂区按生产需求，划分为办公区和作业区，作业区包括报废农机贮存区 、拆解区、拆解物贮存区、危险废物贮存区。本项目不涉及动力蓄电池。不涉及拆解废物的破碎分选。</w:t>
                  </w:r>
                </w:p>
                <w:p>
                  <w:pPr>
                    <w:autoSpaceDE w:val="0"/>
                    <w:autoSpaceDN w:val="0"/>
                    <w:rPr>
                      <w:kern w:val="0"/>
                      <w:szCs w:val="21"/>
                    </w:rPr>
                  </w:pPr>
                </w:p>
              </w:tc>
              <w:tc>
                <w:tcPr>
                  <w:tcW w:w="687" w:type="dxa"/>
                  <w:vAlign w:val="center"/>
                </w:tcPr>
                <w:p>
                  <w:pPr>
                    <w:autoSpaceDE w:val="0"/>
                    <w:autoSpaceDN w:val="0"/>
                    <w:jc w:val="center"/>
                    <w:rPr>
                      <w:rFonts w:ascii="宋体" w:hAnsi="宋体" w:cs="宋体"/>
                      <w:kern w:val="0"/>
                      <w:szCs w:val="21"/>
                    </w:rPr>
                  </w:pPr>
                  <w:r>
                    <w:rPr>
                      <w:rFonts w:hint="eastAsia" w:ascii="宋体" w:hAnsi="宋体" w:cs="宋体"/>
                      <w:kern w:val="0"/>
                      <w:szCs w:val="21"/>
                    </w:rPr>
                    <w:t>符合</w:t>
                  </w:r>
                </w:p>
              </w:tc>
            </w:tr>
            <w:tr>
              <w:trPr>
                <w:trHeight w:val="212" w:hRule="atLeast"/>
                <w:jc w:val="center"/>
              </w:trPr>
              <w:tc>
                <w:tcPr>
                  <w:tcW w:w="398" w:type="dxa"/>
                  <w:vMerge w:val="continue"/>
                  <w:vAlign w:val="top"/>
                </w:tcPr>
                <w:p>
                  <w:pPr>
                    <w:autoSpaceDE w:val="0"/>
                    <w:autoSpaceDN w:val="0"/>
                    <w:rPr>
                      <w:kern w:val="0"/>
                      <w:szCs w:val="21"/>
                    </w:rPr>
                  </w:pPr>
                </w:p>
              </w:tc>
              <w:tc>
                <w:tcPr>
                  <w:tcW w:w="3122" w:type="dxa"/>
                  <w:gridSpan w:val="2"/>
                  <w:vAlign w:val="top"/>
                </w:tcPr>
                <w:p>
                  <w:pPr>
                    <w:autoSpaceDE w:val="0"/>
                    <w:autoSpaceDN w:val="0"/>
                    <w:rPr>
                      <w:kern w:val="0"/>
                      <w:szCs w:val="21"/>
                    </w:rPr>
                  </w:pPr>
                  <w:r>
                    <w:rPr>
                      <w:rFonts w:hint="eastAsia"/>
                      <w:kern w:val="0"/>
                      <w:szCs w:val="21"/>
                    </w:rPr>
                    <w:t>报废机动车回收拆解企业厂区内功能区的设计和建设应满足以下要求：①作业区面积大小和功能区划分应满足拆解作业的需要；</w:t>
                  </w:r>
                </w:p>
                <w:p>
                  <w:pPr>
                    <w:autoSpaceDE w:val="0"/>
                    <w:autoSpaceDN w:val="0"/>
                    <w:rPr>
                      <w:kern w:val="0"/>
                      <w:szCs w:val="21"/>
                    </w:rPr>
                  </w:pPr>
                  <w:r>
                    <w:rPr>
                      <w:rFonts w:hint="eastAsia"/>
                      <w:kern w:val="0"/>
                      <w:szCs w:val="21"/>
                    </w:rPr>
                    <w:t>②不同的功能区应具有明显的标识；③作业区应具有防渗地面和油水收集设施，地面应符合GB50037的防油渗地面要求；</w:t>
                  </w:r>
                </w:p>
                <w:p>
                  <w:pPr>
                    <w:autoSpaceDE w:val="0"/>
                    <w:autoSpaceDN w:val="0"/>
                    <w:rPr>
                      <w:kern w:val="0"/>
                      <w:szCs w:val="21"/>
                    </w:rPr>
                  </w:pPr>
                  <w:r>
                    <w:rPr>
                      <w:rFonts w:hint="eastAsia"/>
                      <w:kern w:val="0"/>
                      <w:szCs w:val="21"/>
                    </w:rPr>
                    <w:t>④作业区地面混凝土强度等级不低于C20，厚度不低于150 mm，其中物流通道路面和拆解作业区域强度不低于C30，厚度不低于200 mm。大型拆解设备承重区域的硬化标准参照设备工艺要求执行；</w:t>
                  </w:r>
                </w:p>
                <w:p>
                  <w:pPr>
                    <w:autoSpaceDE w:val="0"/>
                    <w:autoSpaceDN w:val="0"/>
                    <w:rPr>
                      <w:kern w:val="0"/>
                      <w:szCs w:val="21"/>
                    </w:rPr>
                  </w:pPr>
                  <w:r>
                    <w:rPr>
                      <w:rFonts w:hint="eastAsia"/>
                      <w:kern w:val="0"/>
                      <w:szCs w:val="21"/>
                    </w:rPr>
                    <w:t>⑤拆解区应为封闭或半封闭建筑物；⑥破碎分选区应设在封闭区域内，控制工业废气、粉尘和噪声污染；</w:t>
                  </w:r>
                </w:p>
                <w:p>
                  <w:pPr>
                    <w:autoSpaceDE w:val="0"/>
                    <w:autoSpaceDN w:val="0"/>
                    <w:rPr>
                      <w:kern w:val="0"/>
                      <w:szCs w:val="21"/>
                    </w:rPr>
                  </w:pPr>
                  <w:r>
                    <w:rPr>
                      <w:rFonts w:hint="eastAsia"/>
                      <w:kern w:val="0"/>
                      <w:szCs w:val="21"/>
                    </w:rPr>
                    <w:t>⑦危险废物贮存区应设置液体导流和收集装置，地面应无液体积聚，如有冲洗废水应纳入废水收集处理设施处理；</w:t>
                  </w:r>
                </w:p>
                <w:p>
                  <w:pPr>
                    <w:autoSpaceDE w:val="0"/>
                    <w:autoSpaceDN w:val="0"/>
                    <w:rPr>
                      <w:kern w:val="0"/>
                      <w:szCs w:val="21"/>
                    </w:rPr>
                  </w:pPr>
                  <w:r>
                    <w:rPr>
                      <w:rFonts w:hint="eastAsia"/>
                      <w:kern w:val="0"/>
                      <w:szCs w:val="21"/>
                    </w:rPr>
                    <w:t>⑧不同种类的危险废物应单独收集、分类存放，中间有明显间隔；贮存场所应设置警示标识，同时还应满足GB18597中其他相关要求；</w:t>
                  </w:r>
                </w:p>
                <w:p>
                  <w:pPr>
                    <w:autoSpaceDE w:val="0"/>
                    <w:autoSpaceDN w:val="0"/>
                    <w:rPr>
                      <w:kern w:val="0"/>
                      <w:szCs w:val="21"/>
                    </w:rPr>
                  </w:pPr>
                  <w:r>
                    <w:rPr>
                      <w:rFonts w:hint="eastAsia"/>
                      <w:kern w:val="0"/>
                      <w:szCs w:val="21"/>
                    </w:rPr>
                    <w:t>⑨铅蓄电池的拆卸、贮存区的地面应做防酸、防腐、防渗及硬化处理，同时还应满足HJ519中其他相关要求；</w:t>
                  </w:r>
                </w:p>
                <w:p>
                  <w:pPr>
                    <w:autoSpaceDE w:val="0"/>
                    <w:autoSpaceDN w:val="0"/>
                    <w:rPr>
                      <w:kern w:val="0"/>
                      <w:szCs w:val="21"/>
                    </w:rPr>
                  </w:pPr>
                  <w:r>
                    <w:rPr>
                      <w:rFonts w:hint="eastAsia"/>
                      <w:kern w:val="0"/>
                      <w:szCs w:val="21"/>
                    </w:rPr>
                    <w:t>⑩动力蓄电池拆卸、贮存区应满足 HJ1186中的相关要求，地面应采用环氧地坪等硬化措施，地面应做防酸、防腐、防渗、硬化及绝缘处理； 各贮存区应在显著位置设置标识，标明贮存物的类别、名称、规格、注意事项等，根据其特性合理划分贮存区域，采取必要的隔离措施。</w:t>
                  </w:r>
                </w:p>
              </w:tc>
              <w:tc>
                <w:tcPr>
                  <w:tcW w:w="2585" w:type="dxa"/>
                  <w:vAlign w:val="top"/>
                </w:tcPr>
                <w:p>
                  <w:pPr>
                    <w:autoSpaceDE w:val="0"/>
                    <w:autoSpaceDN w:val="0"/>
                    <w:rPr>
                      <w:kern w:val="0"/>
                      <w:szCs w:val="21"/>
                    </w:rPr>
                  </w:pPr>
                  <w:r>
                    <w:rPr>
                      <w:rFonts w:hint="eastAsia"/>
                      <w:kern w:val="0"/>
                      <w:szCs w:val="21"/>
                    </w:rPr>
                    <w:t>作业区占地面积满足拆解作业的需要；不同分区将安装明显指示标志；地面按照GB 50037-防渗要求进行建设；拆解区建设为封闭区域；危险废物贮存区设置液体导流和收集装置；危险废物单独收集分类存放，且有明显间隔，并设置警示标识，并满足相关要求；各拆卸、贮存区的地面做防酸、防腐、防渗及硬化处理并满足《废铅蓄电池处理污染控制技术规范》（HJ519-2020）暂存和贮存相关要求；作业区的各个分区设置明显标识，不同分区之间采取相应隔离措施。</w:t>
                  </w:r>
                </w:p>
                <w:p>
                  <w:pPr>
                    <w:autoSpaceDE w:val="0"/>
                    <w:autoSpaceDN w:val="0"/>
                    <w:rPr>
                      <w:kern w:val="0"/>
                      <w:szCs w:val="21"/>
                    </w:rPr>
                  </w:pPr>
                  <w:r>
                    <w:rPr>
                      <w:rFonts w:hint="eastAsia"/>
                      <w:kern w:val="0"/>
                      <w:szCs w:val="21"/>
                    </w:rPr>
                    <w:t>本项目功能区的设计和建设满足相关要求。</w:t>
                  </w:r>
                </w:p>
                <w:p>
                  <w:pPr>
                    <w:autoSpaceDE w:val="0"/>
                    <w:autoSpaceDN w:val="0"/>
                    <w:rPr>
                      <w:kern w:val="0"/>
                      <w:szCs w:val="21"/>
                    </w:rPr>
                  </w:pPr>
                  <w:r>
                    <w:rPr>
                      <w:rFonts w:hint="eastAsia"/>
                      <w:kern w:val="0"/>
                      <w:szCs w:val="21"/>
                    </w:rPr>
                    <w:t>本项目不涉及动力蓄电池。</w:t>
                  </w:r>
                </w:p>
              </w:tc>
              <w:tc>
                <w:tcPr>
                  <w:tcW w:w="687" w:type="dxa"/>
                  <w:vAlign w:val="center"/>
                </w:tcPr>
                <w:p>
                  <w:pPr>
                    <w:autoSpaceDE w:val="0"/>
                    <w:autoSpaceDN w:val="0"/>
                    <w:jc w:val="center"/>
                    <w:rPr>
                      <w:rFonts w:ascii="宋体" w:hAnsi="宋体" w:cs="宋体"/>
                      <w:kern w:val="0"/>
                      <w:szCs w:val="21"/>
                    </w:rPr>
                  </w:pPr>
                  <w:r>
                    <w:rPr>
                      <w:rFonts w:hint="eastAsia" w:ascii="宋体" w:hAnsi="宋体" w:cs="宋体"/>
                      <w:kern w:val="0"/>
                      <w:szCs w:val="21"/>
                    </w:rPr>
                    <w:t>符合</w:t>
                  </w:r>
                </w:p>
              </w:tc>
            </w:tr>
            <w:tr>
              <w:trPr>
                <w:trHeight w:val="212" w:hRule="atLeast"/>
                <w:jc w:val="center"/>
              </w:trPr>
              <w:tc>
                <w:tcPr>
                  <w:tcW w:w="398" w:type="dxa"/>
                  <w:vMerge w:val="restart"/>
                  <w:vAlign w:val="center"/>
                </w:tcPr>
                <w:p>
                  <w:pPr>
                    <w:autoSpaceDE w:val="0"/>
                    <w:autoSpaceDN w:val="0"/>
                    <w:jc w:val="center"/>
                    <w:rPr>
                      <w:kern w:val="0"/>
                      <w:szCs w:val="21"/>
                    </w:rPr>
                  </w:pPr>
                  <w:r>
                    <w:rPr>
                      <w:rFonts w:hint="eastAsia"/>
                      <w:kern w:val="0"/>
                      <w:szCs w:val="21"/>
                    </w:rPr>
                    <w:t>拆解过程污染控制要求</w:t>
                  </w:r>
                </w:p>
              </w:tc>
              <w:tc>
                <w:tcPr>
                  <w:tcW w:w="3122" w:type="dxa"/>
                  <w:gridSpan w:val="2"/>
                  <w:vAlign w:val="top"/>
                </w:tcPr>
                <w:p>
                  <w:pPr>
                    <w:widowControl/>
                    <w:jc w:val="left"/>
                    <w:rPr>
                      <w:kern w:val="0"/>
                      <w:szCs w:val="21"/>
                    </w:rPr>
                  </w:pPr>
                  <w:r>
                    <w:rPr>
                      <w:rFonts w:hint="eastAsia"/>
                      <w:kern w:val="0"/>
                      <w:szCs w:val="21"/>
                    </w:rPr>
                    <w:t>传统燃料报废机动车在开展拆解作业前，应抽排下列气体及液体：燃油、发动机油、变速器/齿轮箱（包括后差速器和/或分动器）油、动力转向油、制动液等石油基油或者液态合成润滑剂、冷却液、挡风玻璃清洗液、制冷剂等，并使用专用容器回收贮存。操作场所应有防漏、截流和清污措施，抽排挥发性油液时应通过油气回收装置吸收拆解区域内的挥发性气体。防止上述气体及液体遗撒或泄漏。</w:t>
                  </w:r>
                </w:p>
              </w:tc>
              <w:tc>
                <w:tcPr>
                  <w:tcW w:w="2585" w:type="dxa"/>
                  <w:vAlign w:val="top"/>
                </w:tcPr>
                <w:p>
                  <w:pPr>
                    <w:widowControl/>
                    <w:jc w:val="left"/>
                    <w:rPr>
                      <w:kern w:val="0"/>
                      <w:szCs w:val="21"/>
                    </w:rPr>
                  </w:pPr>
                  <w:r>
                    <w:rPr>
                      <w:rFonts w:hint="eastAsia"/>
                      <w:kern w:val="0"/>
                      <w:szCs w:val="21"/>
                    </w:rPr>
                    <w:t>本项目报废农机拆解前进行预处理阶段，将废油液采用专用容器回收贮存。拆解车间地面进行防渗防腐处理。抽排挥发性油液时产生的挥发性气体采用“集气装置</w:t>
                  </w:r>
                  <w:r>
                    <w:rPr>
                      <w:kern w:val="0"/>
                      <w:szCs w:val="21"/>
                    </w:rPr>
                    <w:t>+</w:t>
                  </w:r>
                  <w:r>
                    <w:rPr>
                      <w:rFonts w:hint="eastAsia"/>
                      <w:kern w:val="0"/>
                      <w:szCs w:val="21"/>
                    </w:rPr>
                    <w:t>活性炭处理装置”收集处理后高空排放。本项目为农机拆解，不涉及制冷剂等。</w:t>
                  </w:r>
                </w:p>
                <w:p>
                  <w:pPr>
                    <w:widowControl/>
                    <w:jc w:val="left"/>
                    <w:rPr>
                      <w:kern w:val="0"/>
                      <w:szCs w:val="21"/>
                    </w:rPr>
                  </w:pPr>
                </w:p>
              </w:tc>
              <w:tc>
                <w:tcPr>
                  <w:tcW w:w="687" w:type="dxa"/>
                  <w:vAlign w:val="center"/>
                </w:tcPr>
                <w:p>
                  <w:pPr>
                    <w:autoSpaceDE w:val="0"/>
                    <w:autoSpaceDN w:val="0"/>
                    <w:jc w:val="center"/>
                    <w:rPr>
                      <w:rFonts w:ascii="宋体" w:hAnsi="宋体" w:cs="宋体"/>
                      <w:kern w:val="0"/>
                      <w:szCs w:val="21"/>
                    </w:rPr>
                  </w:pPr>
                  <w:r>
                    <w:rPr>
                      <w:rFonts w:hint="eastAsia" w:ascii="宋体" w:hAnsi="宋体" w:cs="宋体"/>
                      <w:kern w:val="0"/>
                      <w:szCs w:val="21"/>
                    </w:rPr>
                    <w:t>符合</w:t>
                  </w:r>
                </w:p>
              </w:tc>
            </w:tr>
            <w:tr>
              <w:trPr>
                <w:trHeight w:val="212" w:hRule="atLeast"/>
                <w:jc w:val="center"/>
              </w:trPr>
              <w:tc>
                <w:tcPr>
                  <w:tcW w:w="398" w:type="dxa"/>
                  <w:vMerge w:val="continue"/>
                  <w:vAlign w:val="top"/>
                </w:tcPr>
                <w:p>
                  <w:pPr>
                    <w:autoSpaceDE w:val="0"/>
                    <w:autoSpaceDN w:val="0"/>
                    <w:jc w:val="center"/>
                    <w:rPr>
                      <w:kern w:val="0"/>
                      <w:szCs w:val="21"/>
                    </w:rPr>
                  </w:pPr>
                </w:p>
              </w:tc>
              <w:tc>
                <w:tcPr>
                  <w:tcW w:w="3122" w:type="dxa"/>
                  <w:gridSpan w:val="2"/>
                  <w:vAlign w:val="top"/>
                </w:tcPr>
                <w:p>
                  <w:pPr>
                    <w:autoSpaceDE w:val="0"/>
                    <w:autoSpaceDN w:val="0"/>
                    <w:rPr>
                      <w:kern w:val="0"/>
                      <w:szCs w:val="21"/>
                    </w:rPr>
                  </w:pPr>
                  <w:r>
                    <w:rPr>
                      <w:rFonts w:hint="eastAsia"/>
                      <w:kern w:val="0"/>
                      <w:szCs w:val="21"/>
                    </w:rPr>
                    <w:t>报废电动汽车进场检测时，受损变形以及漏液、漏电、电源供应工作不正常或其他的事故车辆应进行明显标识，及时隔离并优先处理，避免造成环境风险</w:t>
                  </w:r>
                </w:p>
              </w:tc>
              <w:tc>
                <w:tcPr>
                  <w:tcW w:w="2585" w:type="dxa"/>
                  <w:vAlign w:val="top"/>
                </w:tcPr>
                <w:p>
                  <w:pPr>
                    <w:autoSpaceDE w:val="0"/>
                    <w:autoSpaceDN w:val="0"/>
                    <w:rPr>
                      <w:kern w:val="0"/>
                      <w:szCs w:val="21"/>
                    </w:rPr>
                  </w:pPr>
                  <w:r>
                    <w:rPr>
                      <w:rFonts w:hint="eastAsia"/>
                      <w:kern w:val="0"/>
                      <w:szCs w:val="21"/>
                    </w:rPr>
                    <w:t>本项目为农机拆解，不涉及电动汽车拆解。</w:t>
                  </w:r>
                </w:p>
              </w:tc>
              <w:tc>
                <w:tcPr>
                  <w:tcW w:w="687" w:type="dxa"/>
                  <w:vAlign w:val="center"/>
                </w:tcPr>
                <w:p>
                  <w:pPr>
                    <w:autoSpaceDE w:val="0"/>
                    <w:autoSpaceDN w:val="0"/>
                    <w:jc w:val="center"/>
                    <w:rPr>
                      <w:rFonts w:ascii="宋体" w:hAnsi="宋体" w:cs="宋体"/>
                      <w:kern w:val="0"/>
                      <w:szCs w:val="21"/>
                    </w:rPr>
                  </w:pPr>
                  <w:r>
                    <w:rPr>
                      <w:rFonts w:hint="eastAsia" w:ascii="宋体" w:hAnsi="宋体" w:cs="宋体"/>
                      <w:kern w:val="0"/>
                      <w:szCs w:val="21"/>
                    </w:rPr>
                    <w:t>符合</w:t>
                  </w:r>
                </w:p>
              </w:tc>
            </w:tr>
            <w:tr>
              <w:trPr>
                <w:trHeight w:val="232" w:hRule="atLeast"/>
                <w:jc w:val="center"/>
              </w:trPr>
              <w:tc>
                <w:tcPr>
                  <w:tcW w:w="398" w:type="dxa"/>
                  <w:vMerge w:val="continue"/>
                  <w:vAlign w:val="center"/>
                </w:tcPr>
                <w:p>
                  <w:pPr>
                    <w:autoSpaceDE w:val="0"/>
                    <w:autoSpaceDN w:val="0"/>
                    <w:jc w:val="center"/>
                    <w:rPr>
                      <w:kern w:val="0"/>
                      <w:szCs w:val="21"/>
                    </w:rPr>
                  </w:pPr>
                </w:p>
              </w:tc>
              <w:tc>
                <w:tcPr>
                  <w:tcW w:w="3122" w:type="dxa"/>
                  <w:gridSpan w:val="2"/>
                  <w:vAlign w:val="top"/>
                </w:tcPr>
                <w:p>
                  <w:pPr>
                    <w:autoSpaceDE w:val="0"/>
                    <w:autoSpaceDN w:val="0"/>
                    <w:rPr>
                      <w:kern w:val="0"/>
                      <w:szCs w:val="21"/>
                    </w:rPr>
                  </w:pPr>
                  <w:r>
                    <w:rPr>
                      <w:rFonts w:hint="eastAsia"/>
                      <w:kern w:val="0"/>
                      <w:szCs w:val="21"/>
                    </w:rPr>
                    <w:t>报废电动汽车在开展拆解作业前，应采用防静电设备彻底抽排制冷剂，并用专用容器回收储存，避免电解质和有机溶剂泄漏。拆卸下来的动力蓄电池存在漏液、冒烟、漏电、外壳破损等情形的，应及时处理并采用专用容器单独存放，避免动力蓄电池自燃引起的环境风险。</w:t>
                  </w:r>
                </w:p>
              </w:tc>
              <w:tc>
                <w:tcPr>
                  <w:tcW w:w="2585" w:type="dxa"/>
                  <w:vAlign w:val="top"/>
                </w:tcPr>
                <w:p>
                  <w:pPr>
                    <w:autoSpaceDE w:val="0"/>
                    <w:autoSpaceDN w:val="0"/>
                    <w:rPr>
                      <w:kern w:val="0"/>
                      <w:szCs w:val="21"/>
                    </w:rPr>
                  </w:pPr>
                  <w:r>
                    <w:rPr>
                      <w:rFonts w:hint="eastAsia"/>
                      <w:kern w:val="0"/>
                      <w:szCs w:val="21"/>
                    </w:rPr>
                    <w:t>本项目为农机拆解，不涉及电动汽车拆解。</w:t>
                  </w:r>
                </w:p>
              </w:tc>
              <w:tc>
                <w:tcPr>
                  <w:tcW w:w="687" w:type="dxa"/>
                  <w:vAlign w:val="center"/>
                </w:tcPr>
                <w:p>
                  <w:pPr>
                    <w:autoSpaceDE w:val="0"/>
                    <w:autoSpaceDN w:val="0"/>
                    <w:jc w:val="center"/>
                    <w:rPr>
                      <w:rFonts w:ascii="宋体" w:hAnsi="宋体" w:cs="宋体"/>
                      <w:kern w:val="0"/>
                      <w:szCs w:val="21"/>
                    </w:rPr>
                  </w:pPr>
                  <w:r>
                    <w:rPr>
                      <w:rFonts w:hint="eastAsia" w:ascii="宋体" w:hAnsi="宋体" w:cs="宋体"/>
                      <w:kern w:val="0"/>
                      <w:szCs w:val="21"/>
                    </w:rPr>
                    <w:t>符合</w:t>
                  </w:r>
                </w:p>
              </w:tc>
            </w:tr>
            <w:tr>
              <w:trPr>
                <w:trHeight w:val="232" w:hRule="atLeast"/>
                <w:jc w:val="center"/>
              </w:trPr>
              <w:tc>
                <w:tcPr>
                  <w:tcW w:w="398" w:type="dxa"/>
                  <w:vMerge w:val="continue"/>
                  <w:vAlign w:val="center"/>
                </w:tcPr>
                <w:p>
                  <w:pPr>
                    <w:autoSpaceDE w:val="0"/>
                    <w:autoSpaceDN w:val="0"/>
                    <w:jc w:val="center"/>
                    <w:rPr>
                      <w:kern w:val="0"/>
                      <w:szCs w:val="21"/>
                    </w:rPr>
                  </w:pPr>
                </w:p>
              </w:tc>
              <w:tc>
                <w:tcPr>
                  <w:tcW w:w="3122" w:type="dxa"/>
                  <w:gridSpan w:val="2"/>
                  <w:vAlign w:val="top"/>
                </w:tcPr>
                <w:p>
                  <w:pPr>
                    <w:autoSpaceDE w:val="0"/>
                    <w:autoSpaceDN w:val="0"/>
                    <w:rPr>
                      <w:kern w:val="0"/>
                      <w:szCs w:val="21"/>
                    </w:rPr>
                  </w:pPr>
                  <w:r>
                    <w:rPr>
                      <w:rFonts w:hint="eastAsia"/>
                      <w:kern w:val="0"/>
                      <w:szCs w:val="21"/>
                    </w:rPr>
                    <w:t>动力蓄电池不应与铅蓄电池混合贮存。</w:t>
                  </w:r>
                </w:p>
              </w:tc>
              <w:tc>
                <w:tcPr>
                  <w:tcW w:w="2585" w:type="dxa"/>
                  <w:vAlign w:val="top"/>
                </w:tcPr>
                <w:p>
                  <w:pPr>
                    <w:autoSpaceDE w:val="0"/>
                    <w:autoSpaceDN w:val="0"/>
                    <w:rPr>
                      <w:kern w:val="0"/>
                      <w:szCs w:val="21"/>
                    </w:rPr>
                  </w:pPr>
                  <w:r>
                    <w:rPr>
                      <w:rFonts w:hint="eastAsia"/>
                      <w:kern w:val="0"/>
                      <w:szCs w:val="21"/>
                    </w:rPr>
                    <w:t>本项目不涉及动力蓄电池。</w:t>
                  </w:r>
                </w:p>
              </w:tc>
              <w:tc>
                <w:tcPr>
                  <w:tcW w:w="687" w:type="dxa"/>
                  <w:vAlign w:val="center"/>
                </w:tcPr>
                <w:p>
                  <w:pPr>
                    <w:autoSpaceDE w:val="0"/>
                    <w:autoSpaceDN w:val="0"/>
                    <w:jc w:val="center"/>
                    <w:rPr>
                      <w:rFonts w:ascii="宋体" w:hAnsi="宋体" w:cs="宋体"/>
                      <w:kern w:val="0"/>
                      <w:szCs w:val="21"/>
                    </w:rPr>
                  </w:pPr>
                  <w:r>
                    <w:rPr>
                      <w:rFonts w:hint="eastAsia" w:ascii="宋体" w:hAnsi="宋体" w:cs="宋体"/>
                      <w:kern w:val="0"/>
                      <w:szCs w:val="21"/>
                    </w:rPr>
                    <w:t>符合</w:t>
                  </w:r>
                </w:p>
              </w:tc>
            </w:tr>
            <w:tr>
              <w:trPr>
                <w:trHeight w:val="232" w:hRule="atLeast"/>
                <w:jc w:val="center"/>
              </w:trPr>
              <w:tc>
                <w:tcPr>
                  <w:tcW w:w="398" w:type="dxa"/>
                  <w:vMerge w:val="continue"/>
                  <w:vAlign w:val="center"/>
                </w:tcPr>
                <w:p>
                  <w:pPr>
                    <w:autoSpaceDE w:val="0"/>
                    <w:autoSpaceDN w:val="0"/>
                    <w:jc w:val="center"/>
                    <w:rPr>
                      <w:kern w:val="0"/>
                      <w:szCs w:val="21"/>
                    </w:rPr>
                  </w:pPr>
                </w:p>
              </w:tc>
              <w:tc>
                <w:tcPr>
                  <w:tcW w:w="3122" w:type="dxa"/>
                  <w:gridSpan w:val="2"/>
                  <w:vAlign w:val="top"/>
                </w:tcPr>
                <w:p>
                  <w:pPr>
                    <w:autoSpaceDE w:val="0"/>
                    <w:autoSpaceDN w:val="0"/>
                    <w:rPr>
                      <w:kern w:val="0"/>
                      <w:szCs w:val="21"/>
                    </w:rPr>
                  </w:pPr>
                  <w:r>
                    <w:rPr>
                      <w:rFonts w:hint="eastAsia"/>
                      <w:kern w:val="0"/>
                      <w:szCs w:val="21"/>
                    </w:rPr>
                    <w:t>报废机动车回收拆解企业不应在未完成各项拆解作业前对报废机动车进行破碎处理或者直接进行熔炼处理。</w:t>
                  </w:r>
                </w:p>
              </w:tc>
              <w:tc>
                <w:tcPr>
                  <w:tcW w:w="2585" w:type="dxa"/>
                  <w:vAlign w:val="top"/>
                </w:tcPr>
                <w:p>
                  <w:pPr>
                    <w:autoSpaceDE w:val="0"/>
                    <w:autoSpaceDN w:val="0"/>
                    <w:rPr>
                      <w:kern w:val="0"/>
                      <w:szCs w:val="21"/>
                    </w:rPr>
                  </w:pPr>
                  <w:r>
                    <w:rPr>
                      <w:rFonts w:hint="eastAsia"/>
                      <w:kern w:val="0"/>
                      <w:szCs w:val="21"/>
                    </w:rPr>
                    <w:t>本项目在各项拆解完成后仅作剪断处理，未完成拆解作业前不进行剪切作业。</w:t>
                  </w:r>
                </w:p>
              </w:tc>
              <w:tc>
                <w:tcPr>
                  <w:tcW w:w="687" w:type="dxa"/>
                  <w:vAlign w:val="center"/>
                </w:tcPr>
                <w:p>
                  <w:pPr>
                    <w:autoSpaceDE w:val="0"/>
                    <w:autoSpaceDN w:val="0"/>
                    <w:jc w:val="center"/>
                    <w:rPr>
                      <w:rFonts w:ascii="宋体" w:hAnsi="宋体" w:cs="宋体"/>
                      <w:kern w:val="0"/>
                      <w:szCs w:val="21"/>
                    </w:rPr>
                  </w:pPr>
                  <w:r>
                    <w:rPr>
                      <w:rFonts w:hint="eastAsia" w:ascii="宋体" w:hAnsi="宋体" w:cs="宋体"/>
                      <w:kern w:val="0"/>
                      <w:szCs w:val="21"/>
                    </w:rPr>
                    <w:t>符合</w:t>
                  </w:r>
                </w:p>
              </w:tc>
            </w:tr>
            <w:tr>
              <w:trPr>
                <w:trHeight w:val="232" w:hRule="atLeast"/>
                <w:jc w:val="center"/>
              </w:trPr>
              <w:tc>
                <w:tcPr>
                  <w:tcW w:w="398" w:type="dxa"/>
                  <w:vMerge w:val="continue"/>
                  <w:vAlign w:val="center"/>
                </w:tcPr>
                <w:p>
                  <w:pPr>
                    <w:autoSpaceDE w:val="0"/>
                    <w:autoSpaceDN w:val="0"/>
                    <w:jc w:val="center"/>
                    <w:rPr>
                      <w:kern w:val="0"/>
                      <w:szCs w:val="21"/>
                    </w:rPr>
                  </w:pPr>
                </w:p>
              </w:tc>
              <w:tc>
                <w:tcPr>
                  <w:tcW w:w="3122" w:type="dxa"/>
                  <w:gridSpan w:val="2"/>
                  <w:vAlign w:val="top"/>
                </w:tcPr>
                <w:p>
                  <w:pPr>
                    <w:autoSpaceDE w:val="0"/>
                    <w:autoSpaceDN w:val="0"/>
                    <w:rPr>
                      <w:kern w:val="0"/>
                      <w:szCs w:val="21"/>
                    </w:rPr>
                  </w:pPr>
                  <w:r>
                    <w:rPr>
                      <w:rFonts w:hint="eastAsia"/>
                      <w:kern w:val="0"/>
                      <w:szCs w:val="21"/>
                    </w:rPr>
                    <w:t>报废机动车回收拆解企业不应焚烧报废机动车拆解过程中产生的废电线电缆、废轮胎和其他废物。</w:t>
                  </w:r>
                </w:p>
              </w:tc>
              <w:tc>
                <w:tcPr>
                  <w:tcW w:w="2585" w:type="dxa"/>
                  <w:vAlign w:val="top"/>
                </w:tcPr>
                <w:p>
                  <w:pPr>
                    <w:autoSpaceDE w:val="0"/>
                    <w:autoSpaceDN w:val="0"/>
                    <w:rPr>
                      <w:kern w:val="0"/>
                      <w:szCs w:val="21"/>
                    </w:rPr>
                  </w:pPr>
                  <w:r>
                    <w:rPr>
                      <w:rFonts w:hint="eastAsia"/>
                      <w:kern w:val="0"/>
                      <w:szCs w:val="21"/>
                    </w:rPr>
                    <w:t>项目不对报废农机具拆解过程中产生的废电线电缆、废轮胎和其他废物进行焚烧，各类废物均妥善处置。</w:t>
                  </w:r>
                </w:p>
              </w:tc>
              <w:tc>
                <w:tcPr>
                  <w:tcW w:w="687" w:type="dxa"/>
                  <w:vAlign w:val="center"/>
                </w:tcPr>
                <w:p>
                  <w:pPr>
                    <w:autoSpaceDE w:val="0"/>
                    <w:autoSpaceDN w:val="0"/>
                    <w:rPr>
                      <w:kern w:val="0"/>
                      <w:szCs w:val="21"/>
                    </w:rPr>
                  </w:pPr>
                  <w:r>
                    <w:rPr>
                      <w:rFonts w:hint="eastAsia"/>
                      <w:kern w:val="0"/>
                      <w:szCs w:val="21"/>
                    </w:rPr>
                    <w:t>符合</w:t>
                  </w:r>
                </w:p>
              </w:tc>
            </w:tr>
            <w:tr>
              <w:trPr>
                <w:trHeight w:val="232" w:hRule="atLeast"/>
                <w:jc w:val="center"/>
              </w:trPr>
              <w:tc>
                <w:tcPr>
                  <w:tcW w:w="398" w:type="dxa"/>
                  <w:vMerge w:val="continue"/>
                  <w:vAlign w:val="center"/>
                </w:tcPr>
                <w:p>
                  <w:pPr>
                    <w:autoSpaceDE w:val="0"/>
                    <w:autoSpaceDN w:val="0"/>
                    <w:jc w:val="center"/>
                    <w:rPr>
                      <w:kern w:val="0"/>
                      <w:szCs w:val="21"/>
                    </w:rPr>
                  </w:pPr>
                </w:p>
              </w:tc>
              <w:tc>
                <w:tcPr>
                  <w:tcW w:w="3122" w:type="dxa"/>
                  <w:gridSpan w:val="2"/>
                  <w:vAlign w:val="top"/>
                </w:tcPr>
                <w:p>
                  <w:pPr>
                    <w:autoSpaceDE w:val="0"/>
                    <w:autoSpaceDN w:val="0"/>
                    <w:rPr>
                      <w:kern w:val="0"/>
                      <w:szCs w:val="21"/>
                    </w:rPr>
                  </w:pPr>
                  <w:r>
                    <w:rPr>
                      <w:rFonts w:hint="eastAsia"/>
                      <w:kern w:val="0"/>
                      <w:szCs w:val="21"/>
                    </w:rPr>
                    <w:t>报废机动车拆解产生的废旧玻璃、报废机动车破碎残余物、引爆后的安全气囊等应避免危险废物的沾染，未沾染危险废物的应按一般工业固体废物进行管理。</w:t>
                  </w:r>
                </w:p>
              </w:tc>
              <w:tc>
                <w:tcPr>
                  <w:tcW w:w="2585" w:type="dxa"/>
                  <w:vAlign w:val="top"/>
                </w:tcPr>
                <w:p>
                  <w:pPr>
                    <w:autoSpaceDE w:val="0"/>
                    <w:autoSpaceDN w:val="0"/>
                    <w:rPr>
                      <w:kern w:val="0"/>
                      <w:szCs w:val="21"/>
                    </w:rPr>
                  </w:pPr>
                  <w:r>
                    <w:rPr>
                      <w:rFonts w:hint="eastAsia"/>
                      <w:kern w:val="0"/>
                      <w:szCs w:val="21"/>
                    </w:rPr>
                    <w:t>本项目一般工业固体废物和危险废物分类进行贮存管理。</w:t>
                  </w:r>
                </w:p>
              </w:tc>
              <w:tc>
                <w:tcPr>
                  <w:tcW w:w="687" w:type="dxa"/>
                  <w:vAlign w:val="center"/>
                </w:tcPr>
                <w:p>
                  <w:pPr>
                    <w:autoSpaceDE w:val="0"/>
                    <w:autoSpaceDN w:val="0"/>
                    <w:rPr>
                      <w:kern w:val="0"/>
                      <w:szCs w:val="21"/>
                    </w:rPr>
                  </w:pPr>
                  <w:r>
                    <w:rPr>
                      <w:rFonts w:hint="eastAsia"/>
                      <w:kern w:val="0"/>
                      <w:szCs w:val="21"/>
                    </w:rPr>
                    <w:t>符合</w:t>
                  </w:r>
                </w:p>
              </w:tc>
            </w:tr>
            <w:tr>
              <w:trPr>
                <w:trHeight w:val="232" w:hRule="atLeast"/>
                <w:jc w:val="center"/>
              </w:trPr>
              <w:tc>
                <w:tcPr>
                  <w:tcW w:w="398" w:type="dxa"/>
                  <w:vMerge w:val="continue"/>
                  <w:vAlign w:val="center"/>
                </w:tcPr>
                <w:p>
                  <w:pPr>
                    <w:autoSpaceDE w:val="0"/>
                    <w:autoSpaceDN w:val="0"/>
                    <w:jc w:val="center"/>
                    <w:rPr>
                      <w:kern w:val="0"/>
                      <w:szCs w:val="21"/>
                    </w:rPr>
                  </w:pPr>
                </w:p>
              </w:tc>
              <w:tc>
                <w:tcPr>
                  <w:tcW w:w="3122" w:type="dxa"/>
                  <w:gridSpan w:val="2"/>
                  <w:vAlign w:val="top"/>
                </w:tcPr>
                <w:p>
                  <w:pPr>
                    <w:autoSpaceDE w:val="0"/>
                    <w:autoSpaceDN w:val="0"/>
                    <w:rPr>
                      <w:kern w:val="0"/>
                      <w:szCs w:val="21"/>
                    </w:rPr>
                  </w:pPr>
                  <w:r>
                    <w:rPr>
                      <w:rFonts w:hint="eastAsia"/>
                      <w:kern w:val="0"/>
                      <w:szCs w:val="21"/>
                    </w:rPr>
                    <w:t>报废机动车拆解产生的废铅蓄电池、废矿物油、废电路板、废尾气净化催化剂以及含有或沾染危险废物的废弃包装物、容器等依据《国家危险废物名录》属于危险废物的，应按照危险废物贮存管理相关要求进行分区、分类贮存。废弃含油抹布和劳保用品宜集中收集。</w:t>
                  </w:r>
                </w:p>
              </w:tc>
              <w:tc>
                <w:tcPr>
                  <w:tcW w:w="2585" w:type="dxa"/>
                  <w:vAlign w:val="top"/>
                </w:tcPr>
                <w:p>
                  <w:pPr>
                    <w:autoSpaceDE w:val="0"/>
                    <w:autoSpaceDN w:val="0"/>
                    <w:rPr>
                      <w:kern w:val="0"/>
                      <w:szCs w:val="21"/>
                    </w:rPr>
                  </w:pPr>
                  <w:r>
                    <w:rPr>
                      <w:rFonts w:hint="eastAsia"/>
                      <w:kern w:val="0"/>
                      <w:szCs w:val="21"/>
                    </w:rPr>
                    <w:t>项目危险废物按危险废物贮存管理相关要求，在危险废物贮存间分区分类暂存。废弃含油抹布和劳保用品集中收集。</w:t>
                  </w:r>
                </w:p>
              </w:tc>
              <w:tc>
                <w:tcPr>
                  <w:tcW w:w="687" w:type="dxa"/>
                  <w:vAlign w:val="center"/>
                </w:tcPr>
                <w:p>
                  <w:pPr>
                    <w:autoSpaceDE w:val="0"/>
                    <w:autoSpaceDN w:val="0"/>
                    <w:rPr>
                      <w:kern w:val="0"/>
                      <w:szCs w:val="21"/>
                    </w:rPr>
                  </w:pPr>
                  <w:r>
                    <w:rPr>
                      <w:rFonts w:hint="eastAsia"/>
                      <w:kern w:val="0"/>
                      <w:szCs w:val="21"/>
                    </w:rPr>
                    <w:t>符合</w:t>
                  </w:r>
                </w:p>
              </w:tc>
            </w:tr>
            <w:tr>
              <w:trPr>
                <w:trHeight w:val="232" w:hRule="atLeast"/>
                <w:jc w:val="center"/>
              </w:trPr>
              <w:tc>
                <w:tcPr>
                  <w:tcW w:w="398" w:type="dxa"/>
                  <w:vMerge w:val="continue"/>
                  <w:vAlign w:val="center"/>
                </w:tcPr>
                <w:p>
                  <w:pPr>
                    <w:autoSpaceDE w:val="0"/>
                    <w:autoSpaceDN w:val="0"/>
                    <w:jc w:val="center"/>
                    <w:rPr>
                      <w:kern w:val="0"/>
                      <w:szCs w:val="21"/>
                    </w:rPr>
                  </w:pPr>
                </w:p>
              </w:tc>
              <w:tc>
                <w:tcPr>
                  <w:tcW w:w="3122" w:type="dxa"/>
                  <w:gridSpan w:val="2"/>
                  <w:vAlign w:val="top"/>
                </w:tcPr>
                <w:p>
                  <w:pPr>
                    <w:autoSpaceDE w:val="0"/>
                    <w:autoSpaceDN w:val="0"/>
                    <w:rPr>
                      <w:kern w:val="0"/>
                      <w:szCs w:val="21"/>
                    </w:rPr>
                  </w:pPr>
                  <w:r>
                    <w:rPr>
                      <w:rFonts w:hint="eastAsia"/>
                      <w:kern w:val="0"/>
                      <w:szCs w:val="21"/>
                    </w:rPr>
                    <w:t>报废机动车回收拆解企业不应倾倒铅蓄电池内的电解液、铅块和铅膏等废物。对于破损的铅蓄电池，应单独贮存，并采取防止电解液泄漏的措施。</w:t>
                  </w:r>
                </w:p>
              </w:tc>
              <w:tc>
                <w:tcPr>
                  <w:tcW w:w="2585" w:type="dxa"/>
                  <w:vAlign w:val="top"/>
                </w:tcPr>
                <w:p>
                  <w:pPr>
                    <w:autoSpaceDE w:val="0"/>
                    <w:autoSpaceDN w:val="0"/>
                    <w:rPr>
                      <w:kern w:val="0"/>
                      <w:szCs w:val="21"/>
                    </w:rPr>
                  </w:pPr>
                  <w:r>
                    <w:rPr>
                      <w:rFonts w:hint="eastAsia"/>
                      <w:kern w:val="0"/>
                      <w:szCs w:val="21"/>
                    </w:rPr>
                    <w:t>本项目仅拆下蓄电池，不对铅酸蓄电池进行拆解，拆解下来的铅酸蓄电池单独贮存，项目严格操作要求进行。</w:t>
                  </w:r>
                </w:p>
              </w:tc>
              <w:tc>
                <w:tcPr>
                  <w:tcW w:w="687" w:type="dxa"/>
                  <w:vAlign w:val="center"/>
                </w:tcPr>
                <w:p>
                  <w:pPr>
                    <w:autoSpaceDE w:val="0"/>
                    <w:autoSpaceDN w:val="0"/>
                    <w:rPr>
                      <w:kern w:val="0"/>
                      <w:szCs w:val="21"/>
                    </w:rPr>
                  </w:pPr>
                  <w:r>
                    <w:rPr>
                      <w:rFonts w:hint="eastAsia"/>
                      <w:kern w:val="0"/>
                      <w:szCs w:val="21"/>
                    </w:rPr>
                    <w:t>符合</w:t>
                  </w:r>
                </w:p>
              </w:tc>
            </w:tr>
            <w:tr>
              <w:trPr>
                <w:trHeight w:val="232" w:hRule="atLeast"/>
                <w:jc w:val="center"/>
              </w:trPr>
              <w:tc>
                <w:tcPr>
                  <w:tcW w:w="398" w:type="dxa"/>
                  <w:vMerge w:val="continue"/>
                  <w:vAlign w:val="center"/>
                </w:tcPr>
                <w:p>
                  <w:pPr>
                    <w:autoSpaceDE w:val="0"/>
                    <w:autoSpaceDN w:val="0"/>
                    <w:jc w:val="center"/>
                    <w:rPr>
                      <w:kern w:val="0"/>
                      <w:szCs w:val="21"/>
                    </w:rPr>
                  </w:pPr>
                </w:p>
              </w:tc>
              <w:tc>
                <w:tcPr>
                  <w:tcW w:w="3122" w:type="dxa"/>
                  <w:gridSpan w:val="2"/>
                  <w:vAlign w:val="top"/>
                </w:tcPr>
                <w:p>
                  <w:pPr>
                    <w:autoSpaceDE w:val="0"/>
                    <w:autoSpaceDN w:val="0"/>
                    <w:rPr>
                      <w:kern w:val="0"/>
                      <w:szCs w:val="21"/>
                    </w:rPr>
                  </w:pPr>
                  <w:r>
                    <w:rPr>
                      <w:rFonts w:hint="eastAsia"/>
                      <w:kern w:val="0"/>
                      <w:szCs w:val="21"/>
                    </w:rPr>
                    <w:t>报废机动车拆解产生的产物和固体废物应合理分类，不能自行利用处置的，分别委托具有相关资质、相应处理能力或经营范围的单位利用和处置。</w:t>
                  </w:r>
                </w:p>
              </w:tc>
              <w:tc>
                <w:tcPr>
                  <w:tcW w:w="2585" w:type="dxa"/>
                  <w:vAlign w:val="top"/>
                </w:tcPr>
                <w:p>
                  <w:pPr>
                    <w:autoSpaceDE w:val="0"/>
                    <w:autoSpaceDN w:val="0"/>
                    <w:rPr>
                      <w:kern w:val="0"/>
                      <w:szCs w:val="21"/>
                    </w:rPr>
                  </w:pPr>
                  <w:r>
                    <w:rPr>
                      <w:rFonts w:hint="eastAsia"/>
                      <w:kern w:val="0"/>
                      <w:szCs w:val="21"/>
                    </w:rPr>
                    <w:t>项目报废农机具拆解产生的产物和固体废物合理分类，不能自行利用处置的，分别委托具有相关资质、相应处理能力或经营范围的单位利用和处置。</w:t>
                  </w:r>
                </w:p>
              </w:tc>
              <w:tc>
                <w:tcPr>
                  <w:tcW w:w="687" w:type="dxa"/>
                  <w:vAlign w:val="center"/>
                </w:tcPr>
                <w:p>
                  <w:pPr>
                    <w:autoSpaceDE w:val="0"/>
                    <w:autoSpaceDN w:val="0"/>
                    <w:rPr>
                      <w:kern w:val="0"/>
                      <w:szCs w:val="21"/>
                    </w:rPr>
                  </w:pPr>
                  <w:r>
                    <w:rPr>
                      <w:rFonts w:hint="eastAsia"/>
                      <w:kern w:val="0"/>
                      <w:szCs w:val="21"/>
                    </w:rPr>
                    <w:t>符合</w:t>
                  </w:r>
                </w:p>
              </w:tc>
            </w:tr>
            <w:tr>
              <w:trPr>
                <w:trHeight w:val="232" w:hRule="atLeast"/>
                <w:jc w:val="center"/>
              </w:trPr>
              <w:tc>
                <w:tcPr>
                  <w:tcW w:w="398" w:type="dxa"/>
                  <w:vMerge w:val="continue"/>
                  <w:vAlign w:val="center"/>
                </w:tcPr>
                <w:p>
                  <w:pPr>
                    <w:autoSpaceDE w:val="0"/>
                    <w:autoSpaceDN w:val="0"/>
                    <w:jc w:val="center"/>
                    <w:rPr>
                      <w:kern w:val="0"/>
                      <w:szCs w:val="21"/>
                    </w:rPr>
                  </w:pPr>
                </w:p>
              </w:tc>
              <w:tc>
                <w:tcPr>
                  <w:tcW w:w="3122" w:type="dxa"/>
                  <w:gridSpan w:val="2"/>
                  <w:vAlign w:val="top"/>
                </w:tcPr>
                <w:p>
                  <w:pPr>
                    <w:autoSpaceDE w:val="0"/>
                    <w:autoSpaceDN w:val="0"/>
                    <w:rPr>
                      <w:kern w:val="0"/>
                      <w:szCs w:val="21"/>
                    </w:rPr>
                  </w:pPr>
                  <w:r>
                    <w:rPr>
                      <w:rFonts w:hint="eastAsia"/>
                      <w:kern w:val="0"/>
                      <w:szCs w:val="21"/>
                    </w:rPr>
                    <w:t>报废机动车拆解产物应符合国家及地方处理处置要求，其中主要拆解产物特性及去向见附录A。如报废机动车回收拆解企业具备与报废机动车拆解处理相关的深加工或二次加工经营业务，应当符合其他相关污染控制要求。</w:t>
                  </w:r>
                </w:p>
              </w:tc>
              <w:tc>
                <w:tcPr>
                  <w:tcW w:w="2585" w:type="dxa"/>
                  <w:vAlign w:val="top"/>
                </w:tcPr>
                <w:p>
                  <w:pPr>
                    <w:autoSpaceDE w:val="0"/>
                    <w:autoSpaceDN w:val="0"/>
                    <w:rPr>
                      <w:kern w:val="0"/>
                      <w:szCs w:val="21"/>
                    </w:rPr>
                  </w:pPr>
                  <w:r>
                    <w:rPr>
                      <w:rFonts w:hint="eastAsia"/>
                      <w:kern w:val="0"/>
                      <w:szCs w:val="21"/>
                    </w:rPr>
                    <w:t>本项目不进行拆解处理相关的深加工或二次加工经营业务。</w:t>
                  </w:r>
                </w:p>
              </w:tc>
              <w:tc>
                <w:tcPr>
                  <w:tcW w:w="687" w:type="dxa"/>
                  <w:vAlign w:val="center"/>
                </w:tcPr>
                <w:p>
                  <w:pPr>
                    <w:autoSpaceDE w:val="0"/>
                    <w:autoSpaceDN w:val="0"/>
                    <w:jc w:val="center"/>
                    <w:rPr>
                      <w:rFonts w:ascii="宋体" w:hAnsi="宋体" w:cs="宋体"/>
                      <w:kern w:val="0"/>
                      <w:szCs w:val="21"/>
                    </w:rPr>
                  </w:pPr>
                  <w:r>
                    <w:rPr>
                      <w:rFonts w:hint="eastAsia" w:ascii="宋体" w:hAnsi="宋体" w:cs="宋体"/>
                      <w:kern w:val="0"/>
                      <w:szCs w:val="21"/>
                    </w:rPr>
                    <w:t>符合</w:t>
                  </w:r>
                </w:p>
              </w:tc>
            </w:tr>
            <w:tr>
              <w:trPr>
                <w:trHeight w:val="232" w:hRule="atLeast"/>
                <w:jc w:val="center"/>
              </w:trPr>
              <w:tc>
                <w:tcPr>
                  <w:tcW w:w="398" w:type="dxa"/>
                  <w:vMerge w:val="continue"/>
                  <w:vAlign w:val="center"/>
                </w:tcPr>
                <w:p>
                  <w:pPr>
                    <w:autoSpaceDE w:val="0"/>
                    <w:autoSpaceDN w:val="0"/>
                    <w:jc w:val="center"/>
                    <w:rPr>
                      <w:kern w:val="0"/>
                      <w:szCs w:val="21"/>
                    </w:rPr>
                  </w:pPr>
                </w:p>
              </w:tc>
              <w:tc>
                <w:tcPr>
                  <w:tcW w:w="3122" w:type="dxa"/>
                  <w:gridSpan w:val="2"/>
                  <w:vAlign w:val="top"/>
                </w:tcPr>
                <w:p>
                  <w:pPr>
                    <w:autoSpaceDE w:val="0"/>
                    <w:autoSpaceDN w:val="0"/>
                    <w:rPr>
                      <w:kern w:val="0"/>
                      <w:szCs w:val="21"/>
                    </w:rPr>
                  </w:pPr>
                  <w:r>
                    <w:rPr>
                      <w:rFonts w:hint="eastAsia"/>
                      <w:kern w:val="0"/>
                      <w:szCs w:val="21"/>
                    </w:rPr>
                    <w:t>报废机动车油箱中的燃料（汽油、柴油、天然气、液化石油气、甲醇等）应分类收集。</w:t>
                  </w:r>
                </w:p>
              </w:tc>
              <w:tc>
                <w:tcPr>
                  <w:tcW w:w="2585" w:type="dxa"/>
                  <w:vAlign w:val="top"/>
                </w:tcPr>
                <w:p>
                  <w:pPr>
                    <w:autoSpaceDE w:val="0"/>
                    <w:autoSpaceDN w:val="0"/>
                    <w:rPr>
                      <w:kern w:val="0"/>
                      <w:szCs w:val="21"/>
                    </w:rPr>
                  </w:pPr>
                  <w:r>
                    <w:rPr>
                      <w:rFonts w:hint="eastAsia"/>
                      <w:kern w:val="0"/>
                      <w:szCs w:val="21"/>
                    </w:rPr>
                    <w:t>项目对油箱中抽取的燃料分类收集。</w:t>
                  </w:r>
                </w:p>
              </w:tc>
              <w:tc>
                <w:tcPr>
                  <w:tcW w:w="687" w:type="dxa"/>
                  <w:vAlign w:val="center"/>
                </w:tcPr>
                <w:p>
                  <w:pPr>
                    <w:autoSpaceDE w:val="0"/>
                    <w:autoSpaceDN w:val="0"/>
                    <w:rPr>
                      <w:kern w:val="0"/>
                      <w:szCs w:val="21"/>
                    </w:rPr>
                  </w:pPr>
                  <w:r>
                    <w:rPr>
                      <w:rFonts w:hint="eastAsia"/>
                      <w:kern w:val="0"/>
                      <w:szCs w:val="21"/>
                    </w:rPr>
                    <w:t>符合</w:t>
                  </w:r>
                </w:p>
              </w:tc>
            </w:tr>
            <w:tr>
              <w:trPr>
                <w:trHeight w:val="232" w:hRule="atLeast"/>
                <w:jc w:val="center"/>
              </w:trPr>
              <w:tc>
                <w:tcPr>
                  <w:tcW w:w="398" w:type="dxa"/>
                  <w:vMerge w:val="restart"/>
                  <w:vAlign w:val="center"/>
                </w:tcPr>
                <w:p>
                  <w:pPr>
                    <w:autoSpaceDE w:val="0"/>
                    <w:autoSpaceDN w:val="0"/>
                    <w:jc w:val="center"/>
                    <w:rPr>
                      <w:kern w:val="0"/>
                      <w:szCs w:val="21"/>
                    </w:rPr>
                  </w:pPr>
                  <w:r>
                    <w:rPr>
                      <w:rFonts w:hint="eastAsia"/>
                      <w:kern w:val="0"/>
                      <w:szCs w:val="21"/>
                    </w:rPr>
                    <w:t>企业污染物排放要求</w:t>
                  </w:r>
                </w:p>
              </w:tc>
              <w:tc>
                <w:tcPr>
                  <w:tcW w:w="352" w:type="dxa"/>
                  <w:vAlign w:val="center"/>
                </w:tcPr>
                <w:p>
                  <w:pPr>
                    <w:autoSpaceDE w:val="0"/>
                    <w:autoSpaceDN w:val="0"/>
                    <w:jc w:val="center"/>
                    <w:rPr>
                      <w:kern w:val="0"/>
                      <w:szCs w:val="21"/>
                    </w:rPr>
                  </w:pPr>
                  <w:r>
                    <w:rPr>
                      <w:rFonts w:hint="eastAsia"/>
                      <w:kern w:val="0"/>
                      <w:szCs w:val="21"/>
                    </w:rPr>
                    <w:t>水</w:t>
                  </w:r>
                </w:p>
                <w:p>
                  <w:pPr>
                    <w:autoSpaceDE w:val="0"/>
                    <w:autoSpaceDN w:val="0"/>
                    <w:jc w:val="center"/>
                    <w:rPr>
                      <w:kern w:val="0"/>
                      <w:szCs w:val="21"/>
                    </w:rPr>
                  </w:pPr>
                  <w:r>
                    <w:rPr>
                      <w:rFonts w:hint="eastAsia"/>
                      <w:kern w:val="0"/>
                      <w:szCs w:val="21"/>
                    </w:rPr>
                    <w:t>污</w:t>
                  </w:r>
                </w:p>
                <w:p>
                  <w:pPr>
                    <w:autoSpaceDE w:val="0"/>
                    <w:autoSpaceDN w:val="0"/>
                    <w:jc w:val="center"/>
                    <w:rPr>
                      <w:kern w:val="0"/>
                      <w:szCs w:val="21"/>
                    </w:rPr>
                  </w:pPr>
                  <w:r>
                    <w:rPr>
                      <w:rFonts w:hint="eastAsia"/>
                      <w:kern w:val="0"/>
                      <w:szCs w:val="21"/>
                    </w:rPr>
                    <w:t>染</w:t>
                  </w:r>
                </w:p>
                <w:p>
                  <w:pPr>
                    <w:autoSpaceDE w:val="0"/>
                    <w:autoSpaceDN w:val="0"/>
                    <w:jc w:val="center"/>
                    <w:rPr>
                      <w:kern w:val="0"/>
                      <w:szCs w:val="21"/>
                    </w:rPr>
                  </w:pPr>
                  <w:r>
                    <w:rPr>
                      <w:rFonts w:hint="eastAsia"/>
                      <w:kern w:val="0"/>
                      <w:szCs w:val="21"/>
                    </w:rPr>
                    <w:t>物</w:t>
                  </w:r>
                </w:p>
                <w:p>
                  <w:pPr>
                    <w:autoSpaceDE w:val="0"/>
                    <w:autoSpaceDN w:val="0"/>
                    <w:jc w:val="center"/>
                    <w:rPr>
                      <w:kern w:val="0"/>
                      <w:szCs w:val="21"/>
                    </w:rPr>
                  </w:pPr>
                  <w:r>
                    <w:rPr>
                      <w:rFonts w:hint="eastAsia"/>
                      <w:kern w:val="0"/>
                      <w:szCs w:val="21"/>
                    </w:rPr>
                    <w:t>排</w:t>
                  </w:r>
                </w:p>
                <w:p>
                  <w:pPr>
                    <w:autoSpaceDE w:val="0"/>
                    <w:autoSpaceDN w:val="0"/>
                    <w:jc w:val="center"/>
                    <w:rPr>
                      <w:kern w:val="0"/>
                      <w:szCs w:val="21"/>
                    </w:rPr>
                  </w:pPr>
                  <w:r>
                    <w:rPr>
                      <w:rFonts w:hint="eastAsia"/>
                      <w:kern w:val="0"/>
                      <w:szCs w:val="21"/>
                    </w:rPr>
                    <w:t>放</w:t>
                  </w:r>
                </w:p>
                <w:p>
                  <w:pPr>
                    <w:autoSpaceDE w:val="0"/>
                    <w:autoSpaceDN w:val="0"/>
                    <w:jc w:val="center"/>
                    <w:rPr>
                      <w:kern w:val="0"/>
                      <w:szCs w:val="21"/>
                    </w:rPr>
                  </w:pPr>
                  <w:r>
                    <w:rPr>
                      <w:rFonts w:hint="eastAsia"/>
                      <w:kern w:val="0"/>
                      <w:szCs w:val="21"/>
                    </w:rPr>
                    <w:t>要</w:t>
                  </w:r>
                </w:p>
                <w:p>
                  <w:pPr>
                    <w:autoSpaceDE w:val="0"/>
                    <w:autoSpaceDN w:val="0"/>
                    <w:jc w:val="center"/>
                    <w:rPr>
                      <w:kern w:val="0"/>
                      <w:szCs w:val="21"/>
                    </w:rPr>
                  </w:pPr>
                  <w:r>
                    <w:rPr>
                      <w:rFonts w:hint="eastAsia"/>
                      <w:kern w:val="0"/>
                      <w:szCs w:val="21"/>
                    </w:rPr>
                    <w:t>求</w:t>
                  </w:r>
                </w:p>
              </w:tc>
              <w:tc>
                <w:tcPr>
                  <w:tcW w:w="2770" w:type="dxa"/>
                  <w:vAlign w:val="top"/>
                </w:tcPr>
                <w:p>
                  <w:pPr>
                    <w:autoSpaceDE w:val="0"/>
                    <w:autoSpaceDN w:val="0"/>
                    <w:rPr>
                      <w:kern w:val="0"/>
                      <w:szCs w:val="21"/>
                    </w:rPr>
                  </w:pPr>
                  <w:r>
                    <w:rPr>
                      <w:rFonts w:hint="eastAsia"/>
                      <w:kern w:val="0"/>
                      <w:szCs w:val="21"/>
                    </w:rPr>
                    <w:t>报废机动车回收拆解企业厂区收集的初期雨水、清洗水和其他非生活废水等应通过收集管道（井）等收集后进入污水处理设施进行处理，达到国家和地方的污染物排放标准后方可排放。</w:t>
                  </w:r>
                </w:p>
              </w:tc>
              <w:tc>
                <w:tcPr>
                  <w:tcW w:w="2585" w:type="dxa"/>
                  <w:vAlign w:val="top"/>
                </w:tcPr>
                <w:p>
                  <w:pPr>
                    <w:autoSpaceDE w:val="0"/>
                    <w:autoSpaceDN w:val="0"/>
                    <w:rPr>
                      <w:kern w:val="0"/>
                      <w:szCs w:val="21"/>
                    </w:rPr>
                  </w:pPr>
                  <w:r>
                    <w:rPr>
                      <w:rFonts w:hint="eastAsia"/>
                      <w:kern w:val="0"/>
                      <w:szCs w:val="21"/>
                    </w:rPr>
                    <w:t>本项目职工生活污水排入厂区防渗化粪池，定期清掏不外排。初期雨水经油水分离器处理后排入厂区污水暂存池，定期通过罐车送柳河县污水处理厂处理，不会对水环境造成影响。</w:t>
                  </w:r>
                </w:p>
              </w:tc>
              <w:tc>
                <w:tcPr>
                  <w:tcW w:w="687" w:type="dxa"/>
                  <w:vAlign w:val="center"/>
                </w:tcPr>
                <w:p>
                  <w:pPr>
                    <w:autoSpaceDE w:val="0"/>
                    <w:autoSpaceDN w:val="0"/>
                    <w:rPr>
                      <w:kern w:val="0"/>
                      <w:szCs w:val="21"/>
                    </w:rPr>
                  </w:pPr>
                  <w:r>
                    <w:rPr>
                      <w:rFonts w:hint="eastAsia"/>
                      <w:kern w:val="0"/>
                      <w:szCs w:val="21"/>
                    </w:rPr>
                    <w:t>符合</w:t>
                  </w:r>
                </w:p>
              </w:tc>
            </w:tr>
            <w:tr>
              <w:trPr>
                <w:trHeight w:val="232" w:hRule="atLeast"/>
                <w:jc w:val="center"/>
              </w:trPr>
              <w:tc>
                <w:tcPr>
                  <w:tcW w:w="398" w:type="dxa"/>
                  <w:vMerge w:val="continue"/>
                  <w:vAlign w:val="center"/>
                </w:tcPr>
                <w:p>
                  <w:pPr>
                    <w:autoSpaceDE w:val="0"/>
                    <w:autoSpaceDN w:val="0"/>
                    <w:jc w:val="center"/>
                    <w:rPr>
                      <w:kern w:val="0"/>
                      <w:szCs w:val="21"/>
                    </w:rPr>
                  </w:pPr>
                </w:p>
              </w:tc>
              <w:tc>
                <w:tcPr>
                  <w:tcW w:w="352" w:type="dxa"/>
                  <w:vMerge w:val="restart"/>
                  <w:vAlign w:val="center"/>
                </w:tcPr>
                <w:p>
                  <w:pPr>
                    <w:autoSpaceDE w:val="0"/>
                    <w:autoSpaceDN w:val="0"/>
                    <w:jc w:val="center"/>
                    <w:rPr>
                      <w:kern w:val="0"/>
                      <w:szCs w:val="21"/>
                    </w:rPr>
                  </w:pPr>
                  <w:r>
                    <w:rPr>
                      <w:rFonts w:hint="eastAsia"/>
                      <w:kern w:val="0"/>
                      <w:szCs w:val="21"/>
                    </w:rPr>
                    <w:t>大气污染物排放要求</w:t>
                  </w:r>
                </w:p>
              </w:tc>
              <w:tc>
                <w:tcPr>
                  <w:tcW w:w="2770" w:type="dxa"/>
                  <w:vAlign w:val="top"/>
                </w:tcPr>
                <w:p>
                  <w:pPr>
                    <w:autoSpaceDE w:val="0"/>
                    <w:autoSpaceDN w:val="0"/>
                    <w:rPr>
                      <w:kern w:val="0"/>
                      <w:szCs w:val="21"/>
                    </w:rPr>
                  </w:pPr>
                  <w:r>
                    <w:rPr>
                      <w:rFonts w:hint="eastAsia"/>
                      <w:kern w:val="0"/>
                      <w:szCs w:val="21"/>
                    </w:rPr>
                    <w:t>报废机动车回收拆解企业排放废气中颗粒物、挥发性有机物（VOCs）等应符合GB16297、 GB37822规定的排放要求。地方污染物排放标准有更严格要求的，从其规定。</w:t>
                  </w:r>
                </w:p>
              </w:tc>
              <w:tc>
                <w:tcPr>
                  <w:tcW w:w="2585" w:type="dxa"/>
                  <w:vAlign w:val="top"/>
                </w:tcPr>
                <w:p>
                  <w:pPr>
                    <w:autoSpaceDE w:val="0"/>
                    <w:autoSpaceDN w:val="0"/>
                    <w:rPr>
                      <w:kern w:val="0"/>
                      <w:szCs w:val="21"/>
                    </w:rPr>
                  </w:pPr>
                  <w:r>
                    <w:rPr>
                      <w:rFonts w:hint="eastAsia"/>
                      <w:kern w:val="0"/>
                      <w:szCs w:val="21"/>
                    </w:rPr>
                    <w:t>本项目排放的颗粒物和挥发性有机物（VOCs）经废气处理措施处理后，符合GB16297、 GB37822规定的排放要求。</w:t>
                  </w:r>
                </w:p>
              </w:tc>
              <w:tc>
                <w:tcPr>
                  <w:tcW w:w="687" w:type="dxa"/>
                  <w:vAlign w:val="center"/>
                </w:tcPr>
                <w:p>
                  <w:pPr>
                    <w:autoSpaceDE w:val="0"/>
                    <w:autoSpaceDN w:val="0"/>
                    <w:jc w:val="center"/>
                    <w:rPr>
                      <w:rFonts w:ascii="宋体" w:hAnsi="宋体" w:cs="宋体"/>
                      <w:kern w:val="0"/>
                      <w:szCs w:val="21"/>
                    </w:rPr>
                  </w:pPr>
                  <w:r>
                    <w:rPr>
                      <w:rFonts w:hint="eastAsia" w:ascii="宋体" w:hAnsi="宋体" w:cs="宋体"/>
                      <w:kern w:val="0"/>
                      <w:szCs w:val="21"/>
                    </w:rPr>
                    <w:t>符合</w:t>
                  </w:r>
                </w:p>
              </w:tc>
            </w:tr>
            <w:tr>
              <w:trPr>
                <w:trHeight w:val="232" w:hRule="atLeast"/>
                <w:jc w:val="center"/>
              </w:trPr>
              <w:tc>
                <w:tcPr>
                  <w:tcW w:w="398" w:type="dxa"/>
                  <w:vMerge w:val="continue"/>
                  <w:vAlign w:val="center"/>
                </w:tcPr>
                <w:p>
                  <w:pPr>
                    <w:autoSpaceDE w:val="0"/>
                    <w:autoSpaceDN w:val="0"/>
                    <w:jc w:val="center"/>
                    <w:rPr>
                      <w:kern w:val="0"/>
                      <w:szCs w:val="21"/>
                    </w:rPr>
                  </w:pPr>
                </w:p>
              </w:tc>
              <w:tc>
                <w:tcPr>
                  <w:tcW w:w="352" w:type="dxa"/>
                  <w:vMerge w:val="continue"/>
                  <w:vAlign w:val="center"/>
                </w:tcPr>
                <w:p>
                  <w:pPr>
                    <w:autoSpaceDE w:val="0"/>
                    <w:autoSpaceDN w:val="0"/>
                    <w:jc w:val="center"/>
                    <w:rPr>
                      <w:kern w:val="0"/>
                      <w:szCs w:val="21"/>
                    </w:rPr>
                  </w:pPr>
                </w:p>
              </w:tc>
              <w:tc>
                <w:tcPr>
                  <w:tcW w:w="2770" w:type="dxa"/>
                  <w:vAlign w:val="top"/>
                </w:tcPr>
                <w:p>
                  <w:pPr>
                    <w:autoSpaceDE w:val="0"/>
                    <w:autoSpaceDN w:val="0"/>
                    <w:rPr>
                      <w:kern w:val="0"/>
                      <w:szCs w:val="21"/>
                    </w:rPr>
                  </w:pPr>
                  <w:r>
                    <w:rPr>
                      <w:rFonts w:hint="eastAsia"/>
                      <w:kern w:val="0"/>
                      <w:szCs w:val="21"/>
                    </w:rPr>
                    <w:t>报废机动车回收拆解企业应在厂区及易产生粉尘的生产环节采取有效防尘、降尘、集尘措施，拆解过程产生的粉尘等应收集净化后排放。</w:t>
                  </w:r>
                </w:p>
              </w:tc>
              <w:tc>
                <w:tcPr>
                  <w:tcW w:w="2585" w:type="dxa"/>
                  <w:vAlign w:val="top"/>
                </w:tcPr>
                <w:p>
                  <w:pPr>
                    <w:autoSpaceDE w:val="0"/>
                    <w:autoSpaceDN w:val="0"/>
                    <w:rPr>
                      <w:kern w:val="0"/>
                      <w:szCs w:val="21"/>
                    </w:rPr>
                  </w:pPr>
                  <w:r>
                    <w:rPr>
                      <w:szCs w:val="21"/>
                    </w:rPr>
                    <w:t>项目颗粒物以及非甲烷总烃经</w:t>
                  </w:r>
                  <w:r>
                    <w:rPr>
                      <w:rFonts w:hint="eastAsia"/>
                      <w:szCs w:val="21"/>
                    </w:rPr>
                    <w:t>布袋除尘器和活性炭吸附</w:t>
                  </w:r>
                  <w:r>
                    <w:rPr>
                      <w:szCs w:val="21"/>
                    </w:rPr>
                    <w:t>处理后排放，满足相关排放标准；</w:t>
                  </w:r>
                </w:p>
              </w:tc>
              <w:tc>
                <w:tcPr>
                  <w:tcW w:w="687" w:type="dxa"/>
                  <w:vAlign w:val="center"/>
                </w:tcPr>
                <w:p>
                  <w:pPr>
                    <w:autoSpaceDE w:val="0"/>
                    <w:autoSpaceDN w:val="0"/>
                    <w:jc w:val="center"/>
                    <w:rPr>
                      <w:rFonts w:ascii="宋体" w:hAnsi="宋体" w:cs="宋体"/>
                      <w:kern w:val="0"/>
                      <w:szCs w:val="21"/>
                    </w:rPr>
                  </w:pPr>
                  <w:r>
                    <w:rPr>
                      <w:rFonts w:hint="eastAsia" w:ascii="宋体" w:hAnsi="宋体" w:cs="宋体"/>
                      <w:kern w:val="0"/>
                      <w:szCs w:val="21"/>
                    </w:rPr>
                    <w:t>符合</w:t>
                  </w:r>
                </w:p>
              </w:tc>
            </w:tr>
            <w:tr>
              <w:trPr>
                <w:trHeight w:val="232" w:hRule="atLeast"/>
                <w:jc w:val="center"/>
              </w:trPr>
              <w:tc>
                <w:tcPr>
                  <w:tcW w:w="398" w:type="dxa"/>
                  <w:vMerge w:val="continue"/>
                  <w:vAlign w:val="center"/>
                </w:tcPr>
                <w:p>
                  <w:pPr>
                    <w:autoSpaceDE w:val="0"/>
                    <w:autoSpaceDN w:val="0"/>
                    <w:jc w:val="center"/>
                    <w:rPr>
                      <w:kern w:val="0"/>
                      <w:szCs w:val="21"/>
                    </w:rPr>
                  </w:pPr>
                </w:p>
              </w:tc>
              <w:tc>
                <w:tcPr>
                  <w:tcW w:w="352" w:type="dxa"/>
                  <w:vMerge w:val="continue"/>
                  <w:vAlign w:val="center"/>
                </w:tcPr>
                <w:p>
                  <w:pPr>
                    <w:autoSpaceDE w:val="0"/>
                    <w:autoSpaceDN w:val="0"/>
                    <w:jc w:val="center"/>
                    <w:rPr>
                      <w:kern w:val="0"/>
                      <w:szCs w:val="21"/>
                    </w:rPr>
                  </w:pPr>
                </w:p>
              </w:tc>
              <w:tc>
                <w:tcPr>
                  <w:tcW w:w="2770" w:type="dxa"/>
                  <w:vAlign w:val="top"/>
                </w:tcPr>
                <w:p>
                  <w:pPr>
                    <w:autoSpaceDE w:val="0"/>
                    <w:autoSpaceDN w:val="0"/>
                    <w:rPr>
                      <w:kern w:val="0"/>
                      <w:szCs w:val="21"/>
                    </w:rPr>
                  </w:pPr>
                  <w:r>
                    <w:rPr>
                      <w:rFonts w:hint="eastAsia"/>
                      <w:kern w:val="0"/>
                      <w:szCs w:val="21"/>
                    </w:rPr>
                    <w:t>报废机动车回收拆解企业的恶臭污染物排放应满足GB14554中的相关要求。</w:t>
                  </w:r>
                </w:p>
              </w:tc>
              <w:tc>
                <w:tcPr>
                  <w:tcW w:w="2585" w:type="dxa"/>
                  <w:vAlign w:val="top"/>
                </w:tcPr>
                <w:p>
                  <w:pPr>
                    <w:autoSpaceDE w:val="0"/>
                    <w:autoSpaceDN w:val="0"/>
                    <w:rPr>
                      <w:kern w:val="0"/>
                      <w:szCs w:val="21"/>
                    </w:rPr>
                  </w:pPr>
                  <w:r>
                    <w:rPr>
                      <w:rFonts w:hint="eastAsia"/>
                      <w:kern w:val="0"/>
                      <w:szCs w:val="21"/>
                    </w:rPr>
                    <w:t>本项目不产生恶臭气体。</w:t>
                  </w:r>
                </w:p>
              </w:tc>
              <w:tc>
                <w:tcPr>
                  <w:tcW w:w="687" w:type="dxa"/>
                  <w:vAlign w:val="center"/>
                </w:tcPr>
                <w:p>
                  <w:pPr>
                    <w:autoSpaceDE w:val="0"/>
                    <w:autoSpaceDN w:val="0"/>
                    <w:jc w:val="center"/>
                    <w:rPr>
                      <w:rFonts w:ascii="宋体" w:hAnsi="宋体" w:cs="宋体"/>
                      <w:kern w:val="0"/>
                      <w:szCs w:val="21"/>
                    </w:rPr>
                  </w:pPr>
                  <w:r>
                    <w:rPr>
                      <w:rFonts w:hint="eastAsia" w:ascii="宋体" w:hAnsi="宋体" w:cs="宋体"/>
                      <w:kern w:val="0"/>
                      <w:szCs w:val="21"/>
                    </w:rPr>
                    <w:t>符合</w:t>
                  </w:r>
                </w:p>
              </w:tc>
            </w:tr>
            <w:tr>
              <w:trPr>
                <w:trHeight w:val="232" w:hRule="atLeast"/>
                <w:jc w:val="center"/>
              </w:trPr>
              <w:tc>
                <w:tcPr>
                  <w:tcW w:w="398" w:type="dxa"/>
                  <w:vMerge w:val="continue"/>
                  <w:vAlign w:val="center"/>
                </w:tcPr>
                <w:p>
                  <w:pPr>
                    <w:autoSpaceDE w:val="0"/>
                    <w:autoSpaceDN w:val="0"/>
                    <w:jc w:val="center"/>
                    <w:rPr>
                      <w:kern w:val="0"/>
                      <w:szCs w:val="21"/>
                    </w:rPr>
                  </w:pPr>
                </w:p>
              </w:tc>
              <w:tc>
                <w:tcPr>
                  <w:tcW w:w="352" w:type="dxa"/>
                  <w:vMerge w:val="continue"/>
                  <w:vAlign w:val="center"/>
                </w:tcPr>
                <w:p>
                  <w:pPr>
                    <w:autoSpaceDE w:val="0"/>
                    <w:autoSpaceDN w:val="0"/>
                    <w:jc w:val="center"/>
                    <w:rPr>
                      <w:kern w:val="0"/>
                      <w:szCs w:val="21"/>
                    </w:rPr>
                  </w:pPr>
                </w:p>
              </w:tc>
              <w:tc>
                <w:tcPr>
                  <w:tcW w:w="2770" w:type="dxa"/>
                  <w:vAlign w:val="top"/>
                </w:tcPr>
                <w:p>
                  <w:pPr>
                    <w:autoSpaceDE w:val="0"/>
                    <w:autoSpaceDN w:val="0"/>
                    <w:rPr>
                      <w:kern w:val="0"/>
                      <w:szCs w:val="21"/>
                    </w:rPr>
                  </w:pPr>
                  <w:r>
                    <w:rPr>
                      <w:rFonts w:hint="eastAsia"/>
                      <w:kern w:val="0"/>
                      <w:szCs w:val="21"/>
                    </w:rPr>
                    <w:t>报废机动车回收拆解企业应依照《消耗臭氧层物质管理条例》，对消耗臭氧层物质和氢氟碳化物进行分类回收，并交由专业单位进行利用或无害化处置，不应直接排放。涉及《中国受控消耗臭氧层物质清单》所列的废制冷剂应按照国家相关规定进行管理。</w:t>
                  </w:r>
                </w:p>
              </w:tc>
              <w:tc>
                <w:tcPr>
                  <w:tcW w:w="2585" w:type="dxa"/>
                  <w:vAlign w:val="top"/>
                </w:tcPr>
                <w:p>
                  <w:pPr>
                    <w:autoSpaceDE w:val="0"/>
                    <w:autoSpaceDN w:val="0"/>
                    <w:rPr>
                      <w:kern w:val="0"/>
                      <w:szCs w:val="21"/>
                    </w:rPr>
                  </w:pPr>
                  <w:r>
                    <w:rPr>
                      <w:rFonts w:hint="eastAsia"/>
                      <w:kern w:val="0"/>
                      <w:szCs w:val="21"/>
                    </w:rPr>
                    <w:t>本项目不产生废制冷剂。</w:t>
                  </w:r>
                </w:p>
              </w:tc>
              <w:tc>
                <w:tcPr>
                  <w:tcW w:w="687" w:type="dxa"/>
                  <w:vAlign w:val="center"/>
                </w:tcPr>
                <w:p>
                  <w:pPr>
                    <w:autoSpaceDE w:val="0"/>
                    <w:autoSpaceDN w:val="0"/>
                    <w:rPr>
                      <w:kern w:val="0"/>
                      <w:szCs w:val="21"/>
                    </w:rPr>
                  </w:pPr>
                  <w:r>
                    <w:rPr>
                      <w:rFonts w:hint="eastAsia"/>
                      <w:kern w:val="0"/>
                      <w:szCs w:val="21"/>
                    </w:rPr>
                    <w:t>符合</w:t>
                  </w:r>
                </w:p>
              </w:tc>
            </w:tr>
            <w:tr>
              <w:trPr>
                <w:trHeight w:val="232" w:hRule="atLeast"/>
                <w:jc w:val="center"/>
              </w:trPr>
              <w:tc>
                <w:tcPr>
                  <w:tcW w:w="398" w:type="dxa"/>
                  <w:vMerge w:val="continue"/>
                  <w:vAlign w:val="center"/>
                </w:tcPr>
                <w:p>
                  <w:pPr>
                    <w:autoSpaceDE w:val="0"/>
                    <w:autoSpaceDN w:val="0"/>
                    <w:jc w:val="center"/>
                    <w:rPr>
                      <w:kern w:val="0"/>
                      <w:szCs w:val="21"/>
                    </w:rPr>
                  </w:pPr>
                </w:p>
              </w:tc>
              <w:tc>
                <w:tcPr>
                  <w:tcW w:w="352" w:type="dxa"/>
                  <w:vMerge w:val="restart"/>
                  <w:vAlign w:val="center"/>
                </w:tcPr>
                <w:p>
                  <w:pPr>
                    <w:autoSpaceDE w:val="0"/>
                    <w:autoSpaceDN w:val="0"/>
                    <w:jc w:val="center"/>
                    <w:rPr>
                      <w:kern w:val="0"/>
                      <w:szCs w:val="21"/>
                    </w:rPr>
                  </w:pPr>
                  <w:r>
                    <w:rPr>
                      <w:rFonts w:hint="eastAsia"/>
                      <w:kern w:val="0"/>
                      <w:szCs w:val="21"/>
                    </w:rPr>
                    <w:t>噪声排放控制要求</w:t>
                  </w:r>
                </w:p>
              </w:tc>
              <w:tc>
                <w:tcPr>
                  <w:tcW w:w="2770" w:type="dxa"/>
                  <w:vAlign w:val="top"/>
                </w:tcPr>
                <w:p>
                  <w:pPr>
                    <w:autoSpaceDE w:val="0"/>
                    <w:autoSpaceDN w:val="0"/>
                    <w:rPr>
                      <w:kern w:val="0"/>
                      <w:szCs w:val="21"/>
                    </w:rPr>
                  </w:pPr>
                  <w:r>
                    <w:rPr>
                      <w:rFonts w:hint="eastAsia"/>
                      <w:kern w:val="0"/>
                      <w:szCs w:val="21"/>
                    </w:rPr>
                    <w:t>报废机动车回收拆解企业应采取隔音降噪措施，减小厂界噪声，满足GB12348中的相关要求。</w:t>
                  </w:r>
                </w:p>
              </w:tc>
              <w:tc>
                <w:tcPr>
                  <w:tcW w:w="2585" w:type="dxa"/>
                  <w:vAlign w:val="top"/>
                </w:tcPr>
                <w:p>
                  <w:pPr>
                    <w:autoSpaceDE w:val="0"/>
                    <w:autoSpaceDN w:val="0"/>
                    <w:rPr>
                      <w:kern w:val="0"/>
                      <w:szCs w:val="21"/>
                    </w:rPr>
                  </w:pPr>
                  <w:r>
                    <w:rPr>
                      <w:rFonts w:hint="eastAsia"/>
                      <w:kern w:val="0"/>
                      <w:szCs w:val="21"/>
                    </w:rPr>
                    <w:t>项目采取选用低噪声设备，设置基础隔声减振等综合降噪措施，可满足</w:t>
                  </w:r>
                  <w:r>
                    <w:rPr>
                      <w:kern w:val="0"/>
                      <w:szCs w:val="21"/>
                    </w:rPr>
                    <w:t>GB12348</w:t>
                  </w:r>
                  <w:r>
                    <w:rPr>
                      <w:rFonts w:hint="eastAsia"/>
                      <w:kern w:val="0"/>
                      <w:szCs w:val="21"/>
                    </w:rPr>
                    <w:t>中3类、4类的相关要求。</w:t>
                  </w:r>
                </w:p>
              </w:tc>
              <w:tc>
                <w:tcPr>
                  <w:tcW w:w="687" w:type="dxa"/>
                  <w:vAlign w:val="center"/>
                </w:tcPr>
                <w:p>
                  <w:pPr>
                    <w:autoSpaceDE w:val="0"/>
                    <w:autoSpaceDN w:val="0"/>
                    <w:rPr>
                      <w:kern w:val="0"/>
                      <w:szCs w:val="21"/>
                    </w:rPr>
                  </w:pPr>
                  <w:r>
                    <w:rPr>
                      <w:rFonts w:hint="eastAsia"/>
                      <w:kern w:val="0"/>
                      <w:szCs w:val="21"/>
                    </w:rPr>
                    <w:t>符合</w:t>
                  </w:r>
                </w:p>
              </w:tc>
            </w:tr>
            <w:tr>
              <w:trPr>
                <w:trHeight w:val="232" w:hRule="atLeast"/>
                <w:jc w:val="center"/>
              </w:trPr>
              <w:tc>
                <w:tcPr>
                  <w:tcW w:w="398" w:type="dxa"/>
                  <w:vMerge w:val="continue"/>
                  <w:vAlign w:val="center"/>
                </w:tcPr>
                <w:p>
                  <w:pPr>
                    <w:autoSpaceDE w:val="0"/>
                    <w:autoSpaceDN w:val="0"/>
                    <w:jc w:val="center"/>
                    <w:rPr>
                      <w:kern w:val="0"/>
                      <w:szCs w:val="21"/>
                    </w:rPr>
                  </w:pPr>
                </w:p>
              </w:tc>
              <w:tc>
                <w:tcPr>
                  <w:tcW w:w="352" w:type="dxa"/>
                  <w:vMerge w:val="continue"/>
                  <w:vAlign w:val="center"/>
                </w:tcPr>
                <w:p>
                  <w:pPr>
                    <w:autoSpaceDE w:val="0"/>
                    <w:autoSpaceDN w:val="0"/>
                    <w:jc w:val="center"/>
                    <w:rPr>
                      <w:kern w:val="0"/>
                      <w:szCs w:val="21"/>
                    </w:rPr>
                  </w:pPr>
                </w:p>
              </w:tc>
              <w:tc>
                <w:tcPr>
                  <w:tcW w:w="2770" w:type="dxa"/>
                  <w:vAlign w:val="top"/>
                </w:tcPr>
                <w:p>
                  <w:pPr>
                    <w:autoSpaceDE w:val="0"/>
                    <w:autoSpaceDN w:val="0"/>
                    <w:rPr>
                      <w:kern w:val="0"/>
                      <w:szCs w:val="21"/>
                    </w:rPr>
                  </w:pPr>
                  <w:r>
                    <w:rPr>
                      <w:rFonts w:hint="eastAsia"/>
                      <w:kern w:val="0"/>
                      <w:szCs w:val="21"/>
                    </w:rPr>
                    <w:t>对于破碎机、分选机、风机等机械设备，应采用合理的降噪、减噪措施。如选用低噪声设备，安装隔振元件、柔性接头、隔振垫等。</w:t>
                  </w:r>
                </w:p>
              </w:tc>
              <w:tc>
                <w:tcPr>
                  <w:tcW w:w="2585" w:type="dxa"/>
                  <w:vAlign w:val="top"/>
                </w:tcPr>
                <w:p>
                  <w:pPr>
                    <w:autoSpaceDE w:val="0"/>
                    <w:autoSpaceDN w:val="0"/>
                    <w:rPr>
                      <w:kern w:val="0"/>
                      <w:szCs w:val="21"/>
                    </w:rPr>
                  </w:pPr>
                  <w:r>
                    <w:rPr>
                      <w:rFonts w:hint="eastAsia"/>
                      <w:kern w:val="0"/>
                      <w:szCs w:val="21"/>
                    </w:rPr>
                    <w:t>本项目已要求建设单位安装隔声减震措施。</w:t>
                  </w:r>
                </w:p>
              </w:tc>
              <w:tc>
                <w:tcPr>
                  <w:tcW w:w="687" w:type="dxa"/>
                  <w:vAlign w:val="center"/>
                </w:tcPr>
                <w:p>
                  <w:pPr>
                    <w:autoSpaceDE w:val="0"/>
                    <w:autoSpaceDN w:val="0"/>
                    <w:jc w:val="center"/>
                    <w:rPr>
                      <w:rFonts w:ascii="宋体" w:hAnsi="宋体" w:cs="宋体"/>
                      <w:kern w:val="0"/>
                      <w:szCs w:val="21"/>
                    </w:rPr>
                  </w:pPr>
                  <w:r>
                    <w:rPr>
                      <w:rFonts w:hint="eastAsia" w:ascii="宋体" w:hAnsi="宋体" w:cs="宋体"/>
                      <w:kern w:val="0"/>
                      <w:szCs w:val="21"/>
                    </w:rPr>
                    <w:t>符合</w:t>
                  </w:r>
                </w:p>
              </w:tc>
            </w:tr>
            <w:tr>
              <w:trPr>
                <w:trHeight w:val="232" w:hRule="atLeast"/>
                <w:jc w:val="center"/>
              </w:trPr>
              <w:tc>
                <w:tcPr>
                  <w:tcW w:w="398" w:type="dxa"/>
                  <w:vMerge w:val="continue"/>
                  <w:vAlign w:val="center"/>
                </w:tcPr>
                <w:p>
                  <w:pPr>
                    <w:autoSpaceDE w:val="0"/>
                    <w:autoSpaceDN w:val="0"/>
                    <w:jc w:val="center"/>
                    <w:rPr>
                      <w:kern w:val="0"/>
                      <w:szCs w:val="21"/>
                    </w:rPr>
                  </w:pPr>
                </w:p>
              </w:tc>
              <w:tc>
                <w:tcPr>
                  <w:tcW w:w="352" w:type="dxa"/>
                  <w:vMerge w:val="continue"/>
                  <w:vAlign w:val="center"/>
                </w:tcPr>
                <w:p>
                  <w:pPr>
                    <w:autoSpaceDE w:val="0"/>
                    <w:autoSpaceDN w:val="0"/>
                    <w:jc w:val="center"/>
                    <w:rPr>
                      <w:kern w:val="0"/>
                      <w:szCs w:val="21"/>
                    </w:rPr>
                  </w:pPr>
                </w:p>
              </w:tc>
              <w:tc>
                <w:tcPr>
                  <w:tcW w:w="2770" w:type="dxa"/>
                  <w:vAlign w:val="top"/>
                </w:tcPr>
                <w:p>
                  <w:pPr>
                    <w:autoSpaceDE w:val="0"/>
                    <w:autoSpaceDN w:val="0"/>
                    <w:rPr>
                      <w:kern w:val="0"/>
                      <w:szCs w:val="21"/>
                    </w:rPr>
                  </w:pPr>
                  <w:r>
                    <w:rPr>
                      <w:rFonts w:hint="eastAsia"/>
                      <w:kern w:val="0"/>
                      <w:szCs w:val="21"/>
                    </w:rPr>
                    <w:t>在空压机、风机等的输气管道或在进气口、排气口上安装消声元件，采取屏蔽隔声措施等。</w:t>
                  </w:r>
                </w:p>
              </w:tc>
              <w:tc>
                <w:tcPr>
                  <w:tcW w:w="2585" w:type="dxa"/>
                  <w:vAlign w:val="top"/>
                </w:tcPr>
                <w:p>
                  <w:pPr>
                    <w:autoSpaceDE w:val="0"/>
                    <w:autoSpaceDN w:val="0"/>
                    <w:rPr>
                      <w:kern w:val="0"/>
                      <w:szCs w:val="21"/>
                    </w:rPr>
                  </w:pPr>
                  <w:r>
                    <w:rPr>
                      <w:rFonts w:hint="eastAsia"/>
                      <w:kern w:val="0"/>
                      <w:szCs w:val="21"/>
                    </w:rPr>
                    <w:t>本项目已要求建设单位安装隔声减震措施。</w:t>
                  </w:r>
                </w:p>
              </w:tc>
              <w:tc>
                <w:tcPr>
                  <w:tcW w:w="687" w:type="dxa"/>
                  <w:vAlign w:val="center"/>
                </w:tcPr>
                <w:p>
                  <w:pPr>
                    <w:autoSpaceDE w:val="0"/>
                    <w:autoSpaceDN w:val="0"/>
                    <w:jc w:val="center"/>
                    <w:rPr>
                      <w:rFonts w:ascii="宋体" w:hAnsi="宋体" w:cs="宋体"/>
                      <w:kern w:val="0"/>
                      <w:szCs w:val="21"/>
                    </w:rPr>
                  </w:pPr>
                  <w:r>
                    <w:rPr>
                      <w:rFonts w:hint="eastAsia" w:ascii="宋体" w:hAnsi="宋体" w:cs="宋体"/>
                      <w:kern w:val="0"/>
                      <w:szCs w:val="21"/>
                    </w:rPr>
                    <w:t>符合</w:t>
                  </w:r>
                </w:p>
              </w:tc>
            </w:tr>
            <w:tr>
              <w:trPr>
                <w:trHeight w:val="232" w:hRule="atLeast"/>
                <w:jc w:val="center"/>
              </w:trPr>
              <w:tc>
                <w:tcPr>
                  <w:tcW w:w="398" w:type="dxa"/>
                  <w:vMerge w:val="continue"/>
                  <w:vAlign w:val="center"/>
                </w:tcPr>
                <w:p>
                  <w:pPr>
                    <w:autoSpaceDE w:val="0"/>
                    <w:autoSpaceDN w:val="0"/>
                    <w:jc w:val="center"/>
                    <w:rPr>
                      <w:kern w:val="0"/>
                      <w:szCs w:val="21"/>
                    </w:rPr>
                  </w:pPr>
                </w:p>
              </w:tc>
              <w:tc>
                <w:tcPr>
                  <w:tcW w:w="352" w:type="dxa"/>
                  <w:vMerge w:val="continue"/>
                  <w:vAlign w:val="center"/>
                </w:tcPr>
                <w:p>
                  <w:pPr>
                    <w:autoSpaceDE w:val="0"/>
                    <w:autoSpaceDN w:val="0"/>
                    <w:jc w:val="center"/>
                    <w:rPr>
                      <w:kern w:val="0"/>
                      <w:szCs w:val="21"/>
                    </w:rPr>
                  </w:pPr>
                </w:p>
              </w:tc>
              <w:tc>
                <w:tcPr>
                  <w:tcW w:w="2770" w:type="dxa"/>
                  <w:vAlign w:val="top"/>
                </w:tcPr>
                <w:p>
                  <w:pPr>
                    <w:autoSpaceDE w:val="0"/>
                    <w:autoSpaceDN w:val="0"/>
                    <w:rPr>
                      <w:kern w:val="0"/>
                      <w:szCs w:val="21"/>
                    </w:rPr>
                  </w:pPr>
                  <w:r>
                    <w:rPr>
                      <w:rFonts w:hint="eastAsia"/>
                      <w:kern w:val="0"/>
                      <w:szCs w:val="21"/>
                    </w:rPr>
                    <w:t>对于搬运、手工拆解、车辆运输等非机械噪声产生环节，宜采取可减少固体振动和碰撞过程噪声产生的管理措施，如使用手动运输车辆、车间地面涂刷防护地坪、使用软性传输装置等措施；加强工人的防噪声劳动保护措施，如使用耳塞等。</w:t>
                  </w:r>
                </w:p>
              </w:tc>
              <w:tc>
                <w:tcPr>
                  <w:tcW w:w="2585" w:type="dxa"/>
                  <w:vAlign w:val="top"/>
                </w:tcPr>
                <w:p>
                  <w:pPr>
                    <w:autoSpaceDE w:val="0"/>
                    <w:autoSpaceDN w:val="0"/>
                    <w:rPr>
                      <w:kern w:val="0"/>
                      <w:szCs w:val="21"/>
                    </w:rPr>
                  </w:pPr>
                  <w:r>
                    <w:rPr>
                      <w:rFonts w:hint="eastAsia"/>
                      <w:kern w:val="0"/>
                      <w:szCs w:val="21"/>
                    </w:rPr>
                    <w:t>项目严格作业规范，减少人工噪声产生，并加强工人的防噪声劳动保护，使用耳塞、头罩等。</w:t>
                  </w:r>
                </w:p>
              </w:tc>
              <w:tc>
                <w:tcPr>
                  <w:tcW w:w="687" w:type="dxa"/>
                  <w:vAlign w:val="center"/>
                </w:tcPr>
                <w:p>
                  <w:pPr>
                    <w:autoSpaceDE w:val="0"/>
                    <w:autoSpaceDN w:val="0"/>
                    <w:jc w:val="center"/>
                    <w:rPr>
                      <w:rFonts w:ascii="宋体" w:hAnsi="宋体" w:cs="宋体"/>
                      <w:kern w:val="0"/>
                      <w:szCs w:val="21"/>
                    </w:rPr>
                  </w:pPr>
                  <w:r>
                    <w:rPr>
                      <w:rFonts w:hint="eastAsia" w:ascii="宋体" w:hAnsi="宋体" w:cs="宋体"/>
                      <w:kern w:val="0"/>
                      <w:szCs w:val="21"/>
                    </w:rPr>
                    <w:t>符合</w:t>
                  </w:r>
                </w:p>
              </w:tc>
            </w:tr>
            <w:tr>
              <w:trPr>
                <w:trHeight w:val="232" w:hRule="atLeast"/>
                <w:jc w:val="center"/>
              </w:trPr>
              <w:tc>
                <w:tcPr>
                  <w:tcW w:w="398" w:type="dxa"/>
                  <w:vMerge w:val="continue"/>
                  <w:vAlign w:val="center"/>
                </w:tcPr>
                <w:p>
                  <w:pPr>
                    <w:autoSpaceDE w:val="0"/>
                    <w:autoSpaceDN w:val="0"/>
                    <w:jc w:val="center"/>
                    <w:rPr>
                      <w:kern w:val="0"/>
                      <w:szCs w:val="21"/>
                    </w:rPr>
                  </w:pPr>
                </w:p>
              </w:tc>
              <w:tc>
                <w:tcPr>
                  <w:tcW w:w="352" w:type="dxa"/>
                  <w:vAlign w:val="center"/>
                </w:tcPr>
                <w:p>
                  <w:pPr>
                    <w:autoSpaceDE w:val="0"/>
                    <w:autoSpaceDN w:val="0"/>
                    <w:jc w:val="center"/>
                    <w:rPr>
                      <w:kern w:val="0"/>
                      <w:szCs w:val="21"/>
                    </w:rPr>
                  </w:pPr>
                  <w:r>
                    <w:rPr>
                      <w:rFonts w:hint="eastAsia"/>
                      <w:kern w:val="0"/>
                      <w:szCs w:val="21"/>
                    </w:rPr>
                    <w:t>固体废物污染控制要求</w:t>
                  </w:r>
                </w:p>
              </w:tc>
              <w:tc>
                <w:tcPr>
                  <w:tcW w:w="2770" w:type="dxa"/>
                  <w:vAlign w:val="top"/>
                </w:tcPr>
                <w:p>
                  <w:pPr>
                    <w:autoSpaceDE w:val="0"/>
                    <w:autoSpaceDN w:val="0"/>
                    <w:rPr>
                      <w:kern w:val="0"/>
                      <w:szCs w:val="21"/>
                    </w:rPr>
                  </w:pPr>
                  <w:r>
                    <w:rPr>
                      <w:rFonts w:hint="eastAsia"/>
                      <w:kern w:val="0"/>
                      <w:szCs w:val="21"/>
                    </w:rPr>
                    <w:t>一般工业固体废物中不应混入危险废物。拆解过程中产生的一般工业固体废物应满足GB18599的其他相关要求；危险废物应满足GB18597中的其他相关要求。</w:t>
                  </w:r>
                </w:p>
              </w:tc>
              <w:tc>
                <w:tcPr>
                  <w:tcW w:w="2585" w:type="dxa"/>
                  <w:vAlign w:val="top"/>
                </w:tcPr>
                <w:p>
                  <w:pPr>
                    <w:autoSpaceDE w:val="0"/>
                    <w:autoSpaceDN w:val="0"/>
                    <w:rPr>
                      <w:kern w:val="0"/>
                      <w:szCs w:val="21"/>
                    </w:rPr>
                  </w:pPr>
                  <w:r>
                    <w:rPr>
                      <w:rFonts w:hint="eastAsia"/>
                      <w:kern w:val="0"/>
                      <w:szCs w:val="21"/>
                    </w:rPr>
                    <w:t xml:space="preserve">本项目拆解产物放存在拆解物存放区，危险废物分类贮存在危险废物暂存区，项目一般固废和危险废物不混合存放，项目一般固废贮存、处置将按 </w:t>
                  </w:r>
                  <w:r>
                    <w:rPr>
                      <w:kern w:val="0"/>
                      <w:szCs w:val="21"/>
                    </w:rPr>
                    <w:t>GB18599</w:t>
                  </w:r>
                  <w:r>
                    <w:rPr>
                      <w:rFonts w:hint="eastAsia"/>
                      <w:kern w:val="0"/>
                      <w:szCs w:val="21"/>
                    </w:rPr>
                    <w:t>相关要求进行，危险废物贮存、处置将按照</w:t>
                  </w:r>
                  <w:r>
                    <w:rPr>
                      <w:kern w:val="0"/>
                      <w:szCs w:val="21"/>
                    </w:rPr>
                    <w:t>GB18597</w:t>
                  </w:r>
                  <w:r>
                    <w:rPr>
                      <w:rFonts w:hint="eastAsia"/>
                      <w:kern w:val="0"/>
                      <w:szCs w:val="21"/>
                    </w:rPr>
                    <w:t>中相关要求进行。</w:t>
                  </w:r>
                </w:p>
              </w:tc>
              <w:tc>
                <w:tcPr>
                  <w:tcW w:w="687" w:type="dxa"/>
                  <w:vAlign w:val="center"/>
                </w:tcPr>
                <w:p>
                  <w:pPr>
                    <w:autoSpaceDE w:val="0"/>
                    <w:autoSpaceDN w:val="0"/>
                    <w:jc w:val="center"/>
                    <w:rPr>
                      <w:rFonts w:ascii="宋体" w:hAnsi="宋体" w:cs="宋体"/>
                      <w:kern w:val="0"/>
                      <w:szCs w:val="21"/>
                    </w:rPr>
                  </w:pPr>
                  <w:r>
                    <w:rPr>
                      <w:rFonts w:hint="eastAsia" w:ascii="宋体" w:hAnsi="宋体" w:cs="宋体"/>
                      <w:kern w:val="0"/>
                      <w:szCs w:val="21"/>
                    </w:rPr>
                    <w:t>符合</w:t>
                  </w:r>
                </w:p>
              </w:tc>
            </w:tr>
            <w:tr>
              <w:trPr>
                <w:trHeight w:val="232" w:hRule="atLeast"/>
                <w:jc w:val="center"/>
              </w:trPr>
              <w:tc>
                <w:tcPr>
                  <w:tcW w:w="398" w:type="dxa"/>
                  <w:vMerge w:val="restart"/>
                  <w:vAlign w:val="center"/>
                </w:tcPr>
                <w:p>
                  <w:pPr>
                    <w:autoSpaceDE w:val="0"/>
                    <w:autoSpaceDN w:val="0"/>
                    <w:jc w:val="center"/>
                    <w:rPr>
                      <w:kern w:val="0"/>
                      <w:szCs w:val="21"/>
                    </w:rPr>
                  </w:pPr>
                  <w:r>
                    <w:rPr>
                      <w:rFonts w:hint="eastAsia"/>
                      <w:kern w:val="0"/>
                      <w:szCs w:val="21"/>
                    </w:rPr>
                    <w:t>企业环境管理要求</w:t>
                  </w:r>
                </w:p>
              </w:tc>
              <w:tc>
                <w:tcPr>
                  <w:tcW w:w="352" w:type="dxa"/>
                  <w:vMerge w:val="restart"/>
                  <w:vAlign w:val="center"/>
                </w:tcPr>
                <w:p>
                  <w:pPr>
                    <w:autoSpaceDE w:val="0"/>
                    <w:autoSpaceDN w:val="0"/>
                    <w:jc w:val="center"/>
                    <w:rPr>
                      <w:kern w:val="0"/>
                      <w:szCs w:val="21"/>
                    </w:rPr>
                  </w:pPr>
                  <w:r>
                    <w:rPr>
                      <w:rFonts w:hint="eastAsia"/>
                      <w:kern w:val="0"/>
                      <w:szCs w:val="21"/>
                    </w:rPr>
                    <w:t>固体废物管理要求</w:t>
                  </w:r>
                </w:p>
              </w:tc>
              <w:tc>
                <w:tcPr>
                  <w:tcW w:w="2770" w:type="dxa"/>
                  <w:vAlign w:val="top"/>
                </w:tcPr>
                <w:p>
                  <w:pPr>
                    <w:autoSpaceDE w:val="0"/>
                    <w:autoSpaceDN w:val="0"/>
                    <w:rPr>
                      <w:kern w:val="0"/>
                      <w:szCs w:val="21"/>
                    </w:rPr>
                  </w:pPr>
                  <w:r>
                    <w:rPr>
                      <w:rFonts w:hint="eastAsia"/>
                      <w:kern w:val="0"/>
                      <w:szCs w:val="21"/>
                    </w:rPr>
                    <w:t>企业应建立、健全一般工业固体废物污染环境防治责任制度，采取以下措施防止造成环境污染：</w:t>
                  </w:r>
                </w:p>
                <w:p>
                  <w:pPr>
                    <w:autoSpaceDE w:val="0"/>
                    <w:autoSpaceDN w:val="0"/>
                    <w:rPr>
                      <w:kern w:val="0"/>
                      <w:szCs w:val="21"/>
                    </w:rPr>
                  </w:pPr>
                  <w:r>
                    <w:rPr>
                      <w:rFonts w:hint="eastAsia"/>
                      <w:kern w:val="0"/>
                      <w:szCs w:val="21"/>
                    </w:rPr>
                    <w:t>①建立一般工业固体废物台账记录，应满足一般工业固体废物管理台账制定指南相关要求；</w:t>
                  </w:r>
                </w:p>
                <w:p>
                  <w:pPr>
                    <w:autoSpaceDE w:val="0"/>
                    <w:autoSpaceDN w:val="0"/>
                    <w:rPr>
                      <w:kern w:val="0"/>
                      <w:szCs w:val="21"/>
                    </w:rPr>
                  </w:pPr>
                  <w:r>
                    <w:rPr>
                      <w:rFonts w:hint="eastAsia"/>
                      <w:kern w:val="0"/>
                      <w:szCs w:val="21"/>
                    </w:rPr>
                    <w:t>②分类收集后贮存应设置标识标签，注明拆解产物的名称、贮存时间、数量等信息；贮存过程应采取防止货物和包装损坏或泄漏。</w:t>
                  </w:r>
                </w:p>
              </w:tc>
              <w:tc>
                <w:tcPr>
                  <w:tcW w:w="2585" w:type="dxa"/>
                  <w:vAlign w:val="top"/>
                </w:tcPr>
                <w:p>
                  <w:pPr>
                    <w:autoSpaceDE w:val="0"/>
                    <w:autoSpaceDN w:val="0"/>
                    <w:rPr>
                      <w:kern w:val="0"/>
                      <w:szCs w:val="21"/>
                    </w:rPr>
                  </w:pPr>
                  <w:r>
                    <w:rPr>
                      <w:rFonts w:hint="eastAsia"/>
                      <w:kern w:val="0"/>
                      <w:szCs w:val="21"/>
                    </w:rPr>
                    <w:t>项目将按照规范要求建立、健全一般工业固体废物污染环境防治责任制度，建立台账，设置标识标签，注明相关信息，贮存过程轻拿轻放，定期检查包装，防止货物和包装损坏或泄漏。</w:t>
                  </w:r>
                </w:p>
              </w:tc>
              <w:tc>
                <w:tcPr>
                  <w:tcW w:w="687" w:type="dxa"/>
                  <w:vAlign w:val="center"/>
                </w:tcPr>
                <w:p>
                  <w:pPr>
                    <w:autoSpaceDE w:val="0"/>
                    <w:autoSpaceDN w:val="0"/>
                    <w:jc w:val="center"/>
                    <w:rPr>
                      <w:rFonts w:ascii="宋体" w:hAnsi="宋体" w:cs="宋体"/>
                      <w:kern w:val="0"/>
                      <w:szCs w:val="21"/>
                    </w:rPr>
                  </w:pPr>
                  <w:r>
                    <w:rPr>
                      <w:rFonts w:hint="eastAsia" w:ascii="宋体" w:hAnsi="宋体" w:cs="宋体"/>
                      <w:kern w:val="0"/>
                      <w:szCs w:val="21"/>
                    </w:rPr>
                    <w:t>符合</w:t>
                  </w:r>
                </w:p>
              </w:tc>
            </w:tr>
            <w:tr>
              <w:trPr>
                <w:trHeight w:val="232" w:hRule="atLeast"/>
                <w:jc w:val="center"/>
              </w:trPr>
              <w:tc>
                <w:tcPr>
                  <w:tcW w:w="398" w:type="dxa"/>
                  <w:vMerge w:val="continue"/>
                  <w:vAlign w:val="center"/>
                </w:tcPr>
                <w:p>
                  <w:pPr>
                    <w:autoSpaceDE w:val="0"/>
                    <w:autoSpaceDN w:val="0"/>
                    <w:jc w:val="center"/>
                    <w:rPr>
                      <w:kern w:val="0"/>
                      <w:szCs w:val="21"/>
                    </w:rPr>
                  </w:pPr>
                </w:p>
              </w:tc>
              <w:tc>
                <w:tcPr>
                  <w:tcW w:w="352" w:type="dxa"/>
                  <w:vMerge w:val="continue"/>
                  <w:vAlign w:val="top"/>
                </w:tcPr>
                <w:p>
                  <w:pPr>
                    <w:autoSpaceDE w:val="0"/>
                    <w:autoSpaceDN w:val="0"/>
                    <w:rPr>
                      <w:kern w:val="0"/>
                      <w:szCs w:val="21"/>
                    </w:rPr>
                  </w:pPr>
                </w:p>
              </w:tc>
              <w:tc>
                <w:tcPr>
                  <w:tcW w:w="2770" w:type="dxa"/>
                  <w:vAlign w:val="top"/>
                </w:tcPr>
                <w:p>
                  <w:pPr>
                    <w:autoSpaceDE w:val="0"/>
                    <w:autoSpaceDN w:val="0"/>
                    <w:rPr>
                      <w:kern w:val="0"/>
                      <w:szCs w:val="21"/>
                    </w:rPr>
                  </w:pPr>
                  <w:r>
                    <w:rPr>
                      <w:rFonts w:hint="eastAsia"/>
                      <w:kern w:val="0"/>
                      <w:szCs w:val="21"/>
                    </w:rPr>
                    <w:t>企业应建立、健全污染环境防治责任制度，采取以下措施严格控制危险废物造成环境污染：</w:t>
                  </w:r>
                </w:p>
                <w:p>
                  <w:pPr>
                    <w:autoSpaceDE w:val="0"/>
                    <w:autoSpaceDN w:val="0"/>
                    <w:rPr>
                      <w:kern w:val="0"/>
                      <w:szCs w:val="21"/>
                    </w:rPr>
                  </w:pPr>
                  <w:r>
                    <w:rPr>
                      <w:rFonts w:hint="eastAsia"/>
                      <w:kern w:val="0"/>
                      <w:szCs w:val="21"/>
                    </w:rPr>
                    <w:t>①制定危险废物管理计划和建立危险废物台账记录，应满足HJ1259相关要求；</w:t>
                  </w:r>
                </w:p>
                <w:p>
                  <w:pPr>
                    <w:autoSpaceDE w:val="0"/>
                    <w:autoSpaceDN w:val="0"/>
                    <w:rPr>
                      <w:kern w:val="0"/>
                      <w:szCs w:val="21"/>
                    </w:rPr>
                  </w:pPr>
                  <w:r>
                    <w:rPr>
                      <w:rFonts w:hint="eastAsia"/>
                      <w:kern w:val="0"/>
                      <w:szCs w:val="21"/>
                    </w:rPr>
                    <w:t>②交由持有危险废物经营许可证并具有相关经营范围的企业进行处理，并签订委托处理合同；</w:t>
                  </w:r>
                </w:p>
                <w:p>
                  <w:pPr>
                    <w:autoSpaceDE w:val="0"/>
                    <w:autoSpaceDN w:val="0"/>
                    <w:rPr>
                      <w:kern w:val="0"/>
                      <w:szCs w:val="21"/>
                    </w:rPr>
                  </w:pPr>
                  <w:r>
                    <w:rPr>
                      <w:rFonts w:hint="eastAsia"/>
                      <w:kern w:val="0"/>
                      <w:szCs w:val="21"/>
                    </w:rPr>
                    <w:t>③拆解过程产生的固体废物危险特性不明时，按照相关要求开展危险废物鉴别工作；</w:t>
                  </w:r>
                </w:p>
                <w:p>
                  <w:pPr>
                    <w:autoSpaceDE w:val="0"/>
                    <w:autoSpaceDN w:val="0"/>
                    <w:rPr>
                      <w:kern w:val="0"/>
                      <w:szCs w:val="21"/>
                    </w:rPr>
                  </w:pPr>
                  <w:r>
                    <w:rPr>
                      <w:rFonts w:hint="eastAsia"/>
                      <w:kern w:val="0"/>
                      <w:szCs w:val="21"/>
                    </w:rPr>
                    <w:t>④转移危险废物时，应严格执行《危险废物转移管理办法》有关要求。</w:t>
                  </w:r>
                </w:p>
              </w:tc>
              <w:tc>
                <w:tcPr>
                  <w:tcW w:w="2585" w:type="dxa"/>
                  <w:vAlign w:val="top"/>
                </w:tcPr>
                <w:p>
                  <w:pPr>
                    <w:autoSpaceDE w:val="0"/>
                    <w:autoSpaceDN w:val="0"/>
                    <w:rPr>
                      <w:kern w:val="0"/>
                      <w:szCs w:val="21"/>
                    </w:rPr>
                  </w:pPr>
                  <w:r>
                    <w:rPr>
                      <w:rFonts w:hint="eastAsia"/>
                      <w:kern w:val="0"/>
                      <w:szCs w:val="21"/>
                    </w:rPr>
                    <w:t>项目将按照相关要求，建立、健全污染环境防治责任制度，严格控制危险废物造成环境污染，按</w:t>
                  </w:r>
                  <w:r>
                    <w:rPr>
                      <w:kern w:val="0"/>
                      <w:szCs w:val="21"/>
                    </w:rPr>
                    <w:t>HJ1259</w:t>
                  </w:r>
                  <w:r>
                    <w:rPr>
                      <w:rFonts w:hint="eastAsia"/>
                      <w:kern w:val="0"/>
                      <w:szCs w:val="21"/>
                    </w:rPr>
                    <w:t>要求制定危废管理计划和台账，与资质单位签订协议，危险废物定期委托资质单位清运处置，并按《危险废物转移管理办法》有关要求转移危废。本项目不需要鉴别固体废物。</w:t>
                  </w:r>
                </w:p>
              </w:tc>
              <w:tc>
                <w:tcPr>
                  <w:tcW w:w="687" w:type="dxa"/>
                  <w:vAlign w:val="center"/>
                </w:tcPr>
                <w:p>
                  <w:pPr>
                    <w:autoSpaceDE w:val="0"/>
                    <w:autoSpaceDN w:val="0"/>
                    <w:rPr>
                      <w:kern w:val="0"/>
                      <w:szCs w:val="21"/>
                    </w:rPr>
                  </w:pPr>
                  <w:r>
                    <w:rPr>
                      <w:rFonts w:hint="eastAsia"/>
                      <w:kern w:val="0"/>
                      <w:szCs w:val="21"/>
                    </w:rPr>
                    <w:t>符合</w:t>
                  </w:r>
                </w:p>
              </w:tc>
            </w:tr>
            <w:tr>
              <w:trPr>
                <w:trHeight w:val="232" w:hRule="atLeast"/>
                <w:jc w:val="center"/>
              </w:trPr>
              <w:tc>
                <w:tcPr>
                  <w:tcW w:w="398" w:type="dxa"/>
                  <w:vMerge w:val="continue"/>
                  <w:vAlign w:val="center"/>
                </w:tcPr>
                <w:p>
                  <w:pPr>
                    <w:autoSpaceDE w:val="0"/>
                    <w:autoSpaceDN w:val="0"/>
                    <w:jc w:val="center"/>
                    <w:rPr>
                      <w:kern w:val="0"/>
                      <w:szCs w:val="21"/>
                    </w:rPr>
                  </w:pPr>
                </w:p>
              </w:tc>
              <w:tc>
                <w:tcPr>
                  <w:tcW w:w="352" w:type="dxa"/>
                  <w:vMerge w:val="restart"/>
                  <w:vAlign w:val="center"/>
                </w:tcPr>
                <w:p>
                  <w:pPr>
                    <w:autoSpaceDE w:val="0"/>
                    <w:autoSpaceDN w:val="0"/>
                    <w:jc w:val="center"/>
                    <w:rPr>
                      <w:kern w:val="0"/>
                      <w:szCs w:val="21"/>
                    </w:rPr>
                  </w:pPr>
                  <w:r>
                    <w:rPr>
                      <w:rFonts w:hint="eastAsia"/>
                      <w:kern w:val="0"/>
                      <w:szCs w:val="21"/>
                    </w:rPr>
                    <w:t>环境监测要求</w:t>
                  </w:r>
                </w:p>
              </w:tc>
              <w:tc>
                <w:tcPr>
                  <w:tcW w:w="2770" w:type="dxa"/>
                  <w:vAlign w:val="top"/>
                </w:tcPr>
                <w:p>
                  <w:pPr>
                    <w:autoSpaceDE w:val="0"/>
                    <w:autoSpaceDN w:val="0"/>
                    <w:rPr>
                      <w:kern w:val="0"/>
                      <w:szCs w:val="21"/>
                    </w:rPr>
                  </w:pPr>
                  <w:r>
                    <w:rPr>
                      <w:rFonts w:hint="eastAsia"/>
                      <w:kern w:val="0"/>
                      <w:szCs w:val="21"/>
                    </w:rPr>
                    <w:t>报废机动车回收拆解企业应按照HJ819等规定，建立企业监测制度，制定自行监测方案，对污染物排放状况及其周边环境质量的影响开展自行监测，保存原始监测记录，并公布监测结果，监测报告记录应至少保存3年。</w:t>
                  </w:r>
                </w:p>
              </w:tc>
              <w:tc>
                <w:tcPr>
                  <w:tcW w:w="2585" w:type="dxa"/>
                  <w:vAlign w:val="top"/>
                </w:tcPr>
                <w:p>
                  <w:pPr>
                    <w:autoSpaceDE w:val="0"/>
                    <w:autoSpaceDN w:val="0"/>
                    <w:rPr>
                      <w:kern w:val="0"/>
                      <w:szCs w:val="21"/>
                    </w:rPr>
                  </w:pPr>
                  <w:r>
                    <w:rPr>
                      <w:rFonts w:hint="eastAsia"/>
                      <w:kern w:val="0"/>
                      <w:szCs w:val="21"/>
                    </w:rPr>
                    <w:t>营运期按照HJ819等规范建立自行监测制度，公开监测结果等信息。</w:t>
                  </w:r>
                </w:p>
              </w:tc>
              <w:tc>
                <w:tcPr>
                  <w:tcW w:w="687" w:type="dxa"/>
                  <w:vAlign w:val="center"/>
                </w:tcPr>
                <w:p>
                  <w:pPr>
                    <w:autoSpaceDE w:val="0"/>
                    <w:autoSpaceDN w:val="0"/>
                    <w:jc w:val="center"/>
                    <w:rPr>
                      <w:rFonts w:ascii="宋体" w:hAnsi="宋体" w:cs="宋体"/>
                      <w:kern w:val="0"/>
                      <w:szCs w:val="21"/>
                    </w:rPr>
                  </w:pPr>
                  <w:r>
                    <w:rPr>
                      <w:rFonts w:hint="eastAsia" w:ascii="宋体" w:hAnsi="宋体" w:cs="宋体"/>
                      <w:kern w:val="0"/>
                      <w:szCs w:val="21"/>
                    </w:rPr>
                    <w:t>符合</w:t>
                  </w:r>
                </w:p>
              </w:tc>
            </w:tr>
            <w:tr>
              <w:trPr>
                <w:trHeight w:val="232" w:hRule="atLeast"/>
                <w:jc w:val="center"/>
              </w:trPr>
              <w:tc>
                <w:tcPr>
                  <w:tcW w:w="398" w:type="dxa"/>
                  <w:vMerge w:val="continue"/>
                  <w:vAlign w:val="center"/>
                </w:tcPr>
                <w:p>
                  <w:pPr>
                    <w:autoSpaceDE w:val="0"/>
                    <w:autoSpaceDN w:val="0"/>
                    <w:jc w:val="center"/>
                    <w:rPr>
                      <w:kern w:val="0"/>
                      <w:szCs w:val="21"/>
                    </w:rPr>
                  </w:pPr>
                </w:p>
              </w:tc>
              <w:tc>
                <w:tcPr>
                  <w:tcW w:w="352" w:type="dxa"/>
                  <w:vMerge w:val="continue"/>
                  <w:vAlign w:val="center"/>
                </w:tcPr>
                <w:p>
                  <w:pPr>
                    <w:autoSpaceDE w:val="0"/>
                    <w:autoSpaceDN w:val="0"/>
                    <w:jc w:val="center"/>
                    <w:rPr>
                      <w:kern w:val="0"/>
                      <w:szCs w:val="21"/>
                    </w:rPr>
                  </w:pPr>
                </w:p>
              </w:tc>
              <w:tc>
                <w:tcPr>
                  <w:tcW w:w="2770" w:type="dxa"/>
                  <w:vAlign w:val="top"/>
                </w:tcPr>
                <w:p>
                  <w:pPr>
                    <w:autoSpaceDE w:val="0"/>
                    <w:autoSpaceDN w:val="0"/>
                    <w:rPr>
                      <w:kern w:val="0"/>
                      <w:szCs w:val="21"/>
                    </w:rPr>
                  </w:pPr>
                  <w:r>
                    <w:rPr>
                      <w:rFonts w:hint="eastAsia"/>
                      <w:kern w:val="0"/>
                      <w:szCs w:val="21"/>
                    </w:rPr>
                    <w:t>自行监测方案应包括企业基本情况、监测点位、监测频次、监测指标（含特征污染物）、执行排放标准及其限值、监测方法和仪器、监测质量控制、监测点位示意图、监测结果信息公开时限、应急监测方案等。</w:t>
                  </w:r>
                </w:p>
              </w:tc>
              <w:tc>
                <w:tcPr>
                  <w:tcW w:w="2585" w:type="dxa"/>
                  <w:vAlign w:val="top"/>
                </w:tcPr>
                <w:p>
                  <w:pPr>
                    <w:autoSpaceDE w:val="0"/>
                    <w:autoSpaceDN w:val="0"/>
                    <w:rPr>
                      <w:kern w:val="0"/>
                      <w:szCs w:val="21"/>
                    </w:rPr>
                  </w:pPr>
                  <w:r>
                    <w:rPr>
                      <w:rFonts w:hint="eastAsia"/>
                      <w:kern w:val="0"/>
                      <w:szCs w:val="21"/>
                    </w:rPr>
                    <w:t>营运期按照HJ819等规范建立自行监测方案，公开监测结果等信息。</w:t>
                  </w:r>
                </w:p>
              </w:tc>
              <w:tc>
                <w:tcPr>
                  <w:tcW w:w="687" w:type="dxa"/>
                  <w:vAlign w:val="center"/>
                </w:tcPr>
                <w:p>
                  <w:pPr>
                    <w:autoSpaceDE w:val="0"/>
                    <w:autoSpaceDN w:val="0"/>
                    <w:jc w:val="center"/>
                    <w:rPr>
                      <w:rFonts w:ascii="宋体" w:hAnsi="宋体" w:cs="宋体"/>
                      <w:kern w:val="0"/>
                      <w:szCs w:val="21"/>
                    </w:rPr>
                  </w:pPr>
                  <w:r>
                    <w:rPr>
                      <w:rFonts w:hint="eastAsia" w:ascii="宋体" w:hAnsi="宋体" w:cs="宋体"/>
                      <w:kern w:val="0"/>
                      <w:szCs w:val="21"/>
                    </w:rPr>
                    <w:t>符合</w:t>
                  </w:r>
                </w:p>
              </w:tc>
            </w:tr>
            <w:tr>
              <w:trPr>
                <w:trHeight w:val="232" w:hRule="atLeast"/>
                <w:jc w:val="center"/>
              </w:trPr>
              <w:tc>
                <w:tcPr>
                  <w:tcW w:w="398" w:type="dxa"/>
                  <w:vMerge w:val="continue"/>
                  <w:vAlign w:val="center"/>
                </w:tcPr>
                <w:p>
                  <w:pPr>
                    <w:autoSpaceDE w:val="0"/>
                    <w:autoSpaceDN w:val="0"/>
                    <w:jc w:val="center"/>
                    <w:rPr>
                      <w:kern w:val="0"/>
                      <w:szCs w:val="21"/>
                    </w:rPr>
                  </w:pPr>
                </w:p>
              </w:tc>
              <w:tc>
                <w:tcPr>
                  <w:tcW w:w="352" w:type="dxa"/>
                  <w:vMerge w:val="continue"/>
                  <w:vAlign w:val="center"/>
                </w:tcPr>
                <w:p>
                  <w:pPr>
                    <w:autoSpaceDE w:val="0"/>
                    <w:autoSpaceDN w:val="0"/>
                    <w:jc w:val="center"/>
                    <w:rPr>
                      <w:kern w:val="0"/>
                      <w:szCs w:val="21"/>
                    </w:rPr>
                  </w:pPr>
                </w:p>
              </w:tc>
              <w:tc>
                <w:tcPr>
                  <w:tcW w:w="2770" w:type="dxa"/>
                  <w:vAlign w:val="top"/>
                </w:tcPr>
                <w:p>
                  <w:pPr>
                    <w:autoSpaceDE w:val="0"/>
                    <w:autoSpaceDN w:val="0"/>
                    <w:rPr>
                      <w:kern w:val="0"/>
                      <w:szCs w:val="21"/>
                    </w:rPr>
                  </w:pPr>
                  <w:r>
                    <w:rPr>
                      <w:rFonts w:hint="eastAsia"/>
                      <w:kern w:val="0"/>
                      <w:szCs w:val="21"/>
                    </w:rPr>
                    <w:t>报废机动车回收拆解企业不具备自行监测能力的，应委托具有监测服务资质的单位监测。</w:t>
                  </w:r>
                </w:p>
              </w:tc>
              <w:tc>
                <w:tcPr>
                  <w:tcW w:w="2585" w:type="dxa"/>
                  <w:vAlign w:val="top"/>
                </w:tcPr>
                <w:p>
                  <w:pPr>
                    <w:autoSpaceDE w:val="0"/>
                    <w:autoSpaceDN w:val="0"/>
                    <w:rPr>
                      <w:kern w:val="0"/>
                      <w:szCs w:val="21"/>
                    </w:rPr>
                  </w:pPr>
                  <w:r>
                    <w:rPr>
                      <w:rFonts w:hint="eastAsia"/>
                      <w:kern w:val="0"/>
                      <w:szCs w:val="21"/>
                    </w:rPr>
                    <w:t>营运期建设单位委托第三方有资质单位相关监测事宜。</w:t>
                  </w:r>
                </w:p>
              </w:tc>
              <w:tc>
                <w:tcPr>
                  <w:tcW w:w="687" w:type="dxa"/>
                  <w:vAlign w:val="center"/>
                </w:tcPr>
                <w:p>
                  <w:pPr>
                    <w:autoSpaceDE w:val="0"/>
                    <w:autoSpaceDN w:val="0"/>
                    <w:jc w:val="center"/>
                    <w:rPr>
                      <w:rFonts w:ascii="宋体" w:hAnsi="宋体" w:cs="宋体"/>
                      <w:kern w:val="0"/>
                      <w:szCs w:val="21"/>
                    </w:rPr>
                  </w:pPr>
                  <w:r>
                    <w:rPr>
                      <w:rFonts w:hint="eastAsia" w:ascii="宋体" w:hAnsi="宋体" w:cs="宋体"/>
                      <w:kern w:val="0"/>
                      <w:szCs w:val="21"/>
                    </w:rPr>
                    <w:t>符合</w:t>
                  </w:r>
                </w:p>
              </w:tc>
            </w:tr>
            <w:tr>
              <w:trPr>
                <w:trHeight w:val="232" w:hRule="atLeast"/>
                <w:jc w:val="center"/>
              </w:trPr>
              <w:tc>
                <w:tcPr>
                  <w:tcW w:w="398" w:type="dxa"/>
                  <w:vMerge w:val="continue"/>
                  <w:vAlign w:val="center"/>
                </w:tcPr>
                <w:p>
                  <w:pPr>
                    <w:autoSpaceDE w:val="0"/>
                    <w:autoSpaceDN w:val="0"/>
                    <w:jc w:val="center"/>
                    <w:rPr>
                      <w:kern w:val="0"/>
                      <w:szCs w:val="21"/>
                    </w:rPr>
                  </w:pPr>
                </w:p>
              </w:tc>
              <w:tc>
                <w:tcPr>
                  <w:tcW w:w="352" w:type="dxa"/>
                  <w:vAlign w:val="center"/>
                </w:tcPr>
                <w:p>
                  <w:pPr>
                    <w:autoSpaceDE w:val="0"/>
                    <w:autoSpaceDN w:val="0"/>
                    <w:jc w:val="center"/>
                    <w:rPr>
                      <w:kern w:val="0"/>
                      <w:szCs w:val="21"/>
                    </w:rPr>
                  </w:pPr>
                  <w:r>
                    <w:rPr>
                      <w:rFonts w:hint="eastAsia"/>
                      <w:kern w:val="0"/>
                      <w:szCs w:val="21"/>
                    </w:rPr>
                    <w:t>技术人员管理要求</w:t>
                  </w:r>
                </w:p>
              </w:tc>
              <w:tc>
                <w:tcPr>
                  <w:tcW w:w="2770" w:type="dxa"/>
                  <w:vAlign w:val="top"/>
                </w:tcPr>
                <w:p>
                  <w:pPr>
                    <w:autoSpaceDE w:val="0"/>
                    <w:autoSpaceDN w:val="0"/>
                    <w:rPr>
                      <w:kern w:val="0"/>
                      <w:szCs w:val="21"/>
                    </w:rPr>
                  </w:pPr>
                  <w:r>
                    <w:rPr>
                      <w:rFonts w:hint="eastAsia"/>
                      <w:kern w:val="0"/>
                      <w:szCs w:val="21"/>
                    </w:rPr>
                    <w:t>报废机动车回收拆解企业应对操作人员、技术人员及管理人员进行环境保护相关的法律法规、环境应急处理等理论知识和操作技能培训。培训应包含以下内容：</w:t>
                  </w:r>
                </w:p>
                <w:p>
                  <w:pPr>
                    <w:autoSpaceDE w:val="0"/>
                    <w:autoSpaceDN w:val="0"/>
                    <w:rPr>
                      <w:kern w:val="0"/>
                      <w:szCs w:val="21"/>
                    </w:rPr>
                  </w:pPr>
                  <w:r>
                    <w:rPr>
                      <w:rFonts w:hint="eastAsia"/>
                      <w:kern w:val="0"/>
                      <w:szCs w:val="21"/>
                    </w:rPr>
                    <w:t>①有关环境保护法律法规要求；</w:t>
                  </w:r>
                </w:p>
                <w:p>
                  <w:pPr>
                    <w:autoSpaceDE w:val="0"/>
                    <w:autoSpaceDN w:val="0"/>
                    <w:rPr>
                      <w:kern w:val="0"/>
                      <w:szCs w:val="21"/>
                    </w:rPr>
                  </w:pPr>
                  <w:r>
                    <w:rPr>
                      <w:rFonts w:hint="eastAsia"/>
                      <w:kern w:val="0"/>
                      <w:szCs w:val="21"/>
                    </w:rPr>
                    <w:t>②企业生产的工艺流程、污染物的产生环节和污染防治措施；</w:t>
                  </w:r>
                </w:p>
                <w:p>
                  <w:pPr>
                    <w:autoSpaceDE w:val="0"/>
                    <w:autoSpaceDN w:val="0"/>
                    <w:rPr>
                      <w:kern w:val="0"/>
                      <w:szCs w:val="21"/>
                    </w:rPr>
                  </w:pPr>
                  <w:r>
                    <w:rPr>
                      <w:rFonts w:hint="eastAsia"/>
                      <w:kern w:val="0"/>
                      <w:szCs w:val="21"/>
                    </w:rPr>
                    <w:t>③环境污染物的排放限值；</w:t>
                  </w:r>
                </w:p>
                <w:p>
                  <w:pPr>
                    <w:autoSpaceDE w:val="0"/>
                    <w:autoSpaceDN w:val="0"/>
                    <w:rPr>
                      <w:kern w:val="0"/>
                      <w:szCs w:val="21"/>
                    </w:rPr>
                  </w:pPr>
                  <w:r>
                    <w:rPr>
                      <w:rFonts w:hint="eastAsia"/>
                      <w:kern w:val="0"/>
                      <w:szCs w:val="21"/>
                    </w:rPr>
                    <w:t>④污染防治设备设施的运行维护要求；</w:t>
                  </w:r>
                </w:p>
                <w:p>
                  <w:pPr>
                    <w:autoSpaceDE w:val="0"/>
                    <w:autoSpaceDN w:val="0"/>
                    <w:rPr>
                      <w:kern w:val="0"/>
                      <w:szCs w:val="21"/>
                    </w:rPr>
                  </w:pPr>
                  <w:r>
                    <w:rPr>
                      <w:rFonts w:hint="eastAsia"/>
                      <w:kern w:val="0"/>
                      <w:szCs w:val="21"/>
                    </w:rPr>
                    <w:t>⑤发生突发环境事件的处理措施等；</w:t>
                  </w:r>
                </w:p>
              </w:tc>
              <w:tc>
                <w:tcPr>
                  <w:tcW w:w="2585" w:type="dxa"/>
                  <w:vAlign w:val="top"/>
                </w:tcPr>
                <w:p>
                  <w:pPr>
                    <w:autoSpaceDE w:val="0"/>
                    <w:autoSpaceDN w:val="0"/>
                    <w:rPr>
                      <w:kern w:val="0"/>
                      <w:szCs w:val="21"/>
                    </w:rPr>
                  </w:pPr>
                  <w:r>
                    <w:rPr>
                      <w:rFonts w:hint="eastAsia"/>
                      <w:kern w:val="0"/>
                      <w:szCs w:val="21"/>
                    </w:rPr>
                    <w:t>本项目已对操作人员、技术人员及管理人员提出相关法律法规、环境应急处理等理论知识和操作技能培训内容。</w:t>
                  </w:r>
                </w:p>
              </w:tc>
              <w:tc>
                <w:tcPr>
                  <w:tcW w:w="687" w:type="dxa"/>
                  <w:vAlign w:val="center"/>
                </w:tcPr>
                <w:p>
                  <w:pPr>
                    <w:autoSpaceDE w:val="0"/>
                    <w:autoSpaceDN w:val="0"/>
                    <w:jc w:val="center"/>
                    <w:rPr>
                      <w:rFonts w:ascii="宋体" w:hAnsi="宋体" w:cs="宋体"/>
                      <w:kern w:val="0"/>
                      <w:szCs w:val="21"/>
                    </w:rPr>
                  </w:pPr>
                  <w:r>
                    <w:rPr>
                      <w:rFonts w:hint="eastAsia" w:ascii="宋体" w:hAnsi="宋体" w:cs="宋体"/>
                      <w:kern w:val="0"/>
                      <w:szCs w:val="21"/>
                    </w:rPr>
                    <w:t>符合</w:t>
                  </w:r>
                </w:p>
              </w:tc>
            </w:tr>
            <w:tr>
              <w:trPr>
                <w:trHeight w:val="232" w:hRule="atLeast"/>
                <w:jc w:val="center"/>
              </w:trPr>
              <w:tc>
                <w:tcPr>
                  <w:tcW w:w="398" w:type="dxa"/>
                  <w:vMerge w:val="continue"/>
                  <w:vAlign w:val="center"/>
                </w:tcPr>
                <w:p>
                  <w:pPr>
                    <w:autoSpaceDE w:val="0"/>
                    <w:autoSpaceDN w:val="0"/>
                    <w:jc w:val="center"/>
                    <w:rPr>
                      <w:kern w:val="0"/>
                      <w:szCs w:val="21"/>
                    </w:rPr>
                  </w:pPr>
                </w:p>
              </w:tc>
              <w:tc>
                <w:tcPr>
                  <w:tcW w:w="352" w:type="dxa"/>
                  <w:vAlign w:val="center"/>
                </w:tcPr>
                <w:p>
                  <w:pPr>
                    <w:autoSpaceDE w:val="0"/>
                    <w:autoSpaceDN w:val="0"/>
                    <w:jc w:val="center"/>
                    <w:rPr>
                      <w:kern w:val="0"/>
                      <w:szCs w:val="21"/>
                    </w:rPr>
                  </w:pPr>
                  <w:r>
                    <w:rPr>
                      <w:rFonts w:hint="eastAsia"/>
                      <w:kern w:val="0"/>
                      <w:szCs w:val="21"/>
                    </w:rPr>
                    <w:t>突发环境事件应急预案</w:t>
                  </w:r>
                </w:p>
              </w:tc>
              <w:tc>
                <w:tcPr>
                  <w:tcW w:w="2770" w:type="dxa"/>
                  <w:vAlign w:val="top"/>
                </w:tcPr>
                <w:p>
                  <w:pPr>
                    <w:autoSpaceDE w:val="0"/>
                    <w:autoSpaceDN w:val="0"/>
                    <w:rPr>
                      <w:kern w:val="0"/>
                      <w:szCs w:val="21"/>
                    </w:rPr>
                  </w:pPr>
                  <w:r>
                    <w:rPr>
                      <w:rFonts w:hint="eastAsia"/>
                      <w:kern w:val="0"/>
                      <w:szCs w:val="21"/>
                    </w:rPr>
                    <w:t>报废机动车回收拆解企业应健全企业突发环境事件应对工作机制，包括编制突发环境事件应急预案、制定突发环境事件应急预案培训演练制度、定期开展培训演练等。发生突发环境事件时，企业立即启动相应突发环境事件应急预案，并按突发环境事件应急预案要求向生态环境等部门报告。</w:t>
                  </w:r>
                </w:p>
              </w:tc>
              <w:tc>
                <w:tcPr>
                  <w:tcW w:w="2585" w:type="dxa"/>
                  <w:vAlign w:val="top"/>
                </w:tcPr>
                <w:p>
                  <w:pPr>
                    <w:autoSpaceDE w:val="0"/>
                    <w:autoSpaceDN w:val="0"/>
                    <w:rPr>
                      <w:kern w:val="0"/>
                      <w:szCs w:val="21"/>
                    </w:rPr>
                  </w:pPr>
                  <w:r>
                    <w:rPr>
                      <w:rFonts w:hint="eastAsia"/>
                      <w:kern w:val="0"/>
                      <w:szCs w:val="21"/>
                    </w:rPr>
                    <w:t>建设单位在投产前编制突发环境事件应急预案，并在生态环境部门进行备案。</w:t>
                  </w:r>
                </w:p>
              </w:tc>
              <w:tc>
                <w:tcPr>
                  <w:tcW w:w="687" w:type="dxa"/>
                  <w:vAlign w:val="center"/>
                </w:tcPr>
                <w:p>
                  <w:pPr>
                    <w:autoSpaceDE w:val="0"/>
                    <w:autoSpaceDN w:val="0"/>
                    <w:jc w:val="center"/>
                    <w:rPr>
                      <w:rFonts w:ascii="宋体" w:hAnsi="宋体" w:cs="宋体"/>
                      <w:kern w:val="0"/>
                      <w:szCs w:val="21"/>
                    </w:rPr>
                  </w:pPr>
                  <w:r>
                    <w:rPr>
                      <w:rFonts w:hint="eastAsia" w:ascii="宋体" w:hAnsi="宋体" w:cs="宋体"/>
                      <w:kern w:val="0"/>
                      <w:szCs w:val="21"/>
                    </w:rPr>
                    <w:t>符合</w:t>
                  </w:r>
                </w:p>
              </w:tc>
            </w:tr>
          </w:tbl>
          <w:p>
            <w:pPr>
              <w:autoSpaceDE w:val="0"/>
              <w:autoSpaceDN w:val="0"/>
              <w:spacing w:line="360" w:lineRule="auto"/>
              <w:ind w:firstLine="480" w:firstLineChars="200"/>
              <w:rPr>
                <w:sz w:val="24"/>
              </w:rPr>
            </w:pPr>
            <w:r>
              <w:rPr>
                <w:rFonts w:hint="eastAsia"/>
                <w:sz w:val="24"/>
              </w:rPr>
              <w:t>由上表可知，本项目符合《报废机动车拆解企业污染控制技术规范》（HJ 348-2022）中相关要求。</w:t>
            </w:r>
          </w:p>
          <w:p>
            <w:pPr>
              <w:pStyle w:val="26"/>
              <w:ind w:firstLine="482"/>
              <w:rPr>
                <w:sz w:val="24"/>
              </w:rPr>
            </w:pPr>
          </w:p>
          <w:p>
            <w:pPr>
              <w:pStyle w:val="26"/>
              <w:ind w:firstLine="482"/>
              <w:rPr>
                <w:sz w:val="24"/>
              </w:rPr>
            </w:pPr>
          </w:p>
          <w:p>
            <w:pPr>
              <w:pStyle w:val="26"/>
              <w:ind w:firstLine="482"/>
              <w:rPr>
                <w:sz w:val="24"/>
              </w:rPr>
            </w:pPr>
          </w:p>
          <w:p>
            <w:pPr>
              <w:pStyle w:val="26"/>
              <w:ind w:firstLine="482"/>
              <w:rPr>
                <w:sz w:val="24"/>
              </w:rPr>
            </w:pPr>
          </w:p>
          <w:p>
            <w:pPr>
              <w:pStyle w:val="26"/>
              <w:ind w:firstLine="482"/>
              <w:rPr>
                <w:sz w:val="24"/>
              </w:rPr>
            </w:pPr>
          </w:p>
          <w:p>
            <w:pPr>
              <w:pStyle w:val="26"/>
              <w:ind w:firstLine="482"/>
              <w:rPr>
                <w:sz w:val="24"/>
              </w:rPr>
            </w:pPr>
          </w:p>
          <w:p>
            <w:pPr>
              <w:pStyle w:val="26"/>
              <w:ind w:firstLine="0" w:firstLineChars="0"/>
              <w:rPr>
                <w:sz w:val="24"/>
              </w:rPr>
            </w:pPr>
          </w:p>
        </w:tc>
      </w:tr>
    </w:tbl>
    <w:p>
      <w:pPr>
        <w:pStyle w:val="21"/>
        <w:spacing w:before="0" w:beforeAutospacing="0" w:after="0" w:afterAutospacing="0" w:line="360" w:lineRule="auto"/>
        <w:jc w:val="both"/>
        <w:outlineLvl w:val="0"/>
        <w:rPr>
          <w:rFonts w:ascii="黑体" w:hAnsi="黑体" w:eastAsia="黑体"/>
          <w:snapToGrid w:val="0"/>
          <w:sz w:val="30"/>
          <w:szCs w:val="30"/>
        </w:rPr>
      </w:pPr>
      <w:r>
        <w:rPr>
          <w:rFonts w:hint="eastAsia" w:ascii="黑体" w:hAnsi="黑体" w:eastAsia="黑体"/>
          <w:snapToGrid w:val="0"/>
          <w:sz w:val="30"/>
          <w:szCs w:val="30"/>
        </w:rPr>
        <w:br w:type="page"/>
      </w:r>
      <w:r>
        <w:rPr>
          <w:rFonts w:hint="eastAsia" w:ascii="黑体" w:hAnsi="黑体" w:eastAsia="黑体"/>
          <w:b/>
          <w:bCs/>
          <w:snapToGrid w:val="0"/>
          <w:sz w:val="30"/>
          <w:szCs w:val="30"/>
        </w:rPr>
        <w:t>二、建设项目工程分析</w:t>
      </w:r>
    </w:p>
    <w:tbl>
      <w:tblPr>
        <w:tblW w:w="9112"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left w:w="108" w:type="dxa"/>
          <w:right w:w="108" w:type="dxa"/>
        </w:tblCellMar>
      </w:tblPr>
      <w:tblGrid>
        <w:gridCol w:w="858"/>
        <w:gridCol w:w="8254"/>
      </w:tblGrid>
      <w:tr>
        <w:trPr>
          <w:trHeight w:val="90" w:hRule="atLeast"/>
          <w:jc w:val="center"/>
        </w:trPr>
        <w:tc>
          <w:tcPr>
            <w:tcW w:w="858" w:type="dxa"/>
            <w:vAlign w:val="center"/>
          </w:tcPr>
          <w:p>
            <w:pPr>
              <w:pStyle w:val="21"/>
              <w:widowControl w:val="0"/>
              <w:spacing w:before="0" w:beforeAutospacing="0" w:after="0" w:afterAutospacing="0" w:line="360" w:lineRule="auto"/>
              <w:jc w:val="center"/>
              <w:rPr>
                <w:rFonts w:cs="宋体"/>
                <w:szCs w:val="24"/>
              </w:rPr>
            </w:pPr>
            <w:r>
              <w:rPr>
                <w:rFonts w:hint="eastAsia" w:cs="宋体"/>
                <w:szCs w:val="24"/>
              </w:rPr>
              <w:t>建</w:t>
            </w:r>
          </w:p>
          <w:p>
            <w:pPr>
              <w:pStyle w:val="21"/>
              <w:widowControl w:val="0"/>
              <w:spacing w:before="0" w:beforeAutospacing="0" w:after="0" w:afterAutospacing="0" w:line="360" w:lineRule="auto"/>
              <w:jc w:val="center"/>
              <w:rPr>
                <w:rFonts w:cs="宋体"/>
                <w:szCs w:val="24"/>
              </w:rPr>
            </w:pPr>
            <w:r>
              <w:rPr>
                <w:rFonts w:hint="eastAsia" w:cs="宋体"/>
                <w:szCs w:val="24"/>
              </w:rPr>
              <w:t>设</w:t>
            </w:r>
          </w:p>
          <w:p>
            <w:pPr>
              <w:pStyle w:val="21"/>
              <w:widowControl w:val="0"/>
              <w:spacing w:before="0" w:beforeAutospacing="0" w:after="0" w:afterAutospacing="0" w:line="360" w:lineRule="auto"/>
              <w:jc w:val="center"/>
              <w:rPr>
                <w:rFonts w:cs="宋体"/>
                <w:szCs w:val="24"/>
              </w:rPr>
            </w:pPr>
            <w:r>
              <w:rPr>
                <w:rFonts w:hint="eastAsia" w:cs="宋体"/>
                <w:szCs w:val="24"/>
              </w:rPr>
              <w:t>内</w:t>
            </w:r>
          </w:p>
          <w:p>
            <w:pPr>
              <w:pStyle w:val="21"/>
              <w:widowControl w:val="0"/>
              <w:spacing w:before="0" w:beforeAutospacing="0" w:after="0" w:afterAutospacing="0" w:line="360" w:lineRule="auto"/>
              <w:jc w:val="center"/>
              <w:rPr>
                <w:rFonts w:cs="宋体"/>
                <w:szCs w:val="24"/>
              </w:rPr>
            </w:pPr>
            <w:r>
              <w:rPr>
                <w:rFonts w:hint="eastAsia" w:cs="宋体"/>
                <w:szCs w:val="24"/>
              </w:rPr>
              <w:t>容</w:t>
            </w:r>
          </w:p>
        </w:tc>
        <w:tc>
          <w:tcPr>
            <w:tcW w:w="8254" w:type="dxa"/>
            <w:vAlign w:val="top"/>
          </w:tcPr>
          <w:p>
            <w:pPr>
              <w:numPr>
                <w:ilvl w:val="0"/>
                <w:numId w:val="1"/>
              </w:numPr>
              <w:spacing w:line="480" w:lineRule="exact"/>
              <w:ind w:firstLine="480" w:firstLineChars="200"/>
              <w:rPr>
                <w:sz w:val="24"/>
              </w:rPr>
            </w:pPr>
            <w:r>
              <w:rPr>
                <w:rFonts w:hint="eastAsia"/>
                <w:sz w:val="24"/>
              </w:rPr>
              <w:t>项目由来</w:t>
            </w:r>
          </w:p>
          <w:p>
            <w:pPr>
              <w:spacing w:line="480" w:lineRule="exact"/>
              <w:ind w:firstLine="480" w:firstLineChars="200"/>
              <w:rPr>
                <w:sz w:val="24"/>
              </w:rPr>
            </w:pPr>
            <w:r>
              <w:rPr>
                <w:rFonts w:hint="eastAsia"/>
                <w:sz w:val="24"/>
              </w:rPr>
              <w:t>随着农业生产的机械化，农业机械报废量逐年增加。为了贯彻绿色发展理念，加快淘汰耗能高、污染重、安全性能低的老旧农机如拖拉机、联合收割机、水稻插秧机、机动喷雾（粉）机、机动脱粒机、饲料（草）粉碎机、草机等，促进农业机械装备结构优化调整和节能减排，国务院《关于加快推进农业机械化和农机装备产业转型升级的指导意见》国发〔2018〕42号，吉林省农业农村厅发布了《吉林省农业机械报废更新补贴工作实施方案》。为了发展农机拆解业务，积极响应地方政府号召，柳河县众诚报废农业机械拆解有限公司拟投资90万元建设报废农机拆解项目。</w:t>
            </w:r>
            <w:r>
              <w:rPr>
                <w:sz w:val="24"/>
              </w:rPr>
              <w:t>本项目属于《国民经济行业分类》（GB/T 4754-2017）中 C4210 金属废料和碎屑加工处理，核心为报废农机拆解及拆解产物分类收集、外委处置，不进行进一步加工，属于资源循环利用类项目。根据《建设项目环境影响评价分类管理名录》（2021 年版）</w:t>
            </w:r>
            <w:r>
              <w:rPr>
                <w:rFonts w:hint="eastAsia"/>
                <w:sz w:val="24"/>
              </w:rPr>
              <w:t>，本项目属于三十九、废弃资源综合利用业，应编制环境影响报告表。柳河县众诚报废农业机械拆解有限公司委托吉林省桓宇环境技术服务有限公司编制环境影响评价报告。</w:t>
            </w:r>
          </w:p>
          <w:p>
            <w:pPr>
              <w:spacing w:line="360" w:lineRule="auto"/>
              <w:ind w:firstLine="482" w:firstLineChars="200"/>
              <w:rPr>
                <w:b/>
                <w:sz w:val="24"/>
              </w:rPr>
            </w:pPr>
            <w:r>
              <w:rPr>
                <w:rFonts w:hint="eastAsia"/>
                <w:b/>
                <w:sz w:val="24"/>
              </w:rPr>
              <w:t>2、地理位置</w:t>
            </w:r>
          </w:p>
          <w:p>
            <w:pPr>
              <w:spacing w:line="360" w:lineRule="auto"/>
              <w:ind w:firstLine="480" w:firstLineChars="200"/>
              <w:rPr>
                <w:bCs/>
                <w:sz w:val="24"/>
              </w:rPr>
            </w:pPr>
            <w:r>
              <w:rPr>
                <w:rFonts w:hint="eastAsia"/>
                <w:bCs/>
                <w:sz w:val="24"/>
              </w:rPr>
              <w:t>本项目</w:t>
            </w:r>
            <w:r>
              <w:rPr>
                <w:bCs/>
                <w:sz w:val="24"/>
              </w:rPr>
              <w:t>位于</w:t>
            </w:r>
            <w:r>
              <w:rPr>
                <w:rFonts w:hint="eastAsia" w:ascii="宋体" w:hAnsi="宋体" w:cs="宋体"/>
                <w:sz w:val="24"/>
              </w:rPr>
              <w:t>吉林省通化市</w:t>
            </w:r>
            <w:r>
              <w:rPr>
                <w:rFonts w:hint="eastAsia"/>
                <w:sz w:val="24"/>
              </w:rPr>
              <w:t>柳河县柳河镇河北村</w:t>
            </w:r>
            <w:r>
              <w:rPr>
                <w:rFonts w:hint="eastAsia" w:ascii="宋体" w:hAnsi="宋体" w:cs="宋体"/>
                <w:sz w:val="24"/>
              </w:rPr>
              <w:t>，</w:t>
            </w:r>
            <w:r>
              <w:rPr>
                <w:rFonts w:hint="eastAsia"/>
                <w:sz w:val="24"/>
              </w:rPr>
              <w:t>租赁柳河县铸城建材有限公司闲置厂房进行建设，用地性质为工业用地。厂区</w:t>
            </w:r>
            <w:r>
              <w:rPr>
                <w:rFonts w:hint="eastAsia"/>
                <w:bCs/>
                <w:sz w:val="24"/>
              </w:rPr>
              <w:t>西侧为</w:t>
            </w:r>
            <w:r>
              <w:rPr>
                <w:rFonts w:hint="eastAsia" w:ascii="宋体" w:hAnsi="宋体" w:cs="宋体"/>
                <w:sz w:val="24"/>
              </w:rPr>
              <w:t>龙兴彩印包装有限公司</w:t>
            </w:r>
            <w:r>
              <w:rPr>
                <w:rFonts w:hint="eastAsia"/>
                <w:bCs/>
                <w:sz w:val="24"/>
              </w:rPr>
              <w:t>，东侧为中德农研鲜食玉米厂</w:t>
            </w:r>
            <w:r>
              <w:rPr>
                <w:rFonts w:hint="eastAsia"/>
                <w:sz w:val="24"/>
              </w:rPr>
              <w:t>（已停产多年，厂区内生产设备已拆除），南侧为恩海门窗厂，北侧隔柳西线为闲置厂房</w:t>
            </w:r>
            <w:r>
              <w:rPr>
                <w:rFonts w:hint="eastAsia"/>
                <w:bCs/>
                <w:sz w:val="24"/>
              </w:rPr>
              <w:t>。最近敏感点为东侧330m河北村。具体位置详见附图1。</w:t>
            </w:r>
          </w:p>
          <w:p>
            <w:pPr>
              <w:spacing w:line="360" w:lineRule="auto"/>
              <w:ind w:firstLine="482" w:firstLineChars="200"/>
              <w:rPr>
                <w:b/>
                <w:sz w:val="24"/>
              </w:rPr>
            </w:pPr>
            <w:r>
              <w:rPr>
                <w:rFonts w:hint="eastAsia"/>
                <w:b/>
                <w:sz w:val="24"/>
              </w:rPr>
              <w:t>3</w:t>
            </w:r>
            <w:r>
              <w:rPr>
                <w:b/>
                <w:sz w:val="24"/>
              </w:rPr>
              <w:t>、项目概况</w:t>
            </w:r>
          </w:p>
          <w:p>
            <w:pPr>
              <w:spacing w:line="360" w:lineRule="auto"/>
              <w:ind w:firstLine="480" w:firstLineChars="200"/>
              <w:rPr>
                <w:rFonts w:ascii="宋体" w:hAnsi="宋体" w:cs="宋体"/>
                <w:bCs/>
                <w:sz w:val="24"/>
              </w:rPr>
            </w:pPr>
            <w:r>
              <w:rPr>
                <w:rFonts w:hint="eastAsia" w:ascii="宋体" w:hAnsi="宋体" w:cs="宋体"/>
                <w:bCs/>
                <w:sz w:val="24"/>
              </w:rPr>
              <w:t>项目名称：</w:t>
            </w:r>
            <w:r>
              <w:rPr>
                <w:rFonts w:hint="eastAsia" w:ascii="宋体" w:hAnsi="宋体" w:cs="宋体"/>
                <w:sz w:val="24"/>
              </w:rPr>
              <w:t>柳河县众诚报废农业机械拆解有限公司建设项目</w:t>
            </w:r>
          </w:p>
          <w:p>
            <w:pPr>
              <w:spacing w:line="360" w:lineRule="auto"/>
              <w:ind w:firstLine="480" w:firstLineChars="200"/>
              <w:rPr>
                <w:rFonts w:ascii="宋体" w:hAnsi="宋体" w:cs="宋体"/>
                <w:bCs/>
                <w:sz w:val="24"/>
              </w:rPr>
            </w:pPr>
            <w:r>
              <w:rPr>
                <w:rFonts w:hint="eastAsia" w:ascii="宋体" w:hAnsi="宋体" w:cs="宋体"/>
                <w:bCs/>
                <w:sz w:val="24"/>
              </w:rPr>
              <w:t>建设性质：新建</w:t>
            </w:r>
          </w:p>
          <w:p>
            <w:pPr>
              <w:spacing w:line="360" w:lineRule="auto"/>
              <w:ind w:firstLine="480" w:firstLineChars="200"/>
              <w:rPr>
                <w:rFonts w:ascii="宋体" w:hAnsi="宋体" w:cs="宋体"/>
                <w:bCs/>
                <w:sz w:val="24"/>
              </w:rPr>
            </w:pPr>
            <w:r>
              <w:rPr>
                <w:rFonts w:hint="eastAsia" w:ascii="宋体" w:hAnsi="宋体" w:cs="宋体"/>
                <w:bCs/>
                <w:sz w:val="24"/>
              </w:rPr>
              <w:t>建设单位：</w:t>
            </w:r>
            <w:r>
              <w:rPr>
                <w:rFonts w:hint="eastAsia" w:ascii="宋体" w:hAnsi="宋体" w:cs="宋体"/>
                <w:sz w:val="24"/>
              </w:rPr>
              <w:t>柳河县众诚报废农业机械拆解有限公司</w:t>
            </w:r>
          </w:p>
          <w:p>
            <w:pPr>
              <w:spacing w:line="360" w:lineRule="auto"/>
              <w:ind w:firstLine="480" w:firstLineChars="200"/>
              <w:rPr>
                <w:rFonts w:ascii="宋体" w:hAnsi="宋体" w:cs="宋体"/>
                <w:bCs/>
                <w:sz w:val="24"/>
              </w:rPr>
            </w:pPr>
            <w:r>
              <w:rPr>
                <w:rFonts w:hint="eastAsia" w:ascii="宋体" w:hAnsi="宋体" w:cs="宋体"/>
                <w:bCs/>
                <w:sz w:val="24"/>
              </w:rPr>
              <w:t>用地性质：工业用地</w:t>
            </w:r>
          </w:p>
          <w:p>
            <w:pPr>
              <w:widowControl/>
              <w:spacing w:line="360" w:lineRule="auto"/>
              <w:ind w:firstLine="480" w:firstLineChars="200"/>
              <w:jc w:val="left"/>
              <w:rPr>
                <w:highlight w:val="yellow"/>
              </w:rPr>
            </w:pPr>
            <w:r>
              <w:rPr>
                <w:rFonts w:hint="eastAsia" w:ascii="宋体" w:hAnsi="宋体" w:cs="宋体"/>
                <w:bCs/>
                <w:sz w:val="24"/>
              </w:rPr>
              <w:t>建设规模：</w:t>
            </w:r>
            <w:r>
              <w:rPr>
                <w:rFonts w:hint="eastAsia" w:ascii="宋体" w:hAnsi="宋体" w:cs="宋体"/>
                <w:kern w:val="0"/>
                <w:sz w:val="24"/>
              </w:rPr>
              <w:t>根据建设单位调研，柳河县当地农机市场</w:t>
            </w:r>
            <w:r>
              <w:rPr>
                <w:rFonts w:ascii="宋体" w:hAnsi="宋体" w:cs="宋体"/>
                <w:kern w:val="0"/>
                <w:sz w:val="24"/>
              </w:rPr>
              <w:t>以拖拉机、联合收割机、插秧机、旋耕机、深松机、播种机、打药机等非电动自走式内燃机农机为主</w:t>
            </w:r>
            <w:r>
              <w:rPr>
                <w:rFonts w:hint="eastAsia" w:ascii="宋体" w:hAnsi="宋体" w:cs="宋体"/>
                <w:kern w:val="0"/>
                <w:sz w:val="24"/>
              </w:rPr>
              <w:t>，</w:t>
            </w:r>
            <w:r>
              <w:rPr>
                <w:rFonts w:ascii="宋体" w:hAnsi="宋体" w:cs="宋体"/>
                <w:kern w:val="0"/>
                <w:sz w:val="24"/>
              </w:rPr>
              <w:t xml:space="preserve">总保有量约 1.5～1.8 万台，年报废量 </w:t>
            </w:r>
            <w:r>
              <w:rPr>
                <w:rFonts w:hint="eastAsia" w:ascii="宋体" w:hAnsi="宋体" w:cs="宋体"/>
                <w:kern w:val="0"/>
                <w:sz w:val="24"/>
              </w:rPr>
              <w:t>7</w:t>
            </w:r>
            <w:r>
              <w:rPr>
                <w:rFonts w:ascii="宋体" w:hAnsi="宋体" w:cs="宋体"/>
                <w:kern w:val="0"/>
                <w:sz w:val="24"/>
              </w:rPr>
              <w:t>00～</w:t>
            </w:r>
            <w:r>
              <w:rPr>
                <w:rFonts w:hint="eastAsia" w:ascii="宋体" w:hAnsi="宋体" w:cs="宋体"/>
                <w:kern w:val="0"/>
                <w:sz w:val="24"/>
              </w:rPr>
              <w:t>18</w:t>
            </w:r>
            <w:r>
              <w:rPr>
                <w:rFonts w:ascii="宋体" w:hAnsi="宋体" w:cs="宋体"/>
                <w:kern w:val="0"/>
                <w:sz w:val="24"/>
              </w:rPr>
              <w:t>00 台，大中型拖拉机、玉米/稻麦收割机、水稻插秧机为报废拆解核心品类。</w:t>
            </w:r>
            <w:r>
              <w:rPr>
                <w:rFonts w:hint="eastAsia" w:ascii="宋体" w:hAnsi="宋体" w:cs="宋体"/>
                <w:kern w:val="0"/>
                <w:sz w:val="24"/>
              </w:rPr>
              <w:t>本项目预计年拆解各类报废农机75</w:t>
            </w:r>
            <w:r>
              <w:rPr>
                <w:kern w:val="0"/>
                <w:sz w:val="24"/>
              </w:rPr>
              <w:t>0</w:t>
            </w:r>
            <w:r>
              <w:rPr>
                <w:rFonts w:hint="eastAsia" w:ascii="宋体" w:hAnsi="宋体" w:cs="宋体"/>
                <w:kern w:val="0"/>
                <w:sz w:val="24"/>
              </w:rPr>
              <w:t>台，其中包括拖拉机250台，耕整机100台，播种机50台、玉米收割机150台，联合谷物收割机100台、其他农用机械100台。</w:t>
            </w:r>
          </w:p>
          <w:p>
            <w:pPr>
              <w:spacing w:line="360" w:lineRule="auto"/>
              <w:ind w:firstLine="482" w:firstLineChars="200"/>
              <w:rPr>
                <w:b/>
                <w:sz w:val="24"/>
              </w:rPr>
            </w:pPr>
            <w:r>
              <w:rPr>
                <w:rFonts w:hint="eastAsia"/>
                <w:b/>
                <w:sz w:val="24"/>
              </w:rPr>
              <w:t>4、工程内容</w:t>
            </w:r>
          </w:p>
          <w:p>
            <w:pPr>
              <w:spacing w:line="360" w:lineRule="auto"/>
              <w:ind w:firstLine="480" w:firstLineChars="200"/>
              <w:rPr>
                <w:bCs/>
                <w:sz w:val="24"/>
              </w:rPr>
            </w:pPr>
            <w:r>
              <w:rPr>
                <w:rFonts w:hint="eastAsia"/>
                <w:bCs/>
                <w:sz w:val="24"/>
              </w:rPr>
              <w:t>本项目用地性质为工业用地（详见附件）。具体建设内容详见表2-1。</w:t>
            </w:r>
          </w:p>
          <w:p>
            <w:pPr>
              <w:jc w:val="center"/>
              <w:rPr>
                <w:rFonts w:ascii="宋体" w:hAnsi="宋体" w:cs="宋体"/>
                <w:b/>
                <w:sz w:val="24"/>
              </w:rPr>
            </w:pPr>
            <w:r>
              <w:rPr>
                <w:rFonts w:hint="eastAsia" w:ascii="宋体" w:hAnsi="宋体" w:cs="宋体"/>
                <w:b/>
                <w:sz w:val="24"/>
              </w:rPr>
              <w:t>表2-1  工程内容一览表</w:t>
            </w:r>
          </w:p>
          <w:tbl>
            <w:tblPr>
              <w:tblW w:w="7888"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left w:w="108" w:type="dxa"/>
                <w:right w:w="108" w:type="dxa"/>
              </w:tblCellMar>
            </w:tblPr>
            <w:tblGrid>
              <w:gridCol w:w="1015"/>
              <w:gridCol w:w="1710"/>
              <w:gridCol w:w="4106"/>
              <w:gridCol w:w="1057"/>
            </w:tblGrid>
            <w:tr>
              <w:trPr>
                <w:trHeight w:val="398" w:hRule="atLeast"/>
                <w:jc w:val="center"/>
              </w:trPr>
              <w:tc>
                <w:tcPr>
                  <w:tcW w:w="1015" w:type="dxa"/>
                  <w:vAlign w:val="center"/>
                </w:tcPr>
                <w:p>
                  <w:pPr>
                    <w:pStyle w:val="41"/>
                    <w:adjustRightInd/>
                    <w:snapToGrid/>
                    <w:spacing w:line="240" w:lineRule="auto"/>
                    <w:rPr>
                      <w:rFonts w:ascii="Times New Roman" w:hAnsi="Times New Roman"/>
                      <w:b/>
                      <w:bCs/>
                      <w:i/>
                      <w:iCs/>
                      <w:sz w:val="21"/>
                      <w:u w:val="single"/>
                    </w:rPr>
                  </w:pPr>
                  <w:r>
                    <w:rPr>
                      <w:rFonts w:ascii="Times New Roman" w:hAnsi="Times New Roman"/>
                      <w:b/>
                      <w:bCs/>
                      <w:i/>
                      <w:iCs/>
                      <w:sz w:val="21"/>
                      <w:u w:val="single"/>
                    </w:rPr>
                    <w:t>工程组成</w:t>
                  </w:r>
                </w:p>
              </w:tc>
              <w:tc>
                <w:tcPr>
                  <w:tcW w:w="1710" w:type="dxa"/>
                  <w:vAlign w:val="center"/>
                </w:tcPr>
                <w:p>
                  <w:pPr>
                    <w:pStyle w:val="41"/>
                    <w:adjustRightInd/>
                    <w:snapToGrid/>
                    <w:spacing w:line="240" w:lineRule="auto"/>
                    <w:rPr>
                      <w:rFonts w:ascii="Times New Roman" w:hAnsi="Times New Roman"/>
                      <w:b/>
                      <w:bCs/>
                      <w:i/>
                      <w:iCs/>
                      <w:sz w:val="21"/>
                      <w:u w:val="single"/>
                    </w:rPr>
                  </w:pPr>
                  <w:r>
                    <w:rPr>
                      <w:rFonts w:ascii="Times New Roman" w:hAnsi="Times New Roman"/>
                      <w:b/>
                      <w:bCs/>
                      <w:i/>
                      <w:iCs/>
                      <w:sz w:val="21"/>
                      <w:u w:val="single"/>
                    </w:rPr>
                    <w:t>工程名称</w:t>
                  </w:r>
                </w:p>
              </w:tc>
              <w:tc>
                <w:tcPr>
                  <w:tcW w:w="4106" w:type="dxa"/>
                  <w:vAlign w:val="center"/>
                </w:tcPr>
                <w:p>
                  <w:pPr>
                    <w:pStyle w:val="41"/>
                    <w:adjustRightInd/>
                    <w:snapToGrid/>
                    <w:spacing w:line="240" w:lineRule="auto"/>
                    <w:rPr>
                      <w:rFonts w:ascii="Times New Roman" w:hAnsi="Times New Roman"/>
                      <w:b/>
                      <w:bCs/>
                      <w:i/>
                      <w:iCs/>
                      <w:sz w:val="21"/>
                      <w:u w:val="single"/>
                    </w:rPr>
                  </w:pPr>
                  <w:r>
                    <w:rPr>
                      <w:rFonts w:ascii="Times New Roman" w:hAnsi="Times New Roman"/>
                      <w:b/>
                      <w:bCs/>
                      <w:i/>
                      <w:iCs/>
                      <w:sz w:val="21"/>
                      <w:u w:val="single"/>
                    </w:rPr>
                    <w:t>工程内容</w:t>
                  </w:r>
                </w:p>
              </w:tc>
              <w:tc>
                <w:tcPr>
                  <w:tcW w:w="1057" w:type="dxa"/>
                  <w:vAlign w:val="center"/>
                </w:tcPr>
                <w:p>
                  <w:pPr>
                    <w:pStyle w:val="41"/>
                    <w:adjustRightInd/>
                    <w:snapToGrid/>
                    <w:spacing w:line="240" w:lineRule="auto"/>
                    <w:rPr>
                      <w:rFonts w:ascii="Times New Roman" w:hAnsi="Times New Roman"/>
                      <w:b/>
                      <w:bCs/>
                      <w:i/>
                      <w:iCs/>
                      <w:sz w:val="21"/>
                      <w:u w:val="single"/>
                    </w:rPr>
                  </w:pPr>
                  <w:r>
                    <w:rPr>
                      <w:rFonts w:ascii="Times New Roman" w:hAnsi="Times New Roman"/>
                      <w:b/>
                      <w:bCs/>
                      <w:i/>
                      <w:iCs/>
                      <w:sz w:val="21"/>
                      <w:u w:val="single"/>
                    </w:rPr>
                    <w:t>备注</w:t>
                  </w:r>
                </w:p>
              </w:tc>
            </w:tr>
            <w:tr>
              <w:trPr>
                <w:trHeight w:val="279" w:hRule="atLeast"/>
                <w:jc w:val="center"/>
              </w:trPr>
              <w:tc>
                <w:tcPr>
                  <w:tcW w:w="1015" w:type="dxa"/>
                  <w:vAlign w:val="center"/>
                </w:tcPr>
                <w:p>
                  <w:pPr>
                    <w:jc w:val="center"/>
                    <w:rPr>
                      <w:i/>
                      <w:iCs/>
                      <w:szCs w:val="21"/>
                      <w:u w:val="single"/>
                    </w:rPr>
                  </w:pPr>
                  <w:r>
                    <w:rPr>
                      <w:i/>
                      <w:iCs/>
                      <w:szCs w:val="21"/>
                      <w:u w:val="single"/>
                    </w:rPr>
                    <w:t>主体工程</w:t>
                  </w:r>
                </w:p>
              </w:tc>
              <w:tc>
                <w:tcPr>
                  <w:tcW w:w="1710" w:type="dxa"/>
                  <w:vAlign w:val="center"/>
                </w:tcPr>
                <w:p>
                  <w:pPr>
                    <w:jc w:val="center"/>
                    <w:rPr>
                      <w:i/>
                      <w:iCs/>
                      <w:szCs w:val="21"/>
                      <w:u w:val="single"/>
                    </w:rPr>
                  </w:pPr>
                  <w:r>
                    <w:rPr>
                      <w:rFonts w:hint="eastAsia"/>
                      <w:i/>
                      <w:iCs/>
                      <w:szCs w:val="21"/>
                      <w:u w:val="single"/>
                    </w:rPr>
                    <w:t>拆解车间</w:t>
                  </w:r>
                </w:p>
              </w:tc>
              <w:tc>
                <w:tcPr>
                  <w:tcW w:w="4106" w:type="dxa"/>
                  <w:vAlign w:val="center"/>
                </w:tcPr>
                <w:p>
                  <w:pPr>
                    <w:rPr>
                      <w:i/>
                      <w:iCs/>
                      <w:szCs w:val="21"/>
                      <w:u w:val="single"/>
                    </w:rPr>
                  </w:pPr>
                  <w:r>
                    <w:rPr>
                      <w:rFonts w:hint="eastAsia"/>
                      <w:i/>
                      <w:iCs/>
                      <w:szCs w:val="21"/>
                      <w:u w:val="single"/>
                    </w:rPr>
                    <w:t>利用现有厂房，建筑面积1208.15m</w:t>
                  </w:r>
                  <w:r>
                    <w:rPr>
                      <w:rFonts w:hint="eastAsia"/>
                      <w:i/>
                      <w:iCs/>
                      <w:szCs w:val="21"/>
                      <w:u w:val="single"/>
                      <w:vertAlign w:val="superscript"/>
                    </w:rPr>
                    <w:t>2</w:t>
                  </w:r>
                  <w:r>
                    <w:rPr>
                      <w:rFonts w:hint="eastAsia"/>
                      <w:i/>
                      <w:iCs/>
                      <w:szCs w:val="21"/>
                      <w:u w:val="single"/>
                    </w:rPr>
                    <w:t>，车间为钢制</w:t>
                  </w:r>
                  <w:r>
                    <w:rPr>
                      <w:i/>
                      <w:iCs/>
                      <w:szCs w:val="21"/>
                      <w:u w:val="single"/>
                    </w:rPr>
                    <w:t>结构</w:t>
                  </w:r>
                  <w:r>
                    <w:rPr>
                      <w:rFonts w:hint="eastAsia"/>
                      <w:i/>
                      <w:iCs/>
                      <w:szCs w:val="21"/>
                      <w:u w:val="single"/>
                    </w:rPr>
                    <w:t>，长约62.5m宽约19m，高度10m。</w:t>
                  </w:r>
                </w:p>
              </w:tc>
              <w:tc>
                <w:tcPr>
                  <w:tcW w:w="1057" w:type="dxa"/>
                  <w:vAlign w:val="center"/>
                </w:tcPr>
                <w:p>
                  <w:pPr>
                    <w:jc w:val="center"/>
                    <w:rPr>
                      <w:i/>
                      <w:iCs/>
                      <w:szCs w:val="21"/>
                      <w:u w:val="single"/>
                    </w:rPr>
                  </w:pPr>
                  <w:r>
                    <w:rPr>
                      <w:rFonts w:hint="eastAsia"/>
                      <w:i/>
                      <w:iCs/>
                      <w:szCs w:val="21"/>
                      <w:u w:val="single"/>
                    </w:rPr>
                    <w:t>利旧改造</w:t>
                  </w:r>
                </w:p>
              </w:tc>
            </w:tr>
            <w:tr>
              <w:trPr>
                <w:trHeight w:val="90" w:hRule="atLeast"/>
                <w:jc w:val="center"/>
              </w:trPr>
              <w:tc>
                <w:tcPr>
                  <w:tcW w:w="1015" w:type="dxa"/>
                  <w:vMerge w:val="restart"/>
                  <w:vAlign w:val="center"/>
                </w:tcPr>
                <w:p>
                  <w:pPr>
                    <w:jc w:val="center"/>
                    <w:rPr>
                      <w:i/>
                      <w:iCs/>
                      <w:szCs w:val="21"/>
                      <w:u w:val="single"/>
                    </w:rPr>
                  </w:pPr>
                  <w:r>
                    <w:rPr>
                      <w:rFonts w:hint="eastAsia"/>
                      <w:i/>
                      <w:iCs/>
                      <w:szCs w:val="21"/>
                      <w:u w:val="single"/>
                    </w:rPr>
                    <w:t>储运工程</w:t>
                  </w:r>
                </w:p>
              </w:tc>
              <w:tc>
                <w:tcPr>
                  <w:tcW w:w="1710" w:type="dxa"/>
                  <w:vAlign w:val="center"/>
                </w:tcPr>
                <w:p>
                  <w:pPr>
                    <w:jc w:val="center"/>
                    <w:rPr>
                      <w:i/>
                      <w:iCs/>
                      <w:szCs w:val="21"/>
                      <w:u w:val="single"/>
                    </w:rPr>
                  </w:pPr>
                  <w:r>
                    <w:rPr>
                      <w:rFonts w:hint="eastAsia"/>
                      <w:i/>
                      <w:iCs/>
                      <w:szCs w:val="21"/>
                      <w:u w:val="single"/>
                    </w:rPr>
                    <w:t>一般固体废物储存区</w:t>
                  </w:r>
                </w:p>
              </w:tc>
              <w:tc>
                <w:tcPr>
                  <w:tcW w:w="4106" w:type="dxa"/>
                  <w:vAlign w:val="center"/>
                </w:tcPr>
                <w:p>
                  <w:pPr>
                    <w:widowControl/>
                    <w:jc w:val="left"/>
                    <w:rPr>
                      <w:i/>
                      <w:iCs/>
                      <w:szCs w:val="21"/>
                      <w:u w:val="single"/>
                    </w:rPr>
                  </w:pPr>
                  <w:r>
                    <w:rPr>
                      <w:rFonts w:hint="eastAsia"/>
                      <w:i/>
                      <w:iCs/>
                      <w:szCs w:val="21"/>
                      <w:u w:val="single"/>
                    </w:rPr>
                    <w:t>占地面积200m</w:t>
                  </w:r>
                  <w:r>
                    <w:rPr>
                      <w:rFonts w:hint="eastAsia"/>
                      <w:i/>
                      <w:iCs/>
                      <w:szCs w:val="21"/>
                      <w:u w:val="single"/>
                      <w:vertAlign w:val="superscript"/>
                    </w:rPr>
                    <w:t>2</w:t>
                  </w:r>
                  <w:r>
                    <w:rPr>
                      <w:rFonts w:hint="eastAsia"/>
                      <w:i/>
                      <w:iCs/>
                      <w:szCs w:val="21"/>
                      <w:u w:val="single"/>
                    </w:rPr>
                    <w:t>，在拆解车间内布置。用于储存拆解产物中的一般固体废物。</w:t>
                  </w:r>
                </w:p>
              </w:tc>
              <w:tc>
                <w:tcPr>
                  <w:tcW w:w="1057" w:type="dxa"/>
                  <w:vAlign w:val="center"/>
                </w:tcPr>
                <w:p>
                  <w:pPr>
                    <w:jc w:val="center"/>
                    <w:rPr>
                      <w:i/>
                      <w:iCs/>
                      <w:szCs w:val="21"/>
                      <w:u w:val="single"/>
                    </w:rPr>
                  </w:pPr>
                  <w:r>
                    <w:rPr>
                      <w:rFonts w:hint="eastAsia"/>
                      <w:i/>
                      <w:iCs/>
                      <w:szCs w:val="21"/>
                      <w:u w:val="single"/>
                    </w:rPr>
                    <w:t>利旧改造</w:t>
                  </w:r>
                </w:p>
              </w:tc>
            </w:tr>
            <w:tr>
              <w:trPr>
                <w:trHeight w:val="684" w:hRule="atLeast"/>
                <w:jc w:val="center"/>
              </w:trPr>
              <w:tc>
                <w:tcPr>
                  <w:tcW w:w="1015" w:type="dxa"/>
                  <w:vMerge w:val="continue"/>
                  <w:vAlign w:val="center"/>
                </w:tcPr>
                <w:p>
                  <w:pPr>
                    <w:jc w:val="center"/>
                    <w:rPr>
                      <w:i/>
                      <w:iCs/>
                      <w:szCs w:val="21"/>
                      <w:u w:val="single"/>
                    </w:rPr>
                  </w:pPr>
                </w:p>
              </w:tc>
              <w:tc>
                <w:tcPr>
                  <w:tcW w:w="1710" w:type="dxa"/>
                  <w:vAlign w:val="center"/>
                </w:tcPr>
                <w:p>
                  <w:pPr>
                    <w:jc w:val="center"/>
                    <w:rPr>
                      <w:i/>
                      <w:iCs/>
                      <w:szCs w:val="21"/>
                      <w:u w:val="single"/>
                    </w:rPr>
                  </w:pPr>
                  <w:r>
                    <w:rPr>
                      <w:rFonts w:hint="eastAsia"/>
                      <w:i/>
                      <w:iCs/>
                      <w:szCs w:val="21"/>
                      <w:u w:val="single"/>
                    </w:rPr>
                    <w:t>危险废物储存区</w:t>
                  </w:r>
                </w:p>
              </w:tc>
              <w:tc>
                <w:tcPr>
                  <w:tcW w:w="4106" w:type="dxa"/>
                  <w:vAlign w:val="center"/>
                </w:tcPr>
                <w:p>
                  <w:pPr>
                    <w:widowControl/>
                    <w:jc w:val="left"/>
                    <w:rPr>
                      <w:i/>
                      <w:iCs/>
                      <w:szCs w:val="21"/>
                      <w:u w:val="single"/>
                    </w:rPr>
                  </w:pPr>
                  <w:bookmarkStart w:id="5" w:name="OLE_LINK3"/>
                  <w:r>
                    <w:rPr>
                      <w:rFonts w:hint="eastAsia"/>
                      <w:i/>
                      <w:iCs/>
                      <w:szCs w:val="21"/>
                      <w:u w:val="single"/>
                    </w:rPr>
                    <w:t>利用现有厂房建设一座独立的危废贮存库，建筑面积150m</w:t>
                  </w:r>
                  <w:r>
                    <w:rPr>
                      <w:rFonts w:hint="eastAsia"/>
                      <w:i/>
                      <w:iCs/>
                      <w:szCs w:val="21"/>
                      <w:u w:val="single"/>
                      <w:vertAlign w:val="superscript"/>
                    </w:rPr>
                    <w:t>2</w:t>
                  </w:r>
                  <w:r>
                    <w:rPr>
                      <w:rFonts w:hint="eastAsia"/>
                      <w:i/>
                      <w:iCs/>
                      <w:szCs w:val="21"/>
                      <w:u w:val="single"/>
                    </w:rPr>
                    <w:t>，分成三个区域贮存不同的拆解产物（危险废物），</w:t>
                  </w:r>
                  <w:r>
                    <w:rPr>
                      <w:rFonts w:hint="eastAsia" w:ascii="宋体" w:hAnsi="宋体" w:cs="宋体"/>
                      <w:i/>
                      <w:iCs/>
                      <w:kern w:val="0"/>
                      <w:szCs w:val="21"/>
                      <w:u w:val="single"/>
                    </w:rPr>
                    <w:t>包含废电瓶贮存区50</w:t>
                  </w:r>
                  <w:r>
                    <w:rPr>
                      <w:i/>
                      <w:iCs/>
                      <w:kern w:val="0"/>
                      <w:szCs w:val="21"/>
                      <w:u w:val="single"/>
                    </w:rPr>
                    <w:t>m</w:t>
                  </w:r>
                  <w:r>
                    <w:rPr>
                      <w:rFonts w:hint="eastAsia"/>
                      <w:i/>
                      <w:iCs/>
                      <w:kern w:val="0"/>
                      <w:szCs w:val="21"/>
                      <w:u w:val="single"/>
                      <w:vertAlign w:val="superscript"/>
                    </w:rPr>
                    <w:t>2</w:t>
                  </w:r>
                  <w:r>
                    <w:rPr>
                      <w:rFonts w:hint="eastAsia"/>
                      <w:i/>
                      <w:iCs/>
                      <w:kern w:val="0"/>
                      <w:szCs w:val="21"/>
                      <w:u w:val="single"/>
                    </w:rPr>
                    <w:t>、</w:t>
                  </w:r>
                  <w:r>
                    <w:rPr>
                      <w:rFonts w:hint="eastAsia" w:ascii="宋体" w:hAnsi="宋体" w:cs="宋体"/>
                      <w:i/>
                      <w:iCs/>
                      <w:kern w:val="0"/>
                      <w:szCs w:val="21"/>
                      <w:u w:val="single"/>
                    </w:rPr>
                    <w:t>废油贮存区50</w:t>
                  </w:r>
                  <w:r>
                    <w:rPr>
                      <w:i/>
                      <w:iCs/>
                      <w:kern w:val="0"/>
                      <w:szCs w:val="21"/>
                      <w:u w:val="single"/>
                    </w:rPr>
                    <w:t>m</w:t>
                  </w:r>
                  <w:r>
                    <w:rPr>
                      <w:rFonts w:hint="eastAsia"/>
                      <w:i/>
                      <w:iCs/>
                      <w:kern w:val="0"/>
                      <w:szCs w:val="21"/>
                      <w:u w:val="single"/>
                      <w:vertAlign w:val="superscript"/>
                    </w:rPr>
                    <w:t>2</w:t>
                  </w:r>
                  <w:r>
                    <w:rPr>
                      <w:rFonts w:hint="eastAsia"/>
                      <w:i/>
                      <w:iCs/>
                      <w:kern w:val="0"/>
                      <w:szCs w:val="21"/>
                      <w:u w:val="single"/>
                    </w:rPr>
                    <w:t>、</w:t>
                  </w:r>
                  <w:r>
                    <w:rPr>
                      <w:rFonts w:hint="eastAsia" w:ascii="宋体" w:hAnsi="宋体" w:cs="宋体"/>
                      <w:i/>
                      <w:iCs/>
                      <w:kern w:val="0"/>
                      <w:szCs w:val="21"/>
                      <w:u w:val="single"/>
                    </w:rPr>
                    <w:t>其他危废贮存区50</w:t>
                  </w:r>
                  <w:r>
                    <w:rPr>
                      <w:i/>
                      <w:iCs/>
                      <w:kern w:val="0"/>
                      <w:szCs w:val="21"/>
                      <w:u w:val="single"/>
                    </w:rPr>
                    <w:t>m</w:t>
                  </w:r>
                  <w:r>
                    <w:rPr>
                      <w:rFonts w:hint="eastAsia"/>
                      <w:i/>
                      <w:iCs/>
                      <w:kern w:val="0"/>
                      <w:szCs w:val="21"/>
                      <w:u w:val="single"/>
                      <w:vertAlign w:val="superscript"/>
                    </w:rPr>
                    <w:t>2</w:t>
                  </w:r>
                  <w:r>
                    <w:rPr>
                      <w:rFonts w:hint="eastAsia"/>
                      <w:i/>
                      <w:iCs/>
                      <w:kern w:val="0"/>
                      <w:szCs w:val="21"/>
                      <w:u w:val="single"/>
                    </w:rPr>
                    <w:t>，密闭结构。废电瓶用防渗托盘贮存，废油和废油液用防渗密闭桶装。</w:t>
                  </w:r>
                  <w:bookmarkEnd w:id="5"/>
                  <w:r>
                    <w:rPr>
                      <w:rFonts w:hint="eastAsia"/>
                      <w:i/>
                      <w:iCs/>
                      <w:kern w:val="0"/>
                      <w:szCs w:val="21"/>
                      <w:u w:val="single"/>
                    </w:rPr>
                    <w:t>废电瓶贮存量不超过3t，废油、其他危废最大贮存量不超过1t。</w:t>
                  </w:r>
                </w:p>
              </w:tc>
              <w:tc>
                <w:tcPr>
                  <w:tcW w:w="1057" w:type="dxa"/>
                  <w:vMerge w:val="restart"/>
                  <w:vAlign w:val="center"/>
                </w:tcPr>
                <w:p>
                  <w:pPr>
                    <w:jc w:val="center"/>
                    <w:rPr>
                      <w:i/>
                      <w:iCs/>
                      <w:szCs w:val="21"/>
                      <w:u w:val="single"/>
                    </w:rPr>
                  </w:pPr>
                  <w:r>
                    <w:rPr>
                      <w:rFonts w:hint="eastAsia"/>
                      <w:i/>
                      <w:iCs/>
                      <w:szCs w:val="21"/>
                      <w:u w:val="single"/>
                    </w:rPr>
                    <w:t>利旧改造</w:t>
                  </w:r>
                </w:p>
              </w:tc>
            </w:tr>
            <w:tr>
              <w:trPr>
                <w:trHeight w:val="632" w:hRule="atLeast"/>
                <w:jc w:val="center"/>
              </w:trPr>
              <w:tc>
                <w:tcPr>
                  <w:tcW w:w="1015" w:type="dxa"/>
                  <w:vMerge w:val="continue"/>
                  <w:vAlign w:val="center"/>
                </w:tcPr>
                <w:p>
                  <w:pPr>
                    <w:jc w:val="center"/>
                    <w:rPr>
                      <w:i/>
                      <w:iCs/>
                      <w:szCs w:val="21"/>
                      <w:u w:val="single"/>
                    </w:rPr>
                  </w:pPr>
                </w:p>
              </w:tc>
              <w:tc>
                <w:tcPr>
                  <w:tcW w:w="1710" w:type="dxa"/>
                  <w:vAlign w:val="center"/>
                </w:tcPr>
                <w:p>
                  <w:pPr>
                    <w:jc w:val="center"/>
                    <w:rPr>
                      <w:i/>
                      <w:iCs/>
                      <w:szCs w:val="21"/>
                      <w:u w:val="single"/>
                    </w:rPr>
                  </w:pPr>
                  <w:r>
                    <w:rPr>
                      <w:rFonts w:hint="eastAsia"/>
                      <w:i/>
                      <w:iCs/>
                      <w:szCs w:val="21"/>
                      <w:u w:val="single"/>
                    </w:rPr>
                    <w:t>报废农机暂存区</w:t>
                  </w:r>
                </w:p>
              </w:tc>
              <w:tc>
                <w:tcPr>
                  <w:tcW w:w="4106" w:type="dxa"/>
                  <w:tcBorders>
                    <w:bottom w:val="single" w:color="auto" w:sz="4" w:space="0"/>
                  </w:tcBorders>
                  <w:vAlign w:val="center"/>
                </w:tcPr>
                <w:p>
                  <w:pPr>
                    <w:widowControl/>
                    <w:rPr>
                      <w:i/>
                      <w:iCs/>
                      <w:szCs w:val="21"/>
                      <w:u w:val="single"/>
                    </w:rPr>
                  </w:pPr>
                  <w:r>
                    <w:rPr>
                      <w:rFonts w:hint="eastAsia"/>
                      <w:i/>
                      <w:iCs/>
                      <w:szCs w:val="21"/>
                      <w:u w:val="single"/>
                    </w:rPr>
                    <w:t>利用现有厂房，封闭结构，占地面积700m</w:t>
                  </w:r>
                  <w:r>
                    <w:rPr>
                      <w:rFonts w:hint="eastAsia"/>
                      <w:i/>
                      <w:iCs/>
                      <w:szCs w:val="21"/>
                      <w:u w:val="single"/>
                      <w:vertAlign w:val="superscript"/>
                    </w:rPr>
                    <w:t>2</w:t>
                  </w:r>
                  <w:r>
                    <w:rPr>
                      <w:rFonts w:hint="eastAsia"/>
                      <w:i/>
                      <w:iCs/>
                      <w:kern w:val="0"/>
                      <w:szCs w:val="21"/>
                      <w:u w:val="single"/>
                    </w:rPr>
                    <w:t>，最大暂存农机数量为35</w:t>
                  </w:r>
                  <w:r>
                    <w:rPr>
                      <w:i/>
                      <w:iCs/>
                      <w:kern w:val="0"/>
                      <w:szCs w:val="21"/>
                      <w:u w:val="single"/>
                    </w:rPr>
                    <w:t>台。</w:t>
                  </w:r>
                </w:p>
              </w:tc>
              <w:tc>
                <w:tcPr>
                  <w:tcW w:w="1057" w:type="dxa"/>
                  <w:vMerge w:val="continue"/>
                  <w:tcBorders>
                    <w:bottom w:val="single" w:color="auto" w:sz="4" w:space="0"/>
                  </w:tcBorders>
                  <w:vAlign w:val="center"/>
                </w:tcPr>
                <w:p>
                  <w:pPr>
                    <w:jc w:val="center"/>
                    <w:rPr>
                      <w:i/>
                      <w:iCs/>
                      <w:szCs w:val="21"/>
                      <w:u w:val="single"/>
                    </w:rPr>
                  </w:pPr>
                </w:p>
              </w:tc>
            </w:tr>
            <w:tr>
              <w:trPr>
                <w:trHeight w:val="386" w:hRule="atLeast"/>
                <w:jc w:val="center"/>
              </w:trPr>
              <w:tc>
                <w:tcPr>
                  <w:tcW w:w="1015" w:type="dxa"/>
                  <w:vMerge w:val="restart"/>
                  <w:vAlign w:val="center"/>
                </w:tcPr>
                <w:p>
                  <w:pPr>
                    <w:jc w:val="center"/>
                    <w:rPr>
                      <w:i/>
                      <w:iCs/>
                      <w:szCs w:val="21"/>
                      <w:u w:val="single"/>
                    </w:rPr>
                  </w:pPr>
                  <w:r>
                    <w:rPr>
                      <w:rFonts w:hint="eastAsia"/>
                      <w:i/>
                      <w:iCs/>
                      <w:szCs w:val="21"/>
                      <w:u w:val="single"/>
                    </w:rPr>
                    <w:t>辅助工程</w:t>
                  </w:r>
                </w:p>
              </w:tc>
              <w:tc>
                <w:tcPr>
                  <w:tcW w:w="1710" w:type="dxa"/>
                  <w:vAlign w:val="center"/>
                </w:tcPr>
                <w:p>
                  <w:pPr>
                    <w:jc w:val="center"/>
                    <w:rPr>
                      <w:i/>
                      <w:iCs/>
                      <w:szCs w:val="21"/>
                      <w:u w:val="single"/>
                    </w:rPr>
                  </w:pPr>
                  <w:r>
                    <w:rPr>
                      <w:rFonts w:hint="eastAsia"/>
                      <w:i/>
                      <w:iCs/>
                      <w:szCs w:val="21"/>
                      <w:u w:val="single"/>
                    </w:rPr>
                    <w:t>工具间</w:t>
                  </w:r>
                </w:p>
              </w:tc>
              <w:tc>
                <w:tcPr>
                  <w:tcW w:w="4106" w:type="dxa"/>
                  <w:tcBorders>
                    <w:top w:val="single" w:color="auto" w:sz="4" w:space="0"/>
                  </w:tcBorders>
                  <w:vAlign w:val="center"/>
                </w:tcPr>
                <w:p>
                  <w:pPr>
                    <w:rPr>
                      <w:i/>
                      <w:iCs/>
                      <w:szCs w:val="21"/>
                      <w:u w:val="single"/>
                    </w:rPr>
                  </w:pPr>
                  <w:r>
                    <w:rPr>
                      <w:rFonts w:hint="eastAsia"/>
                      <w:i/>
                      <w:iCs/>
                      <w:szCs w:val="21"/>
                      <w:u w:val="single"/>
                    </w:rPr>
                    <w:t>占地面积100m</w:t>
                  </w:r>
                  <w:r>
                    <w:rPr>
                      <w:rFonts w:hint="eastAsia"/>
                      <w:i/>
                      <w:iCs/>
                      <w:szCs w:val="21"/>
                      <w:u w:val="single"/>
                      <w:vertAlign w:val="superscript"/>
                    </w:rPr>
                    <w:t>2</w:t>
                  </w:r>
                  <w:r>
                    <w:rPr>
                      <w:rFonts w:hint="eastAsia"/>
                      <w:i/>
                      <w:iCs/>
                      <w:szCs w:val="21"/>
                      <w:u w:val="single"/>
                    </w:rPr>
                    <w:t>，位于办公楼一层。</w:t>
                  </w:r>
                </w:p>
              </w:tc>
              <w:tc>
                <w:tcPr>
                  <w:tcW w:w="1057" w:type="dxa"/>
                  <w:vMerge w:val="restart"/>
                  <w:tcBorders>
                    <w:top w:val="single" w:color="auto" w:sz="4" w:space="0"/>
                  </w:tcBorders>
                  <w:vAlign w:val="center"/>
                </w:tcPr>
                <w:p>
                  <w:pPr>
                    <w:jc w:val="center"/>
                    <w:rPr>
                      <w:i/>
                      <w:iCs/>
                      <w:szCs w:val="21"/>
                      <w:u w:val="single"/>
                    </w:rPr>
                  </w:pPr>
                  <w:r>
                    <w:rPr>
                      <w:rFonts w:hint="eastAsia"/>
                      <w:i/>
                      <w:iCs/>
                      <w:szCs w:val="21"/>
                      <w:u w:val="single"/>
                    </w:rPr>
                    <w:t>利旧改造</w:t>
                  </w:r>
                </w:p>
              </w:tc>
            </w:tr>
            <w:tr>
              <w:trPr>
                <w:trHeight w:val="335" w:hRule="atLeast"/>
                <w:jc w:val="center"/>
              </w:trPr>
              <w:tc>
                <w:tcPr>
                  <w:tcW w:w="1015" w:type="dxa"/>
                  <w:vMerge w:val="continue"/>
                  <w:vAlign w:val="center"/>
                </w:tcPr>
                <w:p>
                  <w:pPr>
                    <w:jc w:val="center"/>
                    <w:rPr>
                      <w:i/>
                      <w:iCs/>
                      <w:szCs w:val="21"/>
                      <w:u w:val="single"/>
                    </w:rPr>
                  </w:pPr>
                </w:p>
              </w:tc>
              <w:tc>
                <w:tcPr>
                  <w:tcW w:w="1710" w:type="dxa"/>
                  <w:vAlign w:val="center"/>
                </w:tcPr>
                <w:p>
                  <w:pPr>
                    <w:jc w:val="center"/>
                    <w:rPr>
                      <w:i/>
                      <w:iCs/>
                      <w:szCs w:val="21"/>
                      <w:u w:val="single"/>
                    </w:rPr>
                  </w:pPr>
                  <w:r>
                    <w:rPr>
                      <w:rFonts w:hint="eastAsia"/>
                      <w:i/>
                      <w:iCs/>
                      <w:szCs w:val="21"/>
                      <w:u w:val="single"/>
                    </w:rPr>
                    <w:t>办公区</w:t>
                  </w:r>
                </w:p>
              </w:tc>
              <w:tc>
                <w:tcPr>
                  <w:tcW w:w="4106" w:type="dxa"/>
                  <w:vAlign w:val="center"/>
                </w:tcPr>
                <w:p>
                  <w:pPr>
                    <w:rPr>
                      <w:i/>
                      <w:iCs/>
                      <w:szCs w:val="21"/>
                      <w:u w:val="single"/>
                    </w:rPr>
                  </w:pPr>
                  <w:r>
                    <w:rPr>
                      <w:rFonts w:hint="eastAsia"/>
                      <w:i/>
                      <w:iCs/>
                      <w:szCs w:val="21"/>
                      <w:u w:val="single"/>
                    </w:rPr>
                    <w:t>占地面积100m</w:t>
                  </w:r>
                  <w:r>
                    <w:rPr>
                      <w:rFonts w:hint="eastAsia"/>
                      <w:i/>
                      <w:iCs/>
                      <w:szCs w:val="21"/>
                      <w:u w:val="single"/>
                      <w:vertAlign w:val="superscript"/>
                    </w:rPr>
                    <w:t>2</w:t>
                  </w:r>
                  <w:r>
                    <w:rPr>
                      <w:rFonts w:hint="eastAsia"/>
                      <w:i/>
                      <w:iCs/>
                      <w:szCs w:val="21"/>
                      <w:u w:val="single"/>
                    </w:rPr>
                    <w:t>，位于办公楼一层。</w:t>
                  </w:r>
                </w:p>
              </w:tc>
              <w:tc>
                <w:tcPr>
                  <w:tcW w:w="1057" w:type="dxa"/>
                  <w:vMerge w:val="continue"/>
                  <w:vAlign w:val="center"/>
                </w:tcPr>
                <w:p>
                  <w:pPr>
                    <w:jc w:val="center"/>
                    <w:rPr>
                      <w:i/>
                      <w:iCs/>
                      <w:szCs w:val="21"/>
                      <w:u w:val="single"/>
                    </w:rPr>
                  </w:pPr>
                </w:p>
              </w:tc>
            </w:tr>
            <w:tr>
              <w:trPr>
                <w:trHeight w:val="335" w:hRule="atLeast"/>
                <w:jc w:val="center"/>
              </w:trPr>
              <w:tc>
                <w:tcPr>
                  <w:tcW w:w="1015" w:type="dxa"/>
                  <w:vMerge w:val="restart"/>
                  <w:vAlign w:val="center"/>
                </w:tcPr>
                <w:p>
                  <w:pPr>
                    <w:pStyle w:val="41"/>
                    <w:adjustRightInd/>
                    <w:snapToGrid/>
                    <w:spacing w:line="240" w:lineRule="auto"/>
                    <w:rPr>
                      <w:rFonts w:ascii="Times New Roman" w:hAnsi="Times New Roman"/>
                      <w:i/>
                      <w:iCs/>
                      <w:sz w:val="21"/>
                      <w:u w:val="single"/>
                    </w:rPr>
                  </w:pPr>
                  <w:r>
                    <w:rPr>
                      <w:rFonts w:ascii="Times New Roman" w:hAnsi="Times New Roman"/>
                      <w:i/>
                      <w:iCs/>
                      <w:sz w:val="21"/>
                      <w:u w:val="single"/>
                    </w:rPr>
                    <w:t>公用工程</w:t>
                  </w:r>
                </w:p>
              </w:tc>
              <w:tc>
                <w:tcPr>
                  <w:tcW w:w="1710" w:type="dxa"/>
                  <w:vAlign w:val="center"/>
                </w:tcPr>
                <w:p>
                  <w:pPr>
                    <w:pStyle w:val="41"/>
                    <w:adjustRightInd/>
                    <w:snapToGrid/>
                    <w:spacing w:line="240" w:lineRule="auto"/>
                    <w:rPr>
                      <w:rFonts w:ascii="Times New Roman" w:hAnsi="Times New Roman"/>
                      <w:i/>
                      <w:iCs/>
                      <w:sz w:val="21"/>
                      <w:u w:val="single"/>
                    </w:rPr>
                  </w:pPr>
                  <w:r>
                    <w:rPr>
                      <w:rFonts w:ascii="Times New Roman" w:hAnsi="Times New Roman"/>
                      <w:i/>
                      <w:iCs/>
                      <w:sz w:val="21"/>
                      <w:u w:val="single"/>
                    </w:rPr>
                    <w:t>给水</w:t>
                  </w:r>
                </w:p>
              </w:tc>
              <w:tc>
                <w:tcPr>
                  <w:tcW w:w="4106" w:type="dxa"/>
                  <w:vAlign w:val="center"/>
                </w:tcPr>
                <w:p>
                  <w:pPr>
                    <w:pStyle w:val="41"/>
                    <w:adjustRightInd/>
                    <w:snapToGrid/>
                    <w:spacing w:line="240" w:lineRule="auto"/>
                    <w:jc w:val="both"/>
                    <w:rPr>
                      <w:rFonts w:ascii="Times New Roman" w:hAnsi="Times New Roman"/>
                      <w:i/>
                      <w:iCs/>
                      <w:sz w:val="21"/>
                      <w:u w:val="single"/>
                    </w:rPr>
                  </w:pPr>
                  <w:r>
                    <w:rPr>
                      <w:rFonts w:hint="eastAsia" w:ascii="Times New Roman" w:hAnsi="Times New Roman"/>
                      <w:i/>
                      <w:iCs/>
                      <w:sz w:val="21"/>
                      <w:u w:val="single"/>
                    </w:rPr>
                    <w:t>生活用水由厂区深水井提供。</w:t>
                  </w:r>
                </w:p>
              </w:tc>
              <w:tc>
                <w:tcPr>
                  <w:tcW w:w="1057" w:type="dxa"/>
                  <w:vAlign w:val="center"/>
                </w:tcPr>
                <w:p>
                  <w:pPr>
                    <w:jc w:val="center"/>
                    <w:rPr>
                      <w:i/>
                      <w:iCs/>
                      <w:szCs w:val="21"/>
                      <w:u w:val="single"/>
                    </w:rPr>
                  </w:pPr>
                  <w:r>
                    <w:rPr>
                      <w:rFonts w:hint="eastAsia"/>
                      <w:i/>
                      <w:iCs/>
                      <w:szCs w:val="21"/>
                      <w:u w:val="single"/>
                    </w:rPr>
                    <w:t>依托</w:t>
                  </w:r>
                </w:p>
              </w:tc>
            </w:tr>
            <w:tr>
              <w:trPr>
                <w:trHeight w:val="644" w:hRule="atLeast"/>
                <w:jc w:val="center"/>
              </w:trPr>
              <w:tc>
                <w:tcPr>
                  <w:tcW w:w="1015" w:type="dxa"/>
                  <w:vMerge w:val="continue"/>
                  <w:vAlign w:val="center"/>
                </w:tcPr>
                <w:p>
                  <w:pPr>
                    <w:pStyle w:val="41"/>
                    <w:adjustRightInd/>
                    <w:snapToGrid/>
                    <w:spacing w:line="240" w:lineRule="auto"/>
                    <w:rPr>
                      <w:rFonts w:ascii="Times New Roman" w:hAnsi="Times New Roman"/>
                      <w:i/>
                      <w:iCs/>
                      <w:sz w:val="21"/>
                      <w:u w:val="single"/>
                    </w:rPr>
                  </w:pPr>
                </w:p>
              </w:tc>
              <w:tc>
                <w:tcPr>
                  <w:tcW w:w="1710" w:type="dxa"/>
                  <w:vAlign w:val="center"/>
                </w:tcPr>
                <w:p>
                  <w:pPr>
                    <w:pStyle w:val="41"/>
                    <w:adjustRightInd/>
                    <w:snapToGrid/>
                    <w:spacing w:line="240" w:lineRule="auto"/>
                    <w:rPr>
                      <w:rFonts w:ascii="Times New Roman" w:hAnsi="Times New Roman"/>
                      <w:i/>
                      <w:iCs/>
                      <w:sz w:val="21"/>
                      <w:u w:val="single"/>
                    </w:rPr>
                  </w:pPr>
                  <w:r>
                    <w:rPr>
                      <w:rFonts w:ascii="Times New Roman" w:hAnsi="Times New Roman"/>
                      <w:i/>
                      <w:iCs/>
                      <w:sz w:val="21"/>
                      <w:u w:val="single"/>
                    </w:rPr>
                    <w:t>排水</w:t>
                  </w:r>
                </w:p>
              </w:tc>
              <w:tc>
                <w:tcPr>
                  <w:tcW w:w="4106" w:type="dxa"/>
                  <w:vAlign w:val="center"/>
                </w:tcPr>
                <w:p>
                  <w:pPr>
                    <w:pStyle w:val="41"/>
                    <w:adjustRightInd/>
                    <w:snapToGrid/>
                    <w:spacing w:line="240" w:lineRule="auto"/>
                    <w:jc w:val="both"/>
                    <w:rPr>
                      <w:rFonts w:ascii="Times New Roman" w:hAnsi="Times New Roman"/>
                      <w:i/>
                      <w:iCs/>
                      <w:sz w:val="21"/>
                      <w:u w:val="single"/>
                    </w:rPr>
                  </w:pPr>
                  <w:r>
                    <w:rPr>
                      <w:rFonts w:hint="eastAsia" w:ascii="Times New Roman" w:hAnsi="Times New Roman"/>
                      <w:i/>
                      <w:iCs/>
                      <w:sz w:val="21"/>
                      <w:u w:val="single"/>
                    </w:rPr>
                    <w:t>本项目职工生活污水排入厂区防渗化粪池，定期清掏不外排。初期雨水经隔油处理后排入污水暂存池，罐车运输至柳河县污水处理厂处理。</w:t>
                  </w:r>
                </w:p>
              </w:tc>
              <w:tc>
                <w:tcPr>
                  <w:tcW w:w="1057" w:type="dxa"/>
                  <w:vAlign w:val="center"/>
                </w:tcPr>
                <w:p>
                  <w:pPr>
                    <w:pStyle w:val="41"/>
                    <w:adjustRightInd/>
                    <w:snapToGrid/>
                    <w:spacing w:line="240" w:lineRule="auto"/>
                    <w:rPr>
                      <w:rFonts w:ascii="Times New Roman" w:hAnsi="Times New Roman"/>
                      <w:i/>
                      <w:iCs/>
                      <w:sz w:val="21"/>
                      <w:u w:val="single"/>
                    </w:rPr>
                  </w:pPr>
                  <w:r>
                    <w:rPr>
                      <w:rFonts w:hint="eastAsia" w:ascii="Times New Roman" w:hAnsi="Times New Roman"/>
                      <w:i/>
                      <w:iCs/>
                      <w:sz w:val="21"/>
                      <w:u w:val="single"/>
                    </w:rPr>
                    <w:t>新建</w:t>
                  </w:r>
                </w:p>
              </w:tc>
            </w:tr>
            <w:tr>
              <w:trPr>
                <w:trHeight w:val="335" w:hRule="atLeast"/>
                <w:jc w:val="center"/>
              </w:trPr>
              <w:tc>
                <w:tcPr>
                  <w:tcW w:w="1015" w:type="dxa"/>
                  <w:vMerge w:val="continue"/>
                  <w:vAlign w:val="center"/>
                </w:tcPr>
                <w:p>
                  <w:pPr>
                    <w:pStyle w:val="41"/>
                    <w:adjustRightInd/>
                    <w:snapToGrid/>
                    <w:spacing w:line="240" w:lineRule="auto"/>
                    <w:rPr>
                      <w:rFonts w:ascii="Times New Roman" w:hAnsi="Times New Roman"/>
                      <w:i/>
                      <w:iCs/>
                      <w:sz w:val="21"/>
                      <w:u w:val="single"/>
                    </w:rPr>
                  </w:pPr>
                </w:p>
              </w:tc>
              <w:tc>
                <w:tcPr>
                  <w:tcW w:w="1710" w:type="dxa"/>
                  <w:vAlign w:val="center"/>
                </w:tcPr>
                <w:p>
                  <w:pPr>
                    <w:pStyle w:val="41"/>
                    <w:adjustRightInd/>
                    <w:snapToGrid/>
                    <w:spacing w:line="240" w:lineRule="auto"/>
                    <w:rPr>
                      <w:rFonts w:ascii="Times New Roman" w:hAnsi="Times New Roman"/>
                      <w:i/>
                      <w:iCs/>
                      <w:sz w:val="21"/>
                      <w:u w:val="single"/>
                    </w:rPr>
                  </w:pPr>
                  <w:r>
                    <w:rPr>
                      <w:rFonts w:ascii="Times New Roman" w:hAnsi="Times New Roman"/>
                      <w:i/>
                      <w:iCs/>
                      <w:sz w:val="21"/>
                      <w:u w:val="single"/>
                    </w:rPr>
                    <w:t>供电</w:t>
                  </w:r>
                </w:p>
              </w:tc>
              <w:tc>
                <w:tcPr>
                  <w:tcW w:w="4106" w:type="dxa"/>
                  <w:vAlign w:val="center"/>
                </w:tcPr>
                <w:p>
                  <w:pPr>
                    <w:widowControl/>
                    <w:rPr>
                      <w:rFonts w:hAnsi="宋体"/>
                      <w:i/>
                      <w:iCs/>
                      <w:szCs w:val="21"/>
                      <w:u w:val="single"/>
                    </w:rPr>
                  </w:pPr>
                  <w:r>
                    <w:rPr>
                      <w:rFonts w:hint="eastAsia"/>
                      <w:i/>
                      <w:iCs/>
                      <w:szCs w:val="21"/>
                      <w:u w:val="single"/>
                    </w:rPr>
                    <w:t>由开发区供电部门供给</w:t>
                  </w:r>
                  <w:r>
                    <w:rPr>
                      <w:rFonts w:hint="eastAsia"/>
                      <w:i/>
                      <w:iCs/>
                      <w:kern w:val="0"/>
                      <w:szCs w:val="21"/>
                      <w:u w:val="single"/>
                    </w:rPr>
                    <w:t>。</w:t>
                  </w:r>
                </w:p>
              </w:tc>
              <w:tc>
                <w:tcPr>
                  <w:tcW w:w="1057" w:type="dxa"/>
                  <w:vAlign w:val="center"/>
                </w:tcPr>
                <w:p>
                  <w:pPr>
                    <w:jc w:val="center"/>
                    <w:rPr>
                      <w:i/>
                      <w:iCs/>
                      <w:szCs w:val="21"/>
                      <w:u w:val="single"/>
                    </w:rPr>
                  </w:pPr>
                  <w:r>
                    <w:rPr>
                      <w:rFonts w:hint="eastAsia"/>
                      <w:i/>
                      <w:iCs/>
                      <w:szCs w:val="21"/>
                      <w:u w:val="single"/>
                    </w:rPr>
                    <w:t>依托</w:t>
                  </w:r>
                </w:p>
              </w:tc>
            </w:tr>
            <w:tr>
              <w:trPr>
                <w:trHeight w:val="335" w:hRule="atLeast"/>
                <w:jc w:val="center"/>
              </w:trPr>
              <w:tc>
                <w:tcPr>
                  <w:tcW w:w="1015" w:type="dxa"/>
                  <w:vMerge w:val="continue"/>
                  <w:vAlign w:val="center"/>
                </w:tcPr>
                <w:p>
                  <w:pPr>
                    <w:pStyle w:val="41"/>
                    <w:adjustRightInd/>
                    <w:snapToGrid/>
                    <w:spacing w:line="240" w:lineRule="auto"/>
                    <w:rPr>
                      <w:rFonts w:ascii="Times New Roman" w:hAnsi="Times New Roman"/>
                      <w:i/>
                      <w:iCs/>
                      <w:sz w:val="21"/>
                      <w:u w:val="single"/>
                    </w:rPr>
                  </w:pPr>
                </w:p>
              </w:tc>
              <w:tc>
                <w:tcPr>
                  <w:tcW w:w="1710" w:type="dxa"/>
                  <w:vAlign w:val="center"/>
                </w:tcPr>
                <w:p>
                  <w:pPr>
                    <w:pStyle w:val="41"/>
                    <w:adjustRightInd/>
                    <w:snapToGrid/>
                    <w:spacing w:line="240" w:lineRule="auto"/>
                    <w:rPr>
                      <w:rFonts w:ascii="Times New Roman" w:hAnsi="Times New Roman"/>
                      <w:i/>
                      <w:iCs/>
                      <w:sz w:val="21"/>
                      <w:u w:val="single"/>
                    </w:rPr>
                  </w:pPr>
                  <w:r>
                    <w:rPr>
                      <w:rFonts w:ascii="Times New Roman" w:hAnsi="Times New Roman"/>
                      <w:i/>
                      <w:iCs/>
                      <w:sz w:val="21"/>
                      <w:u w:val="single"/>
                    </w:rPr>
                    <w:t>供暖</w:t>
                  </w:r>
                </w:p>
              </w:tc>
              <w:tc>
                <w:tcPr>
                  <w:tcW w:w="4106" w:type="dxa"/>
                  <w:vAlign w:val="center"/>
                </w:tcPr>
                <w:p>
                  <w:pPr>
                    <w:widowControl/>
                    <w:rPr>
                      <w:rFonts w:hAnsi="宋体"/>
                      <w:i/>
                      <w:iCs/>
                      <w:szCs w:val="21"/>
                      <w:u w:val="single"/>
                    </w:rPr>
                  </w:pPr>
                  <w:r>
                    <w:rPr>
                      <w:rFonts w:hint="eastAsia" w:hAnsi="宋体"/>
                      <w:i/>
                      <w:iCs/>
                      <w:szCs w:val="21"/>
                      <w:u w:val="single"/>
                    </w:rPr>
                    <w:t>冬季不生产。</w:t>
                  </w:r>
                </w:p>
              </w:tc>
              <w:tc>
                <w:tcPr>
                  <w:tcW w:w="1057" w:type="dxa"/>
                  <w:vAlign w:val="center"/>
                </w:tcPr>
                <w:p>
                  <w:pPr>
                    <w:jc w:val="center"/>
                    <w:rPr>
                      <w:i/>
                      <w:iCs/>
                      <w:szCs w:val="21"/>
                      <w:u w:val="single"/>
                    </w:rPr>
                  </w:pPr>
                  <w:r>
                    <w:rPr>
                      <w:rFonts w:hint="eastAsia"/>
                      <w:i/>
                      <w:iCs/>
                      <w:szCs w:val="21"/>
                      <w:u w:val="single"/>
                    </w:rPr>
                    <w:t>/</w:t>
                  </w:r>
                </w:p>
              </w:tc>
            </w:tr>
            <w:tr>
              <w:trPr>
                <w:trHeight w:val="775" w:hRule="atLeast"/>
                <w:jc w:val="center"/>
              </w:trPr>
              <w:tc>
                <w:tcPr>
                  <w:tcW w:w="1015" w:type="dxa"/>
                  <w:vMerge w:val="restart"/>
                  <w:vAlign w:val="center"/>
                </w:tcPr>
                <w:p>
                  <w:pPr>
                    <w:pStyle w:val="41"/>
                    <w:adjustRightInd/>
                    <w:snapToGrid/>
                    <w:spacing w:line="240" w:lineRule="auto"/>
                    <w:rPr>
                      <w:rFonts w:ascii="Times New Roman" w:hAnsi="Times New Roman"/>
                      <w:i/>
                      <w:iCs/>
                      <w:sz w:val="21"/>
                      <w:u w:val="single"/>
                    </w:rPr>
                  </w:pPr>
                  <w:r>
                    <w:rPr>
                      <w:rFonts w:ascii="Times New Roman" w:hAnsi="Times New Roman"/>
                      <w:i/>
                      <w:iCs/>
                      <w:sz w:val="21"/>
                      <w:u w:val="single"/>
                    </w:rPr>
                    <w:t>环保工程</w:t>
                  </w:r>
                </w:p>
              </w:tc>
              <w:tc>
                <w:tcPr>
                  <w:tcW w:w="1710" w:type="dxa"/>
                  <w:vAlign w:val="center"/>
                </w:tcPr>
                <w:p>
                  <w:pPr>
                    <w:jc w:val="center"/>
                    <w:rPr>
                      <w:i/>
                      <w:iCs/>
                      <w:szCs w:val="21"/>
                      <w:u w:val="single"/>
                    </w:rPr>
                  </w:pPr>
                  <w:r>
                    <w:rPr>
                      <w:rFonts w:hint="eastAsia"/>
                      <w:i/>
                      <w:iCs/>
                      <w:szCs w:val="21"/>
                      <w:u w:val="single"/>
                    </w:rPr>
                    <w:t>废水</w:t>
                  </w:r>
                </w:p>
              </w:tc>
              <w:tc>
                <w:tcPr>
                  <w:tcW w:w="4106" w:type="dxa"/>
                  <w:vAlign w:val="center"/>
                </w:tcPr>
                <w:p>
                  <w:pPr>
                    <w:jc w:val="center"/>
                    <w:rPr>
                      <w:i/>
                      <w:iCs/>
                      <w:szCs w:val="21"/>
                      <w:u w:val="single"/>
                    </w:rPr>
                  </w:pPr>
                  <w:r>
                    <w:rPr>
                      <w:rFonts w:hint="eastAsia"/>
                      <w:i/>
                      <w:iCs/>
                      <w:u w:val="single"/>
                    </w:rPr>
                    <w:t>生活污水排入厂区防渗化粪池，定期由周边农户清掏作农肥。初期雨水经油水分离器处理后排入污水暂存池，利用罐车运至柳河县污水处理厂处理达标后排入一统河。</w:t>
                  </w:r>
                  <w:r>
                    <w:rPr>
                      <w:rFonts w:hint="eastAsia"/>
                      <w:i/>
                      <w:iCs/>
                      <w:szCs w:val="21"/>
                      <w:u w:val="single"/>
                    </w:rPr>
                    <w:t>拆解区位于车间内，地面不进行清洗，采用</w:t>
                  </w:r>
                  <w:r>
                    <w:rPr>
                      <w:i/>
                      <w:iCs/>
                      <w:szCs w:val="21"/>
                      <w:u w:val="single"/>
                    </w:rPr>
                    <w:t>全干式清扫、吸油吸附。</w:t>
                  </w:r>
                </w:p>
              </w:tc>
              <w:tc>
                <w:tcPr>
                  <w:tcW w:w="1057" w:type="dxa"/>
                  <w:vAlign w:val="center"/>
                </w:tcPr>
                <w:p>
                  <w:pPr>
                    <w:jc w:val="center"/>
                    <w:rPr>
                      <w:i/>
                      <w:iCs/>
                      <w:szCs w:val="21"/>
                      <w:u w:val="single"/>
                    </w:rPr>
                  </w:pPr>
                  <w:r>
                    <w:rPr>
                      <w:rFonts w:hint="eastAsia"/>
                      <w:i/>
                      <w:iCs/>
                      <w:szCs w:val="21"/>
                      <w:u w:val="single"/>
                    </w:rPr>
                    <w:t>新建</w:t>
                  </w:r>
                </w:p>
              </w:tc>
            </w:tr>
            <w:tr>
              <w:trPr>
                <w:trHeight w:val="1962" w:hRule="atLeast"/>
                <w:jc w:val="center"/>
              </w:trPr>
              <w:tc>
                <w:tcPr>
                  <w:tcW w:w="1015" w:type="dxa"/>
                  <w:vMerge w:val="continue"/>
                  <w:vAlign w:val="center"/>
                </w:tcPr>
                <w:p>
                  <w:pPr>
                    <w:pStyle w:val="41"/>
                    <w:adjustRightInd/>
                    <w:snapToGrid/>
                    <w:spacing w:line="240" w:lineRule="auto"/>
                    <w:rPr>
                      <w:rFonts w:ascii="Times New Roman" w:hAnsi="Times New Roman"/>
                      <w:i/>
                      <w:iCs/>
                      <w:sz w:val="21"/>
                      <w:u w:val="single"/>
                    </w:rPr>
                  </w:pPr>
                </w:p>
              </w:tc>
              <w:tc>
                <w:tcPr>
                  <w:tcW w:w="1710" w:type="dxa"/>
                  <w:vAlign w:val="center"/>
                </w:tcPr>
                <w:p>
                  <w:pPr>
                    <w:pStyle w:val="41"/>
                    <w:adjustRightInd/>
                    <w:snapToGrid/>
                    <w:spacing w:line="240" w:lineRule="auto"/>
                    <w:rPr>
                      <w:rFonts w:ascii="Times New Roman" w:hAnsi="Times New Roman"/>
                      <w:i/>
                      <w:iCs/>
                      <w:sz w:val="21"/>
                      <w:u w:val="single"/>
                    </w:rPr>
                  </w:pPr>
                  <w:r>
                    <w:rPr>
                      <w:rFonts w:ascii="Times New Roman" w:hAnsi="Times New Roman"/>
                      <w:i/>
                      <w:iCs/>
                      <w:sz w:val="21"/>
                      <w:u w:val="single"/>
                    </w:rPr>
                    <w:t>废气</w:t>
                  </w:r>
                </w:p>
              </w:tc>
              <w:tc>
                <w:tcPr>
                  <w:tcW w:w="4106" w:type="dxa"/>
                  <w:vAlign w:val="center"/>
                </w:tcPr>
                <w:p>
                  <w:pPr>
                    <w:pStyle w:val="41"/>
                    <w:adjustRightInd/>
                    <w:snapToGrid/>
                    <w:spacing w:line="240" w:lineRule="auto"/>
                    <w:jc w:val="both"/>
                    <w:rPr>
                      <w:rFonts w:cs="宋体"/>
                      <w:i/>
                      <w:iCs/>
                      <w:sz w:val="21"/>
                      <w:u w:val="single"/>
                    </w:rPr>
                  </w:pPr>
                  <w:r>
                    <w:rPr>
                      <w:rFonts w:hint="eastAsia" w:cs="宋体"/>
                      <w:i/>
                      <w:iCs/>
                      <w:sz w:val="21"/>
                      <w:u w:val="single"/>
                    </w:rPr>
                    <w:t xml:space="preserve">剪切粉尘：集气装置+布袋除尘器+排气筒（DA001)。 </w:t>
                  </w:r>
                </w:p>
                <w:p>
                  <w:pPr>
                    <w:pStyle w:val="41"/>
                    <w:adjustRightInd/>
                    <w:snapToGrid/>
                    <w:spacing w:line="240" w:lineRule="auto"/>
                    <w:jc w:val="both"/>
                    <w:rPr>
                      <w:rFonts w:cs="宋体"/>
                      <w:i/>
                      <w:iCs/>
                      <w:sz w:val="21"/>
                      <w:u w:val="single"/>
                    </w:rPr>
                  </w:pPr>
                  <w:r>
                    <w:rPr>
                      <w:rFonts w:hint="eastAsia" w:cs="宋体"/>
                      <w:i/>
                      <w:iCs/>
                      <w:sz w:val="21"/>
                      <w:u w:val="single"/>
                    </w:rPr>
                    <w:t>废油液挥发废气：集气装置+活性炭+排气筒（DA001) ；</w:t>
                  </w:r>
                </w:p>
                <w:p>
                  <w:pPr>
                    <w:pStyle w:val="41"/>
                    <w:adjustRightInd/>
                    <w:snapToGrid/>
                    <w:spacing w:line="240" w:lineRule="auto"/>
                    <w:jc w:val="both"/>
                    <w:rPr>
                      <w:rFonts w:cs="宋体"/>
                      <w:i/>
                      <w:iCs/>
                      <w:sz w:val="21"/>
                      <w:u w:val="single"/>
                    </w:rPr>
                  </w:pPr>
                  <w:r>
                    <w:rPr>
                      <w:rFonts w:hint="eastAsia" w:cs="宋体"/>
                      <w:i/>
                      <w:iCs/>
                      <w:sz w:val="21"/>
                      <w:u w:val="single"/>
                    </w:rPr>
                    <w:t>危险废物贮存废气（非甲烷总烃）：集气装置+活性炭+排气筒（DA001) ；</w:t>
                  </w:r>
                </w:p>
                <w:p>
                  <w:pPr>
                    <w:pStyle w:val="41"/>
                    <w:adjustRightInd/>
                    <w:snapToGrid/>
                    <w:spacing w:line="240" w:lineRule="auto"/>
                    <w:jc w:val="both"/>
                    <w:rPr>
                      <w:rFonts w:ascii="Times New Roman" w:hAnsi="Times New Roman"/>
                      <w:i/>
                      <w:iCs/>
                      <w:sz w:val="21"/>
                      <w:u w:val="single"/>
                    </w:rPr>
                  </w:pPr>
                  <w:r>
                    <w:rPr>
                      <w:rFonts w:hint="eastAsia" w:cs="宋体"/>
                      <w:i/>
                      <w:iCs/>
                      <w:sz w:val="21"/>
                      <w:u w:val="single"/>
                    </w:rPr>
                    <w:t>破损废铅酸蓄电池硫酸雾废气：集气装置+活性炭+排气筒（DA001)。</w:t>
                  </w:r>
                </w:p>
              </w:tc>
              <w:tc>
                <w:tcPr>
                  <w:tcW w:w="1057" w:type="dxa"/>
                  <w:vAlign w:val="center"/>
                </w:tcPr>
                <w:p>
                  <w:pPr>
                    <w:pStyle w:val="41"/>
                    <w:adjustRightInd/>
                    <w:snapToGrid/>
                    <w:spacing w:line="240" w:lineRule="auto"/>
                    <w:rPr>
                      <w:rFonts w:ascii="Times New Roman" w:hAnsi="Times New Roman"/>
                      <w:i/>
                      <w:iCs/>
                      <w:sz w:val="21"/>
                      <w:u w:val="single"/>
                    </w:rPr>
                  </w:pPr>
                  <w:r>
                    <w:rPr>
                      <w:rFonts w:hint="eastAsia" w:ascii="Times New Roman" w:hAnsi="Times New Roman"/>
                      <w:i/>
                      <w:iCs/>
                      <w:sz w:val="21"/>
                      <w:u w:val="single"/>
                    </w:rPr>
                    <w:t>新建</w:t>
                  </w:r>
                </w:p>
              </w:tc>
            </w:tr>
            <w:tr>
              <w:trPr>
                <w:trHeight w:val="90" w:hRule="atLeast"/>
                <w:jc w:val="center"/>
              </w:trPr>
              <w:tc>
                <w:tcPr>
                  <w:tcW w:w="1015" w:type="dxa"/>
                  <w:vMerge w:val="continue"/>
                  <w:vAlign w:val="center"/>
                </w:tcPr>
                <w:p>
                  <w:pPr>
                    <w:pStyle w:val="41"/>
                    <w:adjustRightInd/>
                    <w:snapToGrid/>
                    <w:spacing w:line="240" w:lineRule="auto"/>
                    <w:rPr>
                      <w:rFonts w:ascii="Times New Roman" w:hAnsi="Times New Roman"/>
                      <w:i/>
                      <w:iCs/>
                      <w:sz w:val="21"/>
                      <w:u w:val="single"/>
                    </w:rPr>
                  </w:pPr>
                </w:p>
              </w:tc>
              <w:tc>
                <w:tcPr>
                  <w:tcW w:w="1710" w:type="dxa"/>
                  <w:vAlign w:val="center"/>
                </w:tcPr>
                <w:p>
                  <w:pPr>
                    <w:pStyle w:val="41"/>
                    <w:adjustRightInd/>
                    <w:snapToGrid/>
                    <w:spacing w:line="240" w:lineRule="auto"/>
                    <w:rPr>
                      <w:rFonts w:ascii="Times New Roman" w:hAnsi="Times New Roman"/>
                      <w:i/>
                      <w:iCs/>
                      <w:sz w:val="21"/>
                      <w:u w:val="single"/>
                    </w:rPr>
                  </w:pPr>
                  <w:r>
                    <w:rPr>
                      <w:rFonts w:ascii="Times New Roman" w:hAnsi="Times New Roman"/>
                      <w:i/>
                      <w:iCs/>
                      <w:sz w:val="21"/>
                      <w:u w:val="single"/>
                    </w:rPr>
                    <w:t>噪声</w:t>
                  </w:r>
                </w:p>
              </w:tc>
              <w:tc>
                <w:tcPr>
                  <w:tcW w:w="4106" w:type="dxa"/>
                  <w:vAlign w:val="center"/>
                </w:tcPr>
                <w:p>
                  <w:pPr>
                    <w:pStyle w:val="41"/>
                    <w:adjustRightInd/>
                    <w:snapToGrid/>
                    <w:spacing w:line="240" w:lineRule="auto"/>
                    <w:jc w:val="both"/>
                    <w:rPr>
                      <w:rFonts w:ascii="Times New Roman" w:hAnsi="Times New Roman"/>
                      <w:i/>
                      <w:iCs/>
                      <w:sz w:val="21"/>
                      <w:u w:val="single"/>
                    </w:rPr>
                  </w:pPr>
                  <w:r>
                    <w:rPr>
                      <w:rFonts w:hint="eastAsia" w:ascii="Times New Roman" w:hAnsi="Times New Roman"/>
                      <w:i/>
                      <w:iCs/>
                      <w:sz w:val="21"/>
                      <w:u w:val="single"/>
                    </w:rPr>
                    <w:t>选用低噪声设备，设备采取隔声、减振等措施。</w:t>
                  </w:r>
                </w:p>
              </w:tc>
              <w:tc>
                <w:tcPr>
                  <w:tcW w:w="1057" w:type="dxa"/>
                  <w:vAlign w:val="center"/>
                </w:tcPr>
                <w:p>
                  <w:pPr>
                    <w:pStyle w:val="41"/>
                    <w:adjustRightInd/>
                    <w:snapToGrid/>
                    <w:spacing w:line="240" w:lineRule="auto"/>
                    <w:rPr>
                      <w:rFonts w:ascii="Times New Roman" w:hAnsi="Times New Roman"/>
                      <w:i/>
                      <w:iCs/>
                      <w:sz w:val="21"/>
                      <w:u w:val="single"/>
                    </w:rPr>
                  </w:pPr>
                  <w:r>
                    <w:rPr>
                      <w:rFonts w:hint="eastAsia" w:ascii="Times New Roman" w:hAnsi="Times New Roman"/>
                      <w:i/>
                      <w:iCs/>
                      <w:sz w:val="21"/>
                      <w:u w:val="single"/>
                    </w:rPr>
                    <w:t>新建</w:t>
                  </w:r>
                </w:p>
              </w:tc>
            </w:tr>
            <w:tr>
              <w:trPr>
                <w:trHeight w:val="644" w:hRule="atLeast"/>
                <w:jc w:val="center"/>
              </w:trPr>
              <w:tc>
                <w:tcPr>
                  <w:tcW w:w="1015" w:type="dxa"/>
                  <w:vMerge w:val="continue"/>
                  <w:vAlign w:val="center"/>
                </w:tcPr>
                <w:p>
                  <w:pPr>
                    <w:pStyle w:val="41"/>
                    <w:adjustRightInd/>
                    <w:snapToGrid/>
                    <w:spacing w:line="240" w:lineRule="auto"/>
                    <w:rPr>
                      <w:rFonts w:ascii="Times New Roman" w:hAnsi="Times New Roman"/>
                      <w:i/>
                      <w:iCs/>
                      <w:sz w:val="21"/>
                      <w:u w:val="single"/>
                    </w:rPr>
                  </w:pPr>
                </w:p>
              </w:tc>
              <w:tc>
                <w:tcPr>
                  <w:tcW w:w="1710" w:type="dxa"/>
                  <w:vMerge w:val="restart"/>
                  <w:vAlign w:val="center"/>
                </w:tcPr>
                <w:p>
                  <w:pPr>
                    <w:pStyle w:val="41"/>
                    <w:adjustRightInd/>
                    <w:snapToGrid/>
                    <w:spacing w:line="240" w:lineRule="auto"/>
                    <w:rPr>
                      <w:rFonts w:ascii="Times New Roman" w:hAnsi="Times New Roman"/>
                      <w:i/>
                      <w:iCs/>
                      <w:sz w:val="21"/>
                      <w:u w:val="single"/>
                    </w:rPr>
                  </w:pPr>
                  <w:r>
                    <w:rPr>
                      <w:rFonts w:ascii="Times New Roman" w:hAnsi="Times New Roman"/>
                      <w:i/>
                      <w:iCs/>
                      <w:sz w:val="21"/>
                      <w:u w:val="single"/>
                    </w:rPr>
                    <w:t>固废</w:t>
                  </w:r>
                </w:p>
              </w:tc>
              <w:tc>
                <w:tcPr>
                  <w:tcW w:w="4106" w:type="dxa"/>
                  <w:vAlign w:val="center"/>
                </w:tcPr>
                <w:p>
                  <w:pPr>
                    <w:pStyle w:val="41"/>
                    <w:adjustRightInd/>
                    <w:snapToGrid/>
                    <w:spacing w:line="240" w:lineRule="auto"/>
                    <w:jc w:val="both"/>
                    <w:rPr>
                      <w:rFonts w:ascii="Times New Roman" w:hAnsi="Times New Roman"/>
                      <w:i/>
                      <w:iCs/>
                      <w:sz w:val="21"/>
                      <w:u w:val="single"/>
                    </w:rPr>
                  </w:pPr>
                  <w:r>
                    <w:rPr>
                      <w:rFonts w:hint="eastAsia" w:ascii="Times New Roman" w:hAnsi="Times New Roman"/>
                      <w:i/>
                      <w:iCs/>
                      <w:sz w:val="21"/>
                      <w:u w:val="single"/>
                    </w:rPr>
                    <w:t>生活垃圾暂存于垃圾桶内，由环卫部门统一清运处理。</w:t>
                  </w:r>
                </w:p>
              </w:tc>
              <w:tc>
                <w:tcPr>
                  <w:tcW w:w="1057" w:type="dxa"/>
                  <w:vAlign w:val="center"/>
                </w:tcPr>
                <w:p>
                  <w:pPr>
                    <w:widowControl/>
                    <w:ind w:firstLine="210" w:firstLineChars="100"/>
                    <w:jc w:val="left"/>
                    <w:rPr>
                      <w:i/>
                      <w:iCs/>
                      <w:snapToGrid w:val="0"/>
                      <w:kern w:val="0"/>
                      <w:szCs w:val="21"/>
                      <w:u w:val="single"/>
                    </w:rPr>
                  </w:pPr>
                  <w:r>
                    <w:rPr>
                      <w:rFonts w:hint="eastAsia"/>
                      <w:i/>
                      <w:iCs/>
                      <w:snapToGrid w:val="0"/>
                      <w:kern w:val="0"/>
                      <w:szCs w:val="21"/>
                      <w:u w:val="single"/>
                    </w:rPr>
                    <w:t>新建</w:t>
                  </w:r>
                </w:p>
              </w:tc>
            </w:tr>
            <w:tr>
              <w:trPr>
                <w:trHeight w:val="644" w:hRule="atLeast"/>
                <w:jc w:val="center"/>
              </w:trPr>
              <w:tc>
                <w:tcPr>
                  <w:tcW w:w="1015" w:type="dxa"/>
                  <w:vMerge w:val="continue"/>
                  <w:vAlign w:val="center"/>
                </w:tcPr>
                <w:p>
                  <w:pPr>
                    <w:pStyle w:val="41"/>
                    <w:adjustRightInd/>
                    <w:snapToGrid/>
                    <w:spacing w:line="240" w:lineRule="auto"/>
                    <w:rPr>
                      <w:rFonts w:ascii="Times New Roman" w:hAnsi="Times New Roman"/>
                      <w:i/>
                      <w:iCs/>
                      <w:sz w:val="21"/>
                      <w:u w:val="single"/>
                    </w:rPr>
                  </w:pPr>
                </w:p>
              </w:tc>
              <w:tc>
                <w:tcPr>
                  <w:tcW w:w="1710" w:type="dxa"/>
                  <w:vMerge w:val="continue"/>
                  <w:vAlign w:val="center"/>
                </w:tcPr>
                <w:p>
                  <w:pPr>
                    <w:pStyle w:val="41"/>
                    <w:adjustRightInd/>
                    <w:snapToGrid/>
                    <w:spacing w:line="240" w:lineRule="auto"/>
                    <w:rPr>
                      <w:rFonts w:ascii="Times New Roman" w:hAnsi="Times New Roman"/>
                      <w:i/>
                      <w:iCs/>
                      <w:sz w:val="21"/>
                      <w:u w:val="single"/>
                    </w:rPr>
                  </w:pPr>
                </w:p>
              </w:tc>
              <w:tc>
                <w:tcPr>
                  <w:tcW w:w="4106" w:type="dxa"/>
                  <w:vAlign w:val="center"/>
                </w:tcPr>
                <w:p>
                  <w:pPr>
                    <w:pStyle w:val="41"/>
                    <w:adjustRightInd/>
                    <w:snapToGrid/>
                    <w:spacing w:line="240" w:lineRule="auto"/>
                    <w:jc w:val="both"/>
                    <w:rPr>
                      <w:rFonts w:ascii="Times New Roman" w:hAnsi="Times New Roman"/>
                      <w:i/>
                      <w:iCs/>
                      <w:sz w:val="21"/>
                      <w:u w:val="single"/>
                    </w:rPr>
                  </w:pPr>
                  <w:r>
                    <w:rPr>
                      <w:rFonts w:hint="eastAsia" w:ascii="Times New Roman" w:hAnsi="Times New Roman"/>
                      <w:i/>
                      <w:iCs/>
                      <w:sz w:val="21"/>
                      <w:u w:val="single"/>
                    </w:rPr>
                    <w:t>拆解过程产生的可回用拆解物售予下游回收利用单位。</w:t>
                  </w:r>
                </w:p>
              </w:tc>
              <w:tc>
                <w:tcPr>
                  <w:tcW w:w="1057" w:type="dxa"/>
                  <w:vAlign w:val="center"/>
                </w:tcPr>
                <w:p>
                  <w:pPr>
                    <w:widowControl/>
                    <w:ind w:firstLine="210" w:firstLineChars="100"/>
                    <w:jc w:val="left"/>
                    <w:rPr>
                      <w:i/>
                      <w:iCs/>
                      <w:snapToGrid w:val="0"/>
                      <w:kern w:val="0"/>
                      <w:szCs w:val="21"/>
                      <w:u w:val="single"/>
                    </w:rPr>
                  </w:pPr>
                  <w:r>
                    <w:rPr>
                      <w:rFonts w:hint="eastAsia"/>
                      <w:i/>
                      <w:iCs/>
                      <w:snapToGrid w:val="0"/>
                      <w:kern w:val="0"/>
                      <w:szCs w:val="21"/>
                      <w:u w:val="single"/>
                    </w:rPr>
                    <w:t>新建</w:t>
                  </w:r>
                </w:p>
              </w:tc>
            </w:tr>
            <w:tr>
              <w:trPr>
                <w:trHeight w:val="943" w:hRule="atLeast"/>
                <w:jc w:val="center"/>
              </w:trPr>
              <w:tc>
                <w:tcPr>
                  <w:tcW w:w="1015" w:type="dxa"/>
                  <w:vMerge w:val="continue"/>
                  <w:vAlign w:val="center"/>
                </w:tcPr>
                <w:p>
                  <w:pPr>
                    <w:pStyle w:val="41"/>
                    <w:adjustRightInd/>
                    <w:snapToGrid/>
                    <w:spacing w:line="240" w:lineRule="auto"/>
                    <w:rPr>
                      <w:rFonts w:ascii="Times New Roman" w:hAnsi="Times New Roman"/>
                      <w:i/>
                      <w:iCs/>
                      <w:sz w:val="21"/>
                      <w:u w:val="single"/>
                    </w:rPr>
                  </w:pPr>
                </w:p>
              </w:tc>
              <w:tc>
                <w:tcPr>
                  <w:tcW w:w="1710" w:type="dxa"/>
                  <w:vMerge w:val="continue"/>
                  <w:vAlign w:val="center"/>
                </w:tcPr>
                <w:p>
                  <w:pPr>
                    <w:pStyle w:val="41"/>
                    <w:adjustRightInd/>
                    <w:snapToGrid/>
                    <w:spacing w:line="240" w:lineRule="auto"/>
                    <w:rPr>
                      <w:rFonts w:ascii="Times New Roman" w:hAnsi="Times New Roman"/>
                      <w:i/>
                      <w:iCs/>
                      <w:sz w:val="21"/>
                      <w:u w:val="single"/>
                    </w:rPr>
                  </w:pPr>
                </w:p>
              </w:tc>
              <w:tc>
                <w:tcPr>
                  <w:tcW w:w="4106" w:type="dxa"/>
                  <w:vAlign w:val="center"/>
                </w:tcPr>
                <w:p>
                  <w:pPr>
                    <w:pStyle w:val="41"/>
                    <w:adjustRightInd/>
                    <w:snapToGrid/>
                    <w:spacing w:line="240" w:lineRule="auto"/>
                    <w:jc w:val="both"/>
                    <w:rPr>
                      <w:rFonts w:ascii="Times New Roman" w:hAnsi="Times New Roman"/>
                      <w:i/>
                      <w:iCs/>
                      <w:sz w:val="21"/>
                      <w:u w:val="single"/>
                    </w:rPr>
                  </w:pPr>
                  <w:r>
                    <w:rPr>
                      <w:rFonts w:hint="eastAsia" w:ascii="Times New Roman" w:hAnsi="Times New Roman"/>
                      <w:i/>
                      <w:iCs/>
                      <w:sz w:val="21"/>
                      <w:u w:val="single"/>
                    </w:rPr>
                    <w:t>拆解过程中产生的危险废物等，集中收集后暂存于危险废物贮存库，交由有资质单位进行处置。</w:t>
                  </w:r>
                </w:p>
              </w:tc>
              <w:tc>
                <w:tcPr>
                  <w:tcW w:w="1057" w:type="dxa"/>
                  <w:vAlign w:val="center"/>
                </w:tcPr>
                <w:p>
                  <w:pPr>
                    <w:widowControl/>
                    <w:jc w:val="center"/>
                    <w:rPr>
                      <w:i/>
                      <w:iCs/>
                      <w:snapToGrid w:val="0"/>
                      <w:kern w:val="0"/>
                      <w:szCs w:val="21"/>
                      <w:u w:val="single"/>
                    </w:rPr>
                  </w:pPr>
                  <w:r>
                    <w:rPr>
                      <w:rFonts w:hint="eastAsia"/>
                      <w:i/>
                      <w:iCs/>
                      <w:snapToGrid w:val="0"/>
                      <w:kern w:val="0"/>
                      <w:szCs w:val="21"/>
                      <w:u w:val="single"/>
                    </w:rPr>
                    <w:t>新建</w:t>
                  </w:r>
                </w:p>
              </w:tc>
            </w:tr>
            <w:tr>
              <w:trPr>
                <w:trHeight w:val="392" w:hRule="atLeast"/>
                <w:jc w:val="center"/>
              </w:trPr>
              <w:tc>
                <w:tcPr>
                  <w:tcW w:w="1015" w:type="dxa"/>
                  <w:vMerge w:val="continue"/>
                  <w:vAlign w:val="center"/>
                </w:tcPr>
                <w:p>
                  <w:pPr>
                    <w:pStyle w:val="41"/>
                    <w:adjustRightInd/>
                    <w:snapToGrid/>
                    <w:spacing w:line="240" w:lineRule="auto"/>
                    <w:rPr>
                      <w:rFonts w:ascii="Times New Roman" w:hAnsi="Times New Roman"/>
                      <w:i/>
                      <w:iCs/>
                      <w:sz w:val="21"/>
                      <w:u w:val="single"/>
                    </w:rPr>
                  </w:pPr>
                </w:p>
              </w:tc>
              <w:tc>
                <w:tcPr>
                  <w:tcW w:w="1710" w:type="dxa"/>
                  <w:vAlign w:val="center"/>
                </w:tcPr>
                <w:p>
                  <w:pPr>
                    <w:pStyle w:val="41"/>
                    <w:adjustRightInd/>
                    <w:snapToGrid/>
                    <w:spacing w:line="240" w:lineRule="auto"/>
                    <w:rPr>
                      <w:rFonts w:ascii="Times New Roman" w:hAnsi="Times New Roman"/>
                      <w:i/>
                      <w:iCs/>
                      <w:sz w:val="21"/>
                      <w:u w:val="single"/>
                    </w:rPr>
                  </w:pPr>
                  <w:r>
                    <w:rPr>
                      <w:rFonts w:hint="eastAsia" w:ascii="Times New Roman" w:hAnsi="Times New Roman"/>
                      <w:i/>
                      <w:iCs/>
                      <w:sz w:val="21"/>
                      <w:u w:val="single"/>
                    </w:rPr>
                    <w:t>污水暂存池</w:t>
                  </w:r>
                </w:p>
              </w:tc>
              <w:tc>
                <w:tcPr>
                  <w:tcW w:w="4106" w:type="dxa"/>
                  <w:vAlign w:val="center"/>
                </w:tcPr>
                <w:p>
                  <w:pPr>
                    <w:pStyle w:val="41"/>
                    <w:adjustRightInd/>
                    <w:snapToGrid/>
                    <w:spacing w:line="240" w:lineRule="auto"/>
                    <w:rPr>
                      <w:rFonts w:ascii="Times New Roman" w:hAnsi="Times New Roman"/>
                      <w:i/>
                      <w:iCs/>
                      <w:sz w:val="21"/>
                      <w:u w:val="single"/>
                    </w:rPr>
                  </w:pPr>
                  <w:r>
                    <w:rPr>
                      <w:rFonts w:hint="eastAsia" w:ascii="Times New Roman" w:hAnsi="Times New Roman"/>
                      <w:i/>
                      <w:iCs/>
                      <w:sz w:val="21"/>
                      <w:u w:val="single"/>
                    </w:rPr>
                    <w:t>有效容积30</w:t>
                  </w:r>
                  <w:r>
                    <w:rPr>
                      <w:rFonts w:ascii="Times New Roman" w:hAnsi="Times New Roman"/>
                      <w:i/>
                      <w:iCs/>
                      <w:sz w:val="21"/>
                      <w:u w:val="single"/>
                    </w:rPr>
                    <w:t>m</w:t>
                  </w:r>
                  <w:r>
                    <w:rPr>
                      <w:rFonts w:ascii="Times New Roman" w:hAnsi="Times New Roman"/>
                      <w:i/>
                      <w:iCs/>
                      <w:sz w:val="21"/>
                      <w:u w:val="single"/>
                      <w:vertAlign w:val="superscript"/>
                    </w:rPr>
                    <w:t>3</w:t>
                  </w:r>
                  <w:r>
                    <w:rPr>
                      <w:rFonts w:hint="eastAsia" w:ascii="Times New Roman" w:hAnsi="Times New Roman"/>
                      <w:i/>
                      <w:iCs/>
                      <w:sz w:val="21"/>
                      <w:u w:val="single"/>
                    </w:rPr>
                    <w:t>，防渗混凝土结构。池体上侧安装油水分离器。</w:t>
                  </w:r>
                </w:p>
              </w:tc>
              <w:tc>
                <w:tcPr>
                  <w:tcW w:w="1057" w:type="dxa"/>
                  <w:vAlign w:val="center"/>
                </w:tcPr>
                <w:p>
                  <w:pPr>
                    <w:widowControl/>
                    <w:jc w:val="center"/>
                    <w:rPr>
                      <w:i/>
                      <w:iCs/>
                      <w:snapToGrid w:val="0"/>
                      <w:kern w:val="0"/>
                      <w:szCs w:val="21"/>
                      <w:u w:val="single"/>
                    </w:rPr>
                  </w:pPr>
                  <w:r>
                    <w:rPr>
                      <w:rFonts w:hint="eastAsia"/>
                      <w:i/>
                      <w:iCs/>
                      <w:snapToGrid w:val="0"/>
                      <w:kern w:val="0"/>
                      <w:szCs w:val="21"/>
                      <w:u w:val="single"/>
                    </w:rPr>
                    <w:t>新建</w:t>
                  </w:r>
                </w:p>
              </w:tc>
            </w:tr>
            <w:tr>
              <w:trPr>
                <w:trHeight w:val="392" w:hRule="atLeast"/>
                <w:jc w:val="center"/>
              </w:trPr>
              <w:tc>
                <w:tcPr>
                  <w:tcW w:w="1015" w:type="dxa"/>
                  <w:vMerge w:val="continue"/>
                  <w:vAlign w:val="center"/>
                </w:tcPr>
                <w:p>
                  <w:pPr>
                    <w:pStyle w:val="41"/>
                    <w:adjustRightInd/>
                    <w:snapToGrid/>
                    <w:spacing w:line="240" w:lineRule="auto"/>
                    <w:rPr>
                      <w:rFonts w:ascii="Times New Roman" w:hAnsi="Times New Roman"/>
                      <w:i/>
                      <w:iCs/>
                      <w:sz w:val="21"/>
                      <w:u w:val="single"/>
                    </w:rPr>
                  </w:pPr>
                </w:p>
              </w:tc>
              <w:tc>
                <w:tcPr>
                  <w:tcW w:w="1710" w:type="dxa"/>
                  <w:vAlign w:val="center"/>
                </w:tcPr>
                <w:p>
                  <w:pPr>
                    <w:pStyle w:val="41"/>
                    <w:adjustRightInd/>
                    <w:snapToGrid/>
                    <w:spacing w:line="240" w:lineRule="auto"/>
                    <w:rPr>
                      <w:rFonts w:ascii="Times New Roman" w:hAnsi="Times New Roman"/>
                      <w:i/>
                      <w:iCs/>
                      <w:sz w:val="21"/>
                      <w:u w:val="single"/>
                    </w:rPr>
                  </w:pPr>
                  <w:r>
                    <w:rPr>
                      <w:rFonts w:hint="eastAsia" w:ascii="Times New Roman" w:hAnsi="Times New Roman"/>
                      <w:i/>
                      <w:iCs/>
                      <w:sz w:val="21"/>
                      <w:u w:val="single"/>
                    </w:rPr>
                    <w:t>应急池</w:t>
                  </w:r>
                </w:p>
              </w:tc>
              <w:tc>
                <w:tcPr>
                  <w:tcW w:w="4106" w:type="dxa"/>
                  <w:vAlign w:val="center"/>
                </w:tcPr>
                <w:p>
                  <w:pPr>
                    <w:pStyle w:val="41"/>
                    <w:adjustRightInd/>
                    <w:snapToGrid/>
                    <w:spacing w:line="240" w:lineRule="auto"/>
                    <w:rPr>
                      <w:rFonts w:ascii="Times New Roman" w:hAnsi="Times New Roman"/>
                      <w:i/>
                      <w:iCs/>
                      <w:sz w:val="21"/>
                      <w:u w:val="single"/>
                    </w:rPr>
                  </w:pPr>
                  <w:r>
                    <w:rPr>
                      <w:rFonts w:hint="eastAsia" w:ascii="Times New Roman" w:hAnsi="Times New Roman"/>
                      <w:i/>
                      <w:iCs/>
                      <w:sz w:val="21"/>
                      <w:u w:val="single"/>
                    </w:rPr>
                    <w:t>30</w:t>
                  </w:r>
                  <w:r>
                    <w:rPr>
                      <w:rFonts w:ascii="Times New Roman" w:hAnsi="Times New Roman"/>
                      <w:i/>
                      <w:iCs/>
                      <w:sz w:val="21"/>
                      <w:u w:val="single"/>
                    </w:rPr>
                    <w:t>m</w:t>
                  </w:r>
                  <w:r>
                    <w:rPr>
                      <w:rFonts w:ascii="Times New Roman" w:hAnsi="Times New Roman"/>
                      <w:i/>
                      <w:iCs/>
                      <w:sz w:val="21"/>
                      <w:u w:val="single"/>
                      <w:vertAlign w:val="superscript"/>
                    </w:rPr>
                    <w:t>3</w:t>
                  </w:r>
                  <w:r>
                    <w:rPr>
                      <w:rFonts w:hint="eastAsia" w:ascii="Times New Roman" w:hAnsi="Times New Roman"/>
                      <w:i/>
                      <w:iCs/>
                      <w:sz w:val="21"/>
                      <w:u w:val="single"/>
                    </w:rPr>
                    <w:t>，防渗结构</w:t>
                  </w:r>
                </w:p>
              </w:tc>
              <w:tc>
                <w:tcPr>
                  <w:tcW w:w="1057" w:type="dxa"/>
                  <w:vAlign w:val="center"/>
                </w:tcPr>
                <w:p>
                  <w:pPr>
                    <w:widowControl/>
                    <w:jc w:val="center"/>
                    <w:rPr>
                      <w:i/>
                      <w:iCs/>
                      <w:snapToGrid w:val="0"/>
                      <w:kern w:val="0"/>
                      <w:szCs w:val="21"/>
                      <w:u w:val="single"/>
                    </w:rPr>
                  </w:pPr>
                  <w:r>
                    <w:rPr>
                      <w:rFonts w:hint="eastAsia"/>
                      <w:i/>
                      <w:iCs/>
                      <w:snapToGrid w:val="0"/>
                      <w:kern w:val="0"/>
                      <w:szCs w:val="21"/>
                      <w:u w:val="single"/>
                    </w:rPr>
                    <w:t>新建</w:t>
                  </w:r>
                </w:p>
              </w:tc>
            </w:tr>
            <w:tr>
              <w:trPr>
                <w:trHeight w:val="392" w:hRule="atLeast"/>
                <w:jc w:val="center"/>
              </w:trPr>
              <w:tc>
                <w:tcPr>
                  <w:tcW w:w="1015" w:type="dxa"/>
                  <w:vMerge w:val="continue"/>
                  <w:vAlign w:val="center"/>
                </w:tcPr>
                <w:p>
                  <w:pPr>
                    <w:pStyle w:val="41"/>
                    <w:adjustRightInd/>
                    <w:snapToGrid/>
                    <w:spacing w:line="240" w:lineRule="auto"/>
                    <w:rPr>
                      <w:rFonts w:ascii="Times New Roman" w:hAnsi="Times New Roman"/>
                      <w:i/>
                      <w:iCs/>
                      <w:sz w:val="21"/>
                      <w:u w:val="single"/>
                    </w:rPr>
                  </w:pPr>
                </w:p>
              </w:tc>
              <w:tc>
                <w:tcPr>
                  <w:tcW w:w="1710" w:type="dxa"/>
                  <w:vAlign w:val="center"/>
                </w:tcPr>
                <w:p>
                  <w:pPr>
                    <w:pStyle w:val="41"/>
                    <w:adjustRightInd/>
                    <w:snapToGrid/>
                    <w:spacing w:line="240" w:lineRule="auto"/>
                    <w:rPr>
                      <w:rFonts w:ascii="Times New Roman" w:hAnsi="Times New Roman"/>
                      <w:i/>
                      <w:iCs/>
                      <w:sz w:val="21"/>
                      <w:u w:val="single"/>
                    </w:rPr>
                  </w:pPr>
                  <w:r>
                    <w:rPr>
                      <w:rFonts w:hint="eastAsia" w:ascii="Times New Roman" w:hAnsi="Times New Roman"/>
                      <w:i/>
                      <w:iCs/>
                      <w:sz w:val="21"/>
                      <w:u w:val="single"/>
                    </w:rPr>
                    <w:t>地面防渗</w:t>
                  </w:r>
                </w:p>
              </w:tc>
              <w:tc>
                <w:tcPr>
                  <w:tcW w:w="4106" w:type="dxa"/>
                  <w:vAlign w:val="center"/>
                </w:tcPr>
                <w:p>
                  <w:pPr>
                    <w:pStyle w:val="41"/>
                    <w:adjustRightInd/>
                    <w:snapToGrid/>
                    <w:spacing w:line="240" w:lineRule="auto"/>
                    <w:rPr>
                      <w:rFonts w:ascii="Times New Roman" w:hAnsi="Times New Roman"/>
                      <w:i/>
                      <w:iCs/>
                      <w:sz w:val="21"/>
                      <w:u w:val="single"/>
                    </w:rPr>
                  </w:pPr>
                  <w:r>
                    <w:rPr>
                      <w:rFonts w:hint="eastAsia" w:ascii="Times New Roman" w:hAnsi="Times New Roman"/>
                      <w:i/>
                      <w:iCs/>
                      <w:sz w:val="21"/>
                      <w:u w:val="single"/>
                    </w:rPr>
                    <w:t>厂房内部使用面积2058.15</w:t>
                  </w:r>
                  <w:r>
                    <w:rPr>
                      <w:rFonts w:ascii="Times New Roman" w:hAnsi="Times New Roman"/>
                      <w:i/>
                      <w:iCs/>
                      <w:sz w:val="21"/>
                      <w:u w:val="single"/>
                    </w:rPr>
                    <w:t>m</w:t>
                  </w:r>
                  <w:r>
                    <w:rPr>
                      <w:rFonts w:hint="eastAsia" w:ascii="Times New Roman" w:hAnsi="Times New Roman"/>
                      <w:i/>
                      <w:iCs/>
                      <w:sz w:val="21"/>
                      <w:u w:val="single"/>
                      <w:vertAlign w:val="superscript"/>
                    </w:rPr>
                    <w:t>2</w:t>
                  </w:r>
                  <w:r>
                    <w:rPr>
                      <w:rFonts w:ascii="Times New Roman" w:hAnsi="Times New Roman"/>
                      <w:i/>
                      <w:iCs/>
                      <w:sz w:val="21"/>
                      <w:u w:val="single"/>
                    </w:rPr>
                    <w:t>。</w:t>
                  </w:r>
                </w:p>
              </w:tc>
              <w:tc>
                <w:tcPr>
                  <w:tcW w:w="1057" w:type="dxa"/>
                  <w:vAlign w:val="center"/>
                </w:tcPr>
                <w:p>
                  <w:pPr>
                    <w:widowControl/>
                    <w:jc w:val="center"/>
                    <w:rPr>
                      <w:i/>
                      <w:iCs/>
                      <w:snapToGrid w:val="0"/>
                      <w:kern w:val="0"/>
                      <w:szCs w:val="21"/>
                      <w:u w:val="single"/>
                    </w:rPr>
                  </w:pPr>
                  <w:r>
                    <w:rPr>
                      <w:rFonts w:hint="eastAsia"/>
                      <w:i/>
                      <w:iCs/>
                      <w:snapToGrid w:val="0"/>
                      <w:kern w:val="0"/>
                      <w:szCs w:val="21"/>
                      <w:u w:val="single"/>
                    </w:rPr>
                    <w:t>改造</w:t>
                  </w:r>
                </w:p>
              </w:tc>
            </w:tr>
          </w:tbl>
          <w:p>
            <w:pPr>
              <w:widowControl/>
              <w:spacing w:beforeLines="50" w:afterLines="50"/>
              <w:ind w:firstLine="482" w:firstLineChars="200"/>
              <w:jc w:val="left"/>
            </w:pPr>
            <w:r>
              <w:rPr>
                <w:rFonts w:hint="eastAsia"/>
                <w:b/>
                <w:bCs/>
                <w:kern w:val="0"/>
                <w:sz w:val="24"/>
              </w:rPr>
              <w:t>5</w:t>
            </w:r>
            <w:r>
              <w:rPr>
                <w:rFonts w:hint="eastAsia" w:ascii="宋体" w:hAnsi="宋体" w:cs="宋体"/>
                <w:b/>
                <w:bCs/>
                <w:kern w:val="0"/>
                <w:sz w:val="24"/>
              </w:rPr>
              <w:t>、报废农机回收、拆解规模</w:t>
            </w:r>
          </w:p>
          <w:p>
            <w:pPr>
              <w:widowControl/>
              <w:spacing w:line="360" w:lineRule="auto"/>
              <w:ind w:firstLine="482" w:firstLineChars="200"/>
              <w:jc w:val="left"/>
              <w:rPr>
                <w:b/>
                <w:bCs/>
                <w:i/>
                <w:iCs/>
                <w:sz w:val="24"/>
                <w:u w:val="single"/>
              </w:rPr>
            </w:pPr>
            <w:r>
              <w:rPr>
                <w:rFonts w:hint="eastAsia" w:ascii="宋体" w:hAnsi="宋体" w:cs="宋体"/>
                <w:b/>
                <w:bCs/>
                <w:i/>
                <w:iCs/>
                <w:kern w:val="0"/>
                <w:sz w:val="24"/>
                <w:u w:val="single"/>
              </w:rPr>
              <w:t>（</w:t>
            </w:r>
            <w:r>
              <w:rPr>
                <w:b/>
                <w:bCs/>
                <w:i/>
                <w:iCs/>
                <w:kern w:val="0"/>
                <w:sz w:val="24"/>
                <w:u w:val="single"/>
              </w:rPr>
              <w:t>1</w:t>
            </w:r>
            <w:r>
              <w:rPr>
                <w:rFonts w:hint="eastAsia" w:ascii="宋体" w:hAnsi="宋体" w:cs="宋体"/>
                <w:b/>
                <w:bCs/>
                <w:i/>
                <w:iCs/>
                <w:kern w:val="0"/>
                <w:sz w:val="24"/>
                <w:u w:val="single"/>
              </w:rPr>
              <w:t xml:space="preserve">）拆解规模 </w:t>
            </w:r>
          </w:p>
          <w:p>
            <w:pPr>
              <w:widowControl/>
              <w:spacing w:line="360" w:lineRule="auto"/>
              <w:ind w:firstLine="480" w:firstLineChars="200"/>
              <w:jc w:val="left"/>
              <w:rPr>
                <w:i/>
                <w:iCs/>
                <w:sz w:val="24"/>
                <w:u w:val="single"/>
              </w:rPr>
            </w:pPr>
            <w:bookmarkStart w:id="6" w:name="OLE_LINK2"/>
            <w:r>
              <w:rPr>
                <w:rFonts w:hint="eastAsia" w:ascii="宋体" w:hAnsi="宋体" w:cs="宋体"/>
                <w:i/>
                <w:iCs/>
                <w:kern w:val="0"/>
                <w:sz w:val="24"/>
                <w:u w:val="single"/>
              </w:rPr>
              <w:t>根据建设单位调研，柳河县当地农机市场</w:t>
            </w:r>
            <w:r>
              <w:rPr>
                <w:rFonts w:ascii="宋体" w:hAnsi="宋体" w:cs="宋体"/>
                <w:i/>
                <w:iCs/>
                <w:kern w:val="0"/>
                <w:sz w:val="24"/>
                <w:u w:val="single"/>
              </w:rPr>
              <w:t>以拖拉机、联合收割机、</w:t>
            </w:r>
            <w:r>
              <w:rPr>
                <w:rFonts w:hint="eastAsia" w:ascii="宋体" w:hAnsi="宋体" w:cs="宋体"/>
                <w:i/>
                <w:iCs/>
                <w:kern w:val="0"/>
                <w:sz w:val="24"/>
                <w:u w:val="single"/>
              </w:rPr>
              <w:t>播种机</w:t>
            </w:r>
            <w:r>
              <w:rPr>
                <w:rFonts w:ascii="宋体" w:hAnsi="宋体" w:cs="宋体"/>
                <w:i/>
                <w:iCs/>
                <w:kern w:val="0"/>
                <w:sz w:val="24"/>
                <w:u w:val="single"/>
              </w:rPr>
              <w:t>、</w:t>
            </w:r>
            <w:r>
              <w:rPr>
                <w:rFonts w:hint="eastAsia" w:ascii="宋体" w:hAnsi="宋体" w:cs="宋体"/>
                <w:i/>
                <w:iCs/>
                <w:kern w:val="0"/>
                <w:sz w:val="24"/>
                <w:u w:val="single"/>
              </w:rPr>
              <w:t>耕整机</w:t>
            </w:r>
            <w:r>
              <w:rPr>
                <w:rFonts w:ascii="宋体" w:hAnsi="宋体" w:cs="宋体"/>
                <w:i/>
                <w:iCs/>
                <w:kern w:val="0"/>
                <w:sz w:val="24"/>
                <w:u w:val="single"/>
              </w:rPr>
              <w:t>等非电动自走式内燃机农机为主</w:t>
            </w:r>
            <w:r>
              <w:rPr>
                <w:rFonts w:hint="eastAsia" w:ascii="宋体" w:hAnsi="宋体" w:cs="宋体"/>
                <w:i/>
                <w:iCs/>
                <w:kern w:val="0"/>
                <w:sz w:val="24"/>
                <w:u w:val="single"/>
              </w:rPr>
              <w:t>，</w:t>
            </w:r>
            <w:r>
              <w:rPr>
                <w:rFonts w:ascii="宋体" w:hAnsi="宋体" w:cs="宋体"/>
                <w:i/>
                <w:iCs/>
                <w:kern w:val="0"/>
                <w:sz w:val="24"/>
                <w:u w:val="single"/>
              </w:rPr>
              <w:t xml:space="preserve">总保有量约 1.5～1.8 万台，年报废量 </w:t>
            </w:r>
            <w:r>
              <w:rPr>
                <w:rFonts w:hint="eastAsia" w:ascii="宋体" w:hAnsi="宋体" w:cs="宋体"/>
                <w:i/>
                <w:iCs/>
                <w:kern w:val="0"/>
                <w:sz w:val="24"/>
                <w:u w:val="single"/>
              </w:rPr>
              <w:t>7</w:t>
            </w:r>
            <w:r>
              <w:rPr>
                <w:rFonts w:ascii="宋体" w:hAnsi="宋体" w:cs="宋体"/>
                <w:i/>
                <w:iCs/>
                <w:kern w:val="0"/>
                <w:sz w:val="24"/>
                <w:u w:val="single"/>
              </w:rPr>
              <w:t>00～</w:t>
            </w:r>
            <w:r>
              <w:rPr>
                <w:rFonts w:hint="eastAsia" w:ascii="宋体" w:hAnsi="宋体" w:cs="宋体"/>
                <w:i/>
                <w:iCs/>
                <w:kern w:val="0"/>
                <w:sz w:val="24"/>
                <w:u w:val="single"/>
              </w:rPr>
              <w:t>18</w:t>
            </w:r>
            <w:r>
              <w:rPr>
                <w:rFonts w:ascii="宋体" w:hAnsi="宋体" w:cs="宋体"/>
                <w:i/>
                <w:iCs/>
                <w:kern w:val="0"/>
                <w:sz w:val="24"/>
                <w:u w:val="single"/>
              </w:rPr>
              <w:t>00 台，拖拉机、玉米/稻麦收割机、水稻插秧机为报废拆解核心品类。</w:t>
            </w:r>
            <w:r>
              <w:rPr>
                <w:rFonts w:hint="eastAsia" w:ascii="宋体" w:hAnsi="宋体" w:cs="宋体"/>
                <w:i/>
                <w:iCs/>
                <w:kern w:val="0"/>
                <w:sz w:val="24"/>
                <w:u w:val="single"/>
              </w:rPr>
              <w:t>本项目预计年拆解各类报废农机75</w:t>
            </w:r>
            <w:r>
              <w:rPr>
                <w:i/>
                <w:iCs/>
                <w:kern w:val="0"/>
                <w:sz w:val="24"/>
                <w:u w:val="single"/>
              </w:rPr>
              <w:t>0</w:t>
            </w:r>
            <w:r>
              <w:rPr>
                <w:rFonts w:hint="eastAsia" w:ascii="宋体" w:hAnsi="宋体" w:cs="宋体"/>
                <w:i/>
                <w:iCs/>
                <w:kern w:val="0"/>
                <w:sz w:val="24"/>
                <w:u w:val="single"/>
              </w:rPr>
              <w:t>台，其中包括拖拉机250台，耕整机100台，播种机50台、玉米收割机150台，联合谷物收割机100台、其他农用机械100台。其中所有农机不含电动自走式农业机械。最大拆解能力为30台/天。</w:t>
            </w:r>
          </w:p>
          <w:bookmarkEnd w:id="6"/>
          <w:p>
            <w:pPr>
              <w:widowControl/>
              <w:spacing w:line="360" w:lineRule="auto"/>
              <w:ind w:firstLine="482" w:firstLineChars="200"/>
              <w:jc w:val="left"/>
              <w:rPr>
                <w:i/>
                <w:iCs/>
                <w:sz w:val="24"/>
                <w:u w:val="single"/>
              </w:rPr>
            </w:pPr>
            <w:r>
              <w:rPr>
                <w:rFonts w:hint="eastAsia" w:ascii="宋体" w:hAnsi="宋体" w:cs="宋体"/>
                <w:b/>
                <w:bCs/>
                <w:i/>
                <w:iCs/>
                <w:kern w:val="0"/>
                <w:sz w:val="24"/>
                <w:u w:val="single"/>
              </w:rPr>
              <w:t>（</w:t>
            </w:r>
            <w:r>
              <w:rPr>
                <w:b/>
                <w:bCs/>
                <w:i/>
                <w:iCs/>
                <w:kern w:val="0"/>
                <w:sz w:val="24"/>
                <w:u w:val="single"/>
              </w:rPr>
              <w:t>2</w:t>
            </w:r>
            <w:r>
              <w:rPr>
                <w:rFonts w:hint="eastAsia" w:ascii="宋体" w:hAnsi="宋体" w:cs="宋体"/>
                <w:b/>
                <w:bCs/>
                <w:i/>
                <w:iCs/>
                <w:kern w:val="0"/>
                <w:sz w:val="24"/>
                <w:u w:val="single"/>
              </w:rPr>
              <w:t>）报废农机收纳范围</w:t>
            </w:r>
            <w:r>
              <w:rPr>
                <w:rFonts w:hint="eastAsia" w:ascii="宋体" w:hAnsi="宋体" w:cs="宋体"/>
                <w:i/>
                <w:iCs/>
                <w:kern w:val="0"/>
                <w:sz w:val="24"/>
                <w:u w:val="single"/>
              </w:rPr>
              <w:t xml:space="preserve"> </w:t>
            </w:r>
          </w:p>
          <w:p>
            <w:pPr>
              <w:widowControl/>
              <w:spacing w:line="360" w:lineRule="auto"/>
              <w:ind w:firstLine="480" w:firstLineChars="200"/>
              <w:jc w:val="left"/>
              <w:rPr>
                <w:sz w:val="24"/>
              </w:rPr>
            </w:pPr>
            <w:r>
              <w:rPr>
                <w:rFonts w:hint="eastAsia" w:ascii="宋体" w:hAnsi="宋体" w:cs="宋体"/>
                <w:i/>
                <w:iCs/>
                <w:kern w:val="0"/>
                <w:sz w:val="24"/>
                <w:u w:val="single"/>
              </w:rPr>
              <w:t>本项目拆解报废农用机械，报废农机来源主要为项目周边区域范围内以及周边农村地区产生的报废农业机械，包括拖拉机、玉米收割机、水稻收割机、播种机、耕整机、喷雾机、打药机等，均为自走式农业机械，本项目拆解对象不包括纯电动农机设备，不包括小轿车、货车、客车、以及摩托车等，不包括其他油罐车、消防车、危险品运输车型等。</w:t>
            </w:r>
            <w:r>
              <w:rPr>
                <w:rFonts w:hint="eastAsia" w:ascii="宋体" w:hAnsi="宋体" w:cs="宋体"/>
                <w:kern w:val="0"/>
                <w:sz w:val="24"/>
              </w:rPr>
              <w:t xml:space="preserve"> </w:t>
            </w:r>
          </w:p>
          <w:p>
            <w:pPr>
              <w:widowControl/>
              <w:spacing w:line="360" w:lineRule="auto"/>
              <w:ind w:firstLine="480" w:firstLineChars="200"/>
              <w:jc w:val="left"/>
              <w:rPr>
                <w:rFonts w:ascii="宋体" w:hAnsi="宋体" w:cs="宋体"/>
                <w:i/>
                <w:iCs/>
                <w:kern w:val="0"/>
                <w:sz w:val="24"/>
                <w:u w:val="single"/>
              </w:rPr>
            </w:pPr>
            <w:r>
              <w:rPr>
                <w:rFonts w:hint="eastAsia" w:ascii="宋体" w:hAnsi="宋体" w:cs="宋体"/>
                <w:i/>
                <w:iCs/>
                <w:kern w:val="0"/>
                <w:sz w:val="24"/>
                <w:u w:val="single"/>
              </w:rPr>
              <w:t>本项目原料使用详见下表：</w:t>
            </w:r>
          </w:p>
          <w:p>
            <w:pPr>
              <w:jc w:val="center"/>
              <w:rPr>
                <w:rFonts w:ascii="宋体" w:hAnsi="宋体" w:cs="宋体"/>
                <w:b/>
                <w:i/>
                <w:iCs/>
                <w:sz w:val="24"/>
                <w:u w:val="single"/>
              </w:rPr>
            </w:pPr>
            <w:r>
              <w:rPr>
                <w:rFonts w:hint="eastAsia" w:ascii="宋体" w:hAnsi="宋体" w:cs="宋体"/>
                <w:b/>
                <w:i/>
                <w:iCs/>
                <w:sz w:val="24"/>
                <w:u w:val="single"/>
              </w:rPr>
              <w:t>表2-2主要原辅材料明细表</w:t>
            </w:r>
          </w:p>
          <w:tbl>
            <w:tblPr>
              <w:tblW w:w="7833"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left w:w="108" w:type="dxa"/>
                <w:right w:w="108" w:type="dxa"/>
              </w:tblCellMar>
            </w:tblPr>
            <w:tblGrid>
              <w:gridCol w:w="1307"/>
              <w:gridCol w:w="1825"/>
              <w:gridCol w:w="1567"/>
              <w:gridCol w:w="1567"/>
              <w:gridCol w:w="1567"/>
            </w:tblGrid>
            <w:tr>
              <w:trPr>
                <w:trHeight w:val="417" w:hRule="atLeast"/>
              </w:trPr>
              <w:tc>
                <w:tcPr>
                  <w:tcW w:w="1307" w:type="dxa"/>
                  <w:vAlign w:val="top"/>
                </w:tcPr>
                <w:p>
                  <w:pPr>
                    <w:rPr>
                      <w:bCs/>
                      <w:i/>
                      <w:iCs/>
                      <w:szCs w:val="21"/>
                      <w:u w:val="single"/>
                    </w:rPr>
                  </w:pPr>
                  <w:r>
                    <w:rPr>
                      <w:rFonts w:hint="eastAsia"/>
                      <w:bCs/>
                      <w:i/>
                      <w:iCs/>
                      <w:szCs w:val="21"/>
                      <w:u w:val="single"/>
                    </w:rPr>
                    <w:t>序号</w:t>
                  </w:r>
                </w:p>
              </w:tc>
              <w:tc>
                <w:tcPr>
                  <w:tcW w:w="1825" w:type="dxa"/>
                  <w:vAlign w:val="top"/>
                </w:tcPr>
                <w:p>
                  <w:pPr>
                    <w:rPr>
                      <w:bCs/>
                      <w:i/>
                      <w:iCs/>
                      <w:szCs w:val="21"/>
                      <w:u w:val="single"/>
                    </w:rPr>
                  </w:pPr>
                  <w:r>
                    <w:rPr>
                      <w:rFonts w:hint="eastAsia"/>
                      <w:bCs/>
                      <w:i/>
                      <w:iCs/>
                      <w:szCs w:val="21"/>
                      <w:u w:val="single"/>
                    </w:rPr>
                    <w:t>原料名称</w:t>
                  </w:r>
                </w:p>
              </w:tc>
              <w:tc>
                <w:tcPr>
                  <w:tcW w:w="1567" w:type="dxa"/>
                  <w:vAlign w:val="top"/>
                </w:tcPr>
                <w:p>
                  <w:pPr>
                    <w:rPr>
                      <w:bCs/>
                      <w:i/>
                      <w:iCs/>
                      <w:szCs w:val="21"/>
                      <w:u w:val="single"/>
                    </w:rPr>
                  </w:pPr>
                  <w:r>
                    <w:rPr>
                      <w:rFonts w:hint="eastAsia"/>
                      <w:bCs/>
                      <w:i/>
                      <w:iCs/>
                      <w:szCs w:val="21"/>
                      <w:u w:val="single"/>
                    </w:rPr>
                    <w:t>单位</w:t>
                  </w:r>
                </w:p>
              </w:tc>
              <w:tc>
                <w:tcPr>
                  <w:tcW w:w="1567" w:type="dxa"/>
                  <w:vAlign w:val="top"/>
                </w:tcPr>
                <w:p>
                  <w:pPr>
                    <w:rPr>
                      <w:bCs/>
                      <w:i/>
                      <w:iCs/>
                      <w:szCs w:val="21"/>
                      <w:u w:val="single"/>
                    </w:rPr>
                  </w:pPr>
                  <w:r>
                    <w:rPr>
                      <w:rFonts w:hint="eastAsia"/>
                      <w:bCs/>
                      <w:i/>
                      <w:iCs/>
                      <w:szCs w:val="21"/>
                      <w:u w:val="single"/>
                    </w:rPr>
                    <w:t>数量</w:t>
                  </w:r>
                </w:p>
              </w:tc>
              <w:tc>
                <w:tcPr>
                  <w:tcW w:w="1567" w:type="dxa"/>
                  <w:vAlign w:val="top"/>
                </w:tcPr>
                <w:p>
                  <w:pPr>
                    <w:rPr>
                      <w:bCs/>
                      <w:i/>
                      <w:iCs/>
                      <w:szCs w:val="21"/>
                      <w:u w:val="single"/>
                    </w:rPr>
                  </w:pPr>
                  <w:r>
                    <w:rPr>
                      <w:rFonts w:hint="eastAsia"/>
                      <w:bCs/>
                      <w:i/>
                      <w:iCs/>
                      <w:szCs w:val="21"/>
                      <w:u w:val="single"/>
                    </w:rPr>
                    <w:t>备注</w:t>
                  </w:r>
                </w:p>
              </w:tc>
            </w:tr>
            <w:tr>
              <w:trPr>
                <w:trHeight w:val="382" w:hRule="atLeast"/>
              </w:trPr>
              <w:tc>
                <w:tcPr>
                  <w:tcW w:w="1307" w:type="dxa"/>
                  <w:vMerge w:val="restart"/>
                  <w:vAlign w:val="top"/>
                </w:tcPr>
                <w:p>
                  <w:pPr>
                    <w:rPr>
                      <w:bCs/>
                      <w:i/>
                      <w:iCs/>
                      <w:szCs w:val="21"/>
                      <w:u w:val="single"/>
                    </w:rPr>
                  </w:pPr>
                  <w:r>
                    <w:rPr>
                      <w:rFonts w:hint="eastAsia"/>
                      <w:bCs/>
                      <w:i/>
                      <w:iCs/>
                      <w:szCs w:val="21"/>
                      <w:u w:val="single"/>
                    </w:rPr>
                    <w:t>原料</w:t>
                  </w:r>
                </w:p>
              </w:tc>
              <w:tc>
                <w:tcPr>
                  <w:tcW w:w="1825" w:type="dxa"/>
                  <w:vAlign w:val="top"/>
                </w:tcPr>
                <w:p>
                  <w:pPr>
                    <w:rPr>
                      <w:bCs/>
                      <w:i/>
                      <w:iCs/>
                      <w:szCs w:val="21"/>
                      <w:u w:val="single"/>
                    </w:rPr>
                  </w:pPr>
                  <w:r>
                    <w:rPr>
                      <w:rFonts w:hint="eastAsia"/>
                      <w:bCs/>
                      <w:i/>
                      <w:iCs/>
                      <w:szCs w:val="21"/>
                      <w:u w:val="single"/>
                    </w:rPr>
                    <w:t>玉米收割机</w:t>
                  </w:r>
                </w:p>
              </w:tc>
              <w:tc>
                <w:tcPr>
                  <w:tcW w:w="1567" w:type="dxa"/>
                  <w:vAlign w:val="top"/>
                </w:tcPr>
                <w:p>
                  <w:pPr>
                    <w:rPr>
                      <w:bCs/>
                      <w:i/>
                      <w:iCs/>
                      <w:szCs w:val="21"/>
                      <w:u w:val="single"/>
                    </w:rPr>
                  </w:pPr>
                  <w:r>
                    <w:rPr>
                      <w:rFonts w:hint="eastAsia"/>
                      <w:bCs/>
                      <w:i/>
                      <w:iCs/>
                      <w:szCs w:val="21"/>
                      <w:u w:val="single"/>
                    </w:rPr>
                    <w:t>150</w:t>
                  </w:r>
                </w:p>
              </w:tc>
              <w:tc>
                <w:tcPr>
                  <w:tcW w:w="1567" w:type="dxa"/>
                  <w:vAlign w:val="top"/>
                </w:tcPr>
                <w:p>
                  <w:pPr>
                    <w:rPr>
                      <w:bCs/>
                      <w:i/>
                      <w:iCs/>
                      <w:szCs w:val="21"/>
                      <w:u w:val="single"/>
                    </w:rPr>
                  </w:pPr>
                  <w:r>
                    <w:rPr>
                      <w:rFonts w:hint="eastAsia"/>
                      <w:bCs/>
                      <w:i/>
                      <w:iCs/>
                      <w:szCs w:val="21"/>
                      <w:u w:val="single"/>
                    </w:rPr>
                    <w:t>台/a</w:t>
                  </w:r>
                </w:p>
              </w:tc>
              <w:tc>
                <w:tcPr>
                  <w:tcW w:w="1567" w:type="dxa"/>
                  <w:vAlign w:val="top"/>
                </w:tcPr>
                <w:p>
                  <w:pPr>
                    <w:rPr>
                      <w:bCs/>
                      <w:i/>
                      <w:iCs/>
                      <w:szCs w:val="21"/>
                      <w:u w:val="single"/>
                    </w:rPr>
                  </w:pPr>
                  <w:r>
                    <w:rPr>
                      <w:rFonts w:hint="eastAsia"/>
                      <w:bCs/>
                      <w:i/>
                      <w:iCs/>
                      <w:szCs w:val="21"/>
                      <w:u w:val="single"/>
                    </w:rPr>
                    <w:t>周边区域回收</w:t>
                  </w:r>
                </w:p>
              </w:tc>
            </w:tr>
            <w:tr>
              <w:trPr>
                <w:trHeight w:val="382" w:hRule="atLeast"/>
              </w:trPr>
              <w:tc>
                <w:tcPr>
                  <w:tcW w:w="1307" w:type="dxa"/>
                  <w:vMerge w:val="continue"/>
                  <w:vAlign w:val="top"/>
                </w:tcPr>
                <w:p>
                  <w:pPr>
                    <w:rPr>
                      <w:bCs/>
                      <w:i/>
                      <w:iCs/>
                      <w:szCs w:val="21"/>
                      <w:u w:val="single"/>
                    </w:rPr>
                  </w:pPr>
                </w:p>
              </w:tc>
              <w:tc>
                <w:tcPr>
                  <w:tcW w:w="1825" w:type="dxa"/>
                  <w:vAlign w:val="top"/>
                </w:tcPr>
                <w:p>
                  <w:pPr>
                    <w:rPr>
                      <w:bCs/>
                      <w:i/>
                      <w:iCs/>
                      <w:szCs w:val="21"/>
                      <w:u w:val="single"/>
                    </w:rPr>
                  </w:pPr>
                  <w:r>
                    <w:rPr>
                      <w:rFonts w:hint="eastAsia"/>
                      <w:bCs/>
                      <w:i/>
                      <w:iCs/>
                      <w:szCs w:val="21"/>
                      <w:u w:val="single"/>
                    </w:rPr>
                    <w:t>联合谷物收割机</w:t>
                  </w:r>
                </w:p>
              </w:tc>
              <w:tc>
                <w:tcPr>
                  <w:tcW w:w="1567" w:type="dxa"/>
                  <w:vAlign w:val="top"/>
                </w:tcPr>
                <w:p>
                  <w:pPr>
                    <w:rPr>
                      <w:bCs/>
                      <w:i/>
                      <w:iCs/>
                      <w:szCs w:val="21"/>
                      <w:u w:val="single"/>
                    </w:rPr>
                  </w:pPr>
                  <w:r>
                    <w:rPr>
                      <w:rFonts w:hint="eastAsia"/>
                      <w:bCs/>
                      <w:i/>
                      <w:iCs/>
                      <w:szCs w:val="21"/>
                      <w:u w:val="single"/>
                    </w:rPr>
                    <w:t>100</w:t>
                  </w:r>
                </w:p>
              </w:tc>
              <w:tc>
                <w:tcPr>
                  <w:tcW w:w="1567" w:type="dxa"/>
                  <w:vAlign w:val="top"/>
                </w:tcPr>
                <w:p>
                  <w:pPr>
                    <w:rPr>
                      <w:bCs/>
                      <w:i/>
                      <w:iCs/>
                      <w:szCs w:val="21"/>
                      <w:u w:val="single"/>
                    </w:rPr>
                  </w:pPr>
                  <w:r>
                    <w:rPr>
                      <w:rFonts w:hint="eastAsia"/>
                      <w:bCs/>
                      <w:i/>
                      <w:iCs/>
                      <w:szCs w:val="21"/>
                      <w:u w:val="single"/>
                    </w:rPr>
                    <w:t>台/a</w:t>
                  </w:r>
                </w:p>
              </w:tc>
              <w:tc>
                <w:tcPr>
                  <w:tcW w:w="1567" w:type="dxa"/>
                  <w:vAlign w:val="top"/>
                </w:tcPr>
                <w:p>
                  <w:pPr>
                    <w:rPr>
                      <w:bCs/>
                      <w:i/>
                      <w:iCs/>
                      <w:szCs w:val="21"/>
                      <w:u w:val="single"/>
                    </w:rPr>
                  </w:pPr>
                  <w:r>
                    <w:rPr>
                      <w:rFonts w:hint="eastAsia"/>
                      <w:bCs/>
                      <w:i/>
                      <w:iCs/>
                      <w:szCs w:val="21"/>
                      <w:u w:val="single"/>
                    </w:rPr>
                    <w:t>周边区域回收</w:t>
                  </w:r>
                </w:p>
              </w:tc>
            </w:tr>
            <w:tr>
              <w:trPr>
                <w:trHeight w:val="382" w:hRule="atLeast"/>
              </w:trPr>
              <w:tc>
                <w:tcPr>
                  <w:tcW w:w="1307" w:type="dxa"/>
                  <w:vMerge w:val="continue"/>
                  <w:vAlign w:val="top"/>
                </w:tcPr>
                <w:p>
                  <w:pPr>
                    <w:rPr>
                      <w:bCs/>
                      <w:i/>
                      <w:iCs/>
                      <w:szCs w:val="21"/>
                      <w:u w:val="single"/>
                    </w:rPr>
                  </w:pPr>
                </w:p>
              </w:tc>
              <w:tc>
                <w:tcPr>
                  <w:tcW w:w="1825" w:type="dxa"/>
                  <w:vAlign w:val="top"/>
                </w:tcPr>
                <w:p>
                  <w:pPr>
                    <w:rPr>
                      <w:bCs/>
                      <w:i/>
                      <w:iCs/>
                      <w:szCs w:val="21"/>
                      <w:u w:val="single"/>
                    </w:rPr>
                  </w:pPr>
                  <w:r>
                    <w:rPr>
                      <w:rFonts w:hint="eastAsia"/>
                      <w:bCs/>
                      <w:i/>
                      <w:iCs/>
                      <w:szCs w:val="21"/>
                      <w:u w:val="single"/>
                    </w:rPr>
                    <w:t>播种机</w:t>
                  </w:r>
                </w:p>
              </w:tc>
              <w:tc>
                <w:tcPr>
                  <w:tcW w:w="1567" w:type="dxa"/>
                  <w:vAlign w:val="top"/>
                </w:tcPr>
                <w:p>
                  <w:pPr>
                    <w:rPr>
                      <w:bCs/>
                      <w:i/>
                      <w:iCs/>
                      <w:szCs w:val="21"/>
                      <w:u w:val="single"/>
                    </w:rPr>
                  </w:pPr>
                  <w:r>
                    <w:rPr>
                      <w:rFonts w:hint="eastAsia"/>
                      <w:bCs/>
                      <w:i/>
                      <w:iCs/>
                      <w:szCs w:val="21"/>
                      <w:u w:val="single"/>
                    </w:rPr>
                    <w:t>50</w:t>
                  </w:r>
                </w:p>
              </w:tc>
              <w:tc>
                <w:tcPr>
                  <w:tcW w:w="1567" w:type="dxa"/>
                  <w:vAlign w:val="top"/>
                </w:tcPr>
                <w:p>
                  <w:pPr>
                    <w:rPr>
                      <w:bCs/>
                      <w:i/>
                      <w:iCs/>
                      <w:szCs w:val="21"/>
                      <w:u w:val="single"/>
                    </w:rPr>
                  </w:pPr>
                  <w:r>
                    <w:rPr>
                      <w:rFonts w:hint="eastAsia"/>
                      <w:bCs/>
                      <w:i/>
                      <w:iCs/>
                      <w:szCs w:val="21"/>
                      <w:u w:val="single"/>
                    </w:rPr>
                    <w:t>台/a</w:t>
                  </w:r>
                </w:p>
              </w:tc>
              <w:tc>
                <w:tcPr>
                  <w:tcW w:w="1567" w:type="dxa"/>
                  <w:vAlign w:val="top"/>
                </w:tcPr>
                <w:p>
                  <w:pPr>
                    <w:rPr>
                      <w:bCs/>
                      <w:i/>
                      <w:iCs/>
                      <w:szCs w:val="21"/>
                      <w:u w:val="single"/>
                    </w:rPr>
                  </w:pPr>
                  <w:r>
                    <w:rPr>
                      <w:rFonts w:hint="eastAsia"/>
                      <w:bCs/>
                      <w:i/>
                      <w:iCs/>
                      <w:szCs w:val="21"/>
                      <w:u w:val="single"/>
                    </w:rPr>
                    <w:t>周边区域回收</w:t>
                  </w:r>
                </w:p>
              </w:tc>
            </w:tr>
            <w:tr>
              <w:trPr>
                <w:trHeight w:val="382" w:hRule="atLeast"/>
              </w:trPr>
              <w:tc>
                <w:tcPr>
                  <w:tcW w:w="1307" w:type="dxa"/>
                  <w:vMerge w:val="continue"/>
                  <w:vAlign w:val="top"/>
                </w:tcPr>
                <w:p>
                  <w:pPr>
                    <w:rPr>
                      <w:bCs/>
                      <w:i/>
                      <w:iCs/>
                      <w:szCs w:val="21"/>
                      <w:u w:val="single"/>
                    </w:rPr>
                  </w:pPr>
                </w:p>
              </w:tc>
              <w:tc>
                <w:tcPr>
                  <w:tcW w:w="1825" w:type="dxa"/>
                  <w:vAlign w:val="top"/>
                </w:tcPr>
                <w:p>
                  <w:pPr>
                    <w:rPr>
                      <w:bCs/>
                      <w:i/>
                      <w:iCs/>
                      <w:szCs w:val="21"/>
                      <w:u w:val="single"/>
                    </w:rPr>
                  </w:pPr>
                  <w:r>
                    <w:rPr>
                      <w:rFonts w:hint="eastAsia"/>
                      <w:bCs/>
                      <w:i/>
                      <w:iCs/>
                      <w:szCs w:val="21"/>
                      <w:u w:val="single"/>
                    </w:rPr>
                    <w:t>拖拉机</w:t>
                  </w:r>
                </w:p>
              </w:tc>
              <w:tc>
                <w:tcPr>
                  <w:tcW w:w="1567" w:type="dxa"/>
                  <w:vAlign w:val="top"/>
                </w:tcPr>
                <w:p>
                  <w:pPr>
                    <w:rPr>
                      <w:bCs/>
                      <w:i/>
                      <w:iCs/>
                      <w:szCs w:val="21"/>
                      <w:u w:val="single"/>
                    </w:rPr>
                  </w:pPr>
                  <w:r>
                    <w:rPr>
                      <w:rFonts w:hint="eastAsia"/>
                      <w:bCs/>
                      <w:i/>
                      <w:iCs/>
                      <w:szCs w:val="21"/>
                      <w:u w:val="single"/>
                    </w:rPr>
                    <w:t>250</w:t>
                  </w:r>
                </w:p>
              </w:tc>
              <w:tc>
                <w:tcPr>
                  <w:tcW w:w="1567" w:type="dxa"/>
                  <w:vAlign w:val="top"/>
                </w:tcPr>
                <w:p>
                  <w:pPr>
                    <w:rPr>
                      <w:bCs/>
                      <w:i/>
                      <w:iCs/>
                      <w:szCs w:val="21"/>
                      <w:u w:val="single"/>
                    </w:rPr>
                  </w:pPr>
                  <w:r>
                    <w:rPr>
                      <w:rFonts w:hint="eastAsia"/>
                      <w:bCs/>
                      <w:i/>
                      <w:iCs/>
                      <w:szCs w:val="21"/>
                      <w:u w:val="single"/>
                    </w:rPr>
                    <w:t>台/a</w:t>
                  </w:r>
                </w:p>
              </w:tc>
              <w:tc>
                <w:tcPr>
                  <w:tcW w:w="1567" w:type="dxa"/>
                  <w:vAlign w:val="top"/>
                </w:tcPr>
                <w:p>
                  <w:pPr>
                    <w:rPr>
                      <w:bCs/>
                      <w:i/>
                      <w:iCs/>
                      <w:szCs w:val="21"/>
                      <w:u w:val="single"/>
                    </w:rPr>
                  </w:pPr>
                  <w:r>
                    <w:rPr>
                      <w:rFonts w:hint="eastAsia"/>
                      <w:bCs/>
                      <w:i/>
                      <w:iCs/>
                      <w:szCs w:val="21"/>
                      <w:u w:val="single"/>
                    </w:rPr>
                    <w:t>周边区域回收</w:t>
                  </w:r>
                </w:p>
              </w:tc>
            </w:tr>
            <w:tr>
              <w:trPr>
                <w:trHeight w:val="382" w:hRule="atLeast"/>
              </w:trPr>
              <w:tc>
                <w:tcPr>
                  <w:tcW w:w="1307" w:type="dxa"/>
                  <w:vMerge w:val="continue"/>
                  <w:vAlign w:val="top"/>
                </w:tcPr>
                <w:p>
                  <w:pPr>
                    <w:rPr>
                      <w:bCs/>
                      <w:i/>
                      <w:iCs/>
                      <w:szCs w:val="21"/>
                      <w:u w:val="single"/>
                    </w:rPr>
                  </w:pPr>
                </w:p>
              </w:tc>
              <w:tc>
                <w:tcPr>
                  <w:tcW w:w="1825" w:type="dxa"/>
                  <w:vAlign w:val="top"/>
                </w:tcPr>
                <w:p>
                  <w:pPr>
                    <w:rPr>
                      <w:bCs/>
                      <w:i/>
                      <w:iCs/>
                      <w:szCs w:val="21"/>
                      <w:u w:val="single"/>
                    </w:rPr>
                  </w:pPr>
                  <w:r>
                    <w:rPr>
                      <w:rFonts w:hint="eastAsia"/>
                      <w:bCs/>
                      <w:i/>
                      <w:iCs/>
                      <w:szCs w:val="21"/>
                      <w:u w:val="single"/>
                    </w:rPr>
                    <w:t>耕整机</w:t>
                  </w:r>
                </w:p>
              </w:tc>
              <w:tc>
                <w:tcPr>
                  <w:tcW w:w="1567" w:type="dxa"/>
                  <w:vAlign w:val="top"/>
                </w:tcPr>
                <w:p>
                  <w:pPr>
                    <w:rPr>
                      <w:bCs/>
                      <w:i/>
                      <w:iCs/>
                      <w:szCs w:val="21"/>
                      <w:u w:val="single"/>
                    </w:rPr>
                  </w:pPr>
                  <w:r>
                    <w:rPr>
                      <w:rFonts w:hint="eastAsia"/>
                      <w:bCs/>
                      <w:i/>
                      <w:iCs/>
                      <w:szCs w:val="21"/>
                      <w:u w:val="single"/>
                    </w:rPr>
                    <w:t>100</w:t>
                  </w:r>
                </w:p>
              </w:tc>
              <w:tc>
                <w:tcPr>
                  <w:tcW w:w="1567" w:type="dxa"/>
                  <w:vAlign w:val="top"/>
                </w:tcPr>
                <w:p>
                  <w:pPr>
                    <w:rPr>
                      <w:bCs/>
                      <w:i/>
                      <w:iCs/>
                      <w:szCs w:val="21"/>
                      <w:u w:val="single"/>
                    </w:rPr>
                  </w:pPr>
                  <w:r>
                    <w:rPr>
                      <w:rFonts w:hint="eastAsia"/>
                      <w:bCs/>
                      <w:i/>
                      <w:iCs/>
                      <w:szCs w:val="21"/>
                      <w:u w:val="single"/>
                    </w:rPr>
                    <w:t>台/a</w:t>
                  </w:r>
                </w:p>
              </w:tc>
              <w:tc>
                <w:tcPr>
                  <w:tcW w:w="1567" w:type="dxa"/>
                  <w:vAlign w:val="top"/>
                </w:tcPr>
                <w:p>
                  <w:pPr>
                    <w:rPr>
                      <w:bCs/>
                      <w:i/>
                      <w:iCs/>
                      <w:szCs w:val="21"/>
                      <w:u w:val="single"/>
                    </w:rPr>
                  </w:pPr>
                  <w:r>
                    <w:rPr>
                      <w:rFonts w:hint="eastAsia"/>
                      <w:bCs/>
                      <w:i/>
                      <w:iCs/>
                      <w:szCs w:val="21"/>
                      <w:u w:val="single"/>
                    </w:rPr>
                    <w:t>周边区域回收</w:t>
                  </w:r>
                </w:p>
              </w:tc>
            </w:tr>
            <w:tr>
              <w:trPr>
                <w:trHeight w:val="382" w:hRule="atLeast"/>
              </w:trPr>
              <w:tc>
                <w:tcPr>
                  <w:tcW w:w="1307" w:type="dxa"/>
                  <w:vMerge w:val="continue"/>
                  <w:vAlign w:val="top"/>
                </w:tcPr>
                <w:p>
                  <w:pPr>
                    <w:rPr>
                      <w:bCs/>
                      <w:i/>
                      <w:iCs/>
                      <w:szCs w:val="21"/>
                      <w:u w:val="single"/>
                    </w:rPr>
                  </w:pPr>
                </w:p>
              </w:tc>
              <w:tc>
                <w:tcPr>
                  <w:tcW w:w="1825" w:type="dxa"/>
                  <w:vAlign w:val="top"/>
                </w:tcPr>
                <w:p>
                  <w:pPr>
                    <w:rPr>
                      <w:bCs/>
                      <w:i/>
                      <w:iCs/>
                      <w:szCs w:val="21"/>
                      <w:u w:val="single"/>
                    </w:rPr>
                  </w:pPr>
                  <w:r>
                    <w:rPr>
                      <w:rFonts w:hint="eastAsia"/>
                      <w:bCs/>
                      <w:i/>
                      <w:iCs/>
                      <w:szCs w:val="21"/>
                      <w:u w:val="single"/>
                    </w:rPr>
                    <w:t>其他农用机械</w:t>
                  </w:r>
                </w:p>
              </w:tc>
              <w:tc>
                <w:tcPr>
                  <w:tcW w:w="1567" w:type="dxa"/>
                  <w:vAlign w:val="top"/>
                </w:tcPr>
                <w:p>
                  <w:pPr>
                    <w:rPr>
                      <w:bCs/>
                      <w:i/>
                      <w:iCs/>
                      <w:szCs w:val="21"/>
                      <w:u w:val="single"/>
                    </w:rPr>
                  </w:pPr>
                  <w:r>
                    <w:rPr>
                      <w:rFonts w:hint="eastAsia"/>
                      <w:bCs/>
                      <w:i/>
                      <w:iCs/>
                      <w:szCs w:val="21"/>
                      <w:u w:val="single"/>
                    </w:rPr>
                    <w:t>100</w:t>
                  </w:r>
                </w:p>
              </w:tc>
              <w:tc>
                <w:tcPr>
                  <w:tcW w:w="1567" w:type="dxa"/>
                  <w:vAlign w:val="top"/>
                </w:tcPr>
                <w:p>
                  <w:pPr>
                    <w:rPr>
                      <w:bCs/>
                      <w:i/>
                      <w:iCs/>
                      <w:szCs w:val="21"/>
                      <w:u w:val="single"/>
                    </w:rPr>
                  </w:pPr>
                  <w:r>
                    <w:rPr>
                      <w:rFonts w:hint="eastAsia"/>
                      <w:bCs/>
                      <w:i/>
                      <w:iCs/>
                      <w:szCs w:val="21"/>
                      <w:u w:val="single"/>
                    </w:rPr>
                    <w:t>台/a</w:t>
                  </w:r>
                </w:p>
              </w:tc>
              <w:tc>
                <w:tcPr>
                  <w:tcW w:w="1567" w:type="dxa"/>
                  <w:vAlign w:val="top"/>
                </w:tcPr>
                <w:p>
                  <w:pPr>
                    <w:rPr>
                      <w:bCs/>
                      <w:i/>
                      <w:iCs/>
                      <w:szCs w:val="21"/>
                      <w:u w:val="single"/>
                    </w:rPr>
                  </w:pPr>
                  <w:r>
                    <w:rPr>
                      <w:rFonts w:hint="eastAsia"/>
                      <w:bCs/>
                      <w:i/>
                      <w:iCs/>
                      <w:szCs w:val="21"/>
                      <w:u w:val="single"/>
                    </w:rPr>
                    <w:t>周边区域回收</w:t>
                  </w:r>
                </w:p>
              </w:tc>
            </w:tr>
            <w:tr>
              <w:trPr>
                <w:trHeight w:val="382" w:hRule="atLeast"/>
              </w:trPr>
              <w:tc>
                <w:tcPr>
                  <w:tcW w:w="3132" w:type="dxa"/>
                  <w:gridSpan w:val="2"/>
                  <w:vAlign w:val="top"/>
                </w:tcPr>
                <w:p>
                  <w:pPr>
                    <w:rPr>
                      <w:bCs/>
                      <w:i/>
                      <w:iCs/>
                      <w:szCs w:val="21"/>
                      <w:u w:val="single"/>
                    </w:rPr>
                  </w:pPr>
                  <w:r>
                    <w:rPr>
                      <w:rFonts w:hint="eastAsia"/>
                      <w:bCs/>
                      <w:i/>
                      <w:iCs/>
                      <w:szCs w:val="21"/>
                      <w:u w:val="single"/>
                    </w:rPr>
                    <w:t>合计</w:t>
                  </w:r>
                </w:p>
              </w:tc>
              <w:tc>
                <w:tcPr>
                  <w:tcW w:w="1567" w:type="dxa"/>
                  <w:vAlign w:val="top"/>
                </w:tcPr>
                <w:p>
                  <w:pPr>
                    <w:rPr>
                      <w:bCs/>
                      <w:i/>
                      <w:iCs/>
                      <w:szCs w:val="21"/>
                      <w:u w:val="single"/>
                    </w:rPr>
                  </w:pPr>
                  <w:r>
                    <w:rPr>
                      <w:rFonts w:hint="eastAsia"/>
                      <w:bCs/>
                      <w:i/>
                      <w:iCs/>
                      <w:szCs w:val="21"/>
                      <w:u w:val="single"/>
                    </w:rPr>
                    <w:t>750</w:t>
                  </w:r>
                </w:p>
              </w:tc>
              <w:tc>
                <w:tcPr>
                  <w:tcW w:w="1567" w:type="dxa"/>
                  <w:vAlign w:val="top"/>
                </w:tcPr>
                <w:p>
                  <w:pPr>
                    <w:rPr>
                      <w:bCs/>
                      <w:i/>
                      <w:iCs/>
                      <w:szCs w:val="21"/>
                      <w:u w:val="single"/>
                    </w:rPr>
                  </w:pPr>
                  <w:r>
                    <w:rPr>
                      <w:rFonts w:hint="eastAsia"/>
                      <w:bCs/>
                      <w:i/>
                      <w:iCs/>
                      <w:szCs w:val="21"/>
                      <w:u w:val="single"/>
                    </w:rPr>
                    <w:t>台/a</w:t>
                  </w:r>
                </w:p>
              </w:tc>
              <w:tc>
                <w:tcPr>
                  <w:tcW w:w="1567" w:type="dxa"/>
                  <w:vAlign w:val="top"/>
                </w:tcPr>
                <w:p>
                  <w:pPr>
                    <w:rPr>
                      <w:bCs/>
                      <w:i/>
                      <w:iCs/>
                      <w:szCs w:val="21"/>
                      <w:u w:val="single"/>
                    </w:rPr>
                  </w:pPr>
                </w:p>
              </w:tc>
            </w:tr>
          </w:tbl>
          <w:p>
            <w:pPr>
              <w:numPr>
                <w:ilvl w:val="0"/>
                <w:numId w:val="2"/>
              </w:numPr>
              <w:spacing w:line="360" w:lineRule="auto"/>
              <w:ind w:firstLine="482" w:firstLineChars="200"/>
              <w:rPr>
                <w:b/>
                <w:sz w:val="24"/>
              </w:rPr>
            </w:pPr>
            <w:r>
              <w:rPr>
                <w:rFonts w:hint="eastAsia"/>
                <w:b/>
                <w:sz w:val="24"/>
              </w:rPr>
              <w:t>拆解物</w:t>
            </w:r>
          </w:p>
          <w:p>
            <w:pPr>
              <w:spacing w:line="360" w:lineRule="auto"/>
              <w:rPr>
                <w:bCs/>
                <w:i/>
                <w:iCs/>
                <w:sz w:val="24"/>
                <w:u w:val="single"/>
              </w:rPr>
            </w:pPr>
            <w:r>
              <w:rPr>
                <w:rFonts w:hint="eastAsia"/>
                <w:b/>
                <w:sz w:val="24"/>
              </w:rPr>
              <w:t xml:space="preserve">  </w:t>
            </w:r>
            <w:r>
              <w:rPr>
                <w:rFonts w:hint="eastAsia"/>
                <w:bCs/>
                <w:sz w:val="24"/>
              </w:rPr>
              <w:t xml:space="preserve"> </w:t>
            </w:r>
            <w:r>
              <w:rPr>
                <w:rFonts w:hint="eastAsia"/>
                <w:bCs/>
                <w:i/>
                <w:iCs/>
                <w:sz w:val="24"/>
                <w:u w:val="single"/>
              </w:rPr>
              <w:t>根据建设单位调研，拖拉机以小型为主，平均8.7t/台，耕整机为悬挂式配套拖拉机使用，平均0.72t/台，播种机1.2t/台，玉米收割机8.7t/台，联合谷物收割机11.35t/台，其他农用机械包括中耕机、开沟机等平均1.525t/台。经计算，年拆解750台上述农机总重量为2927.5t。结合《报废机动车拆解企业污染控制技术规范》（HJ348--2022）附录A报废机动车主要拆解产物特性及去向，本项目拆解物详见下表：</w:t>
            </w:r>
          </w:p>
          <w:p>
            <w:pPr>
              <w:jc w:val="center"/>
              <w:rPr>
                <w:rFonts w:ascii="宋体" w:hAnsi="宋体" w:cs="宋体"/>
                <w:b/>
                <w:bCs/>
                <w:i/>
                <w:iCs/>
                <w:kern w:val="0"/>
                <w:szCs w:val="21"/>
                <w:u w:val="single"/>
              </w:rPr>
            </w:pPr>
            <w:r>
              <w:rPr>
                <w:rFonts w:hint="eastAsia" w:ascii="宋体" w:hAnsi="宋体" w:cs="宋体"/>
                <w:b/>
                <w:i/>
                <w:iCs/>
                <w:sz w:val="24"/>
                <w:u w:val="single"/>
              </w:rPr>
              <w:t>表2-3   主要拆解物明细表</w:t>
            </w:r>
          </w:p>
          <w:tbl>
            <w:tblPr>
              <w:tblW w:w="7801"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left w:w="108" w:type="dxa"/>
                <w:right w:w="108" w:type="dxa"/>
              </w:tblCellMar>
            </w:tblPr>
            <w:tblGrid>
              <w:gridCol w:w="794"/>
              <w:gridCol w:w="22"/>
              <w:gridCol w:w="911"/>
              <w:gridCol w:w="1136"/>
              <w:gridCol w:w="1060"/>
              <w:gridCol w:w="1939"/>
              <w:gridCol w:w="1939"/>
            </w:tblGrid>
            <w:tr>
              <w:trPr>
                <w:trHeight w:val="332" w:hRule="atLeast"/>
              </w:trPr>
              <w:tc>
                <w:tcPr>
                  <w:tcW w:w="816" w:type="dxa"/>
                  <w:gridSpan w:val="2"/>
                  <w:vAlign w:val="top"/>
                </w:tcPr>
                <w:p>
                  <w:pPr>
                    <w:widowControl/>
                    <w:jc w:val="left"/>
                    <w:rPr>
                      <w:rFonts w:ascii="宋体" w:hAnsi="宋体" w:cs="宋体"/>
                      <w:i/>
                      <w:iCs/>
                      <w:kern w:val="0"/>
                      <w:szCs w:val="21"/>
                      <w:u w:val="single"/>
                    </w:rPr>
                  </w:pPr>
                  <w:r>
                    <w:rPr>
                      <w:rFonts w:hint="eastAsia" w:ascii="宋体" w:hAnsi="宋体" w:cs="宋体"/>
                      <w:i/>
                      <w:iCs/>
                      <w:kern w:val="0"/>
                      <w:szCs w:val="21"/>
                      <w:u w:val="single"/>
                    </w:rPr>
                    <w:t>序号</w:t>
                  </w:r>
                </w:p>
              </w:tc>
              <w:tc>
                <w:tcPr>
                  <w:tcW w:w="2047" w:type="dxa"/>
                  <w:gridSpan w:val="2"/>
                  <w:vAlign w:val="top"/>
                </w:tcPr>
                <w:p>
                  <w:pPr>
                    <w:widowControl/>
                    <w:jc w:val="left"/>
                    <w:rPr>
                      <w:rFonts w:ascii="宋体" w:hAnsi="宋体" w:cs="宋体"/>
                      <w:i/>
                      <w:iCs/>
                      <w:kern w:val="0"/>
                      <w:szCs w:val="21"/>
                      <w:u w:val="single"/>
                    </w:rPr>
                  </w:pPr>
                  <w:r>
                    <w:rPr>
                      <w:rFonts w:hint="eastAsia" w:ascii="宋体" w:hAnsi="宋体" w:cs="宋体"/>
                      <w:i/>
                      <w:iCs/>
                      <w:kern w:val="0"/>
                      <w:szCs w:val="21"/>
                      <w:u w:val="single"/>
                    </w:rPr>
                    <w:t>拆解物名称</w:t>
                  </w:r>
                </w:p>
              </w:tc>
              <w:tc>
                <w:tcPr>
                  <w:tcW w:w="1060" w:type="dxa"/>
                  <w:vAlign w:val="top"/>
                </w:tcPr>
                <w:p>
                  <w:pPr>
                    <w:widowControl/>
                    <w:jc w:val="left"/>
                    <w:rPr>
                      <w:rFonts w:ascii="宋体" w:hAnsi="宋体" w:cs="宋体"/>
                      <w:i/>
                      <w:iCs/>
                      <w:kern w:val="0"/>
                      <w:szCs w:val="21"/>
                      <w:u w:val="single"/>
                    </w:rPr>
                  </w:pPr>
                  <w:r>
                    <w:rPr>
                      <w:rFonts w:hint="eastAsia" w:ascii="宋体" w:hAnsi="宋体" w:cs="宋体"/>
                      <w:i/>
                      <w:iCs/>
                      <w:kern w:val="0"/>
                      <w:szCs w:val="21"/>
                      <w:u w:val="single"/>
                    </w:rPr>
                    <w:t>产量（t/a）</w:t>
                  </w:r>
                </w:p>
              </w:tc>
              <w:tc>
                <w:tcPr>
                  <w:tcW w:w="1939" w:type="dxa"/>
                  <w:vAlign w:val="top"/>
                </w:tcPr>
                <w:p>
                  <w:pPr>
                    <w:widowControl/>
                    <w:jc w:val="left"/>
                    <w:rPr>
                      <w:rFonts w:ascii="宋体" w:hAnsi="宋体" w:cs="宋体"/>
                      <w:i/>
                      <w:iCs/>
                      <w:kern w:val="0"/>
                      <w:szCs w:val="21"/>
                      <w:u w:val="single"/>
                    </w:rPr>
                  </w:pPr>
                  <w:r>
                    <w:rPr>
                      <w:rFonts w:hint="eastAsia" w:ascii="宋体" w:hAnsi="宋体" w:cs="宋体"/>
                      <w:i/>
                      <w:iCs/>
                      <w:kern w:val="0"/>
                      <w:szCs w:val="21"/>
                      <w:u w:val="single"/>
                    </w:rPr>
                    <w:t xml:space="preserve">  备注</w:t>
                  </w:r>
                </w:p>
              </w:tc>
              <w:tc>
                <w:tcPr>
                  <w:tcW w:w="1939" w:type="dxa"/>
                  <w:vAlign w:val="top"/>
                </w:tcPr>
                <w:p>
                  <w:pPr>
                    <w:widowControl/>
                    <w:jc w:val="left"/>
                    <w:rPr>
                      <w:rFonts w:ascii="宋体" w:hAnsi="宋体" w:cs="宋体"/>
                      <w:i/>
                      <w:iCs/>
                      <w:kern w:val="0"/>
                      <w:szCs w:val="21"/>
                      <w:u w:val="single"/>
                    </w:rPr>
                  </w:pPr>
                  <w:r>
                    <w:rPr>
                      <w:rFonts w:hint="eastAsia" w:ascii="宋体" w:hAnsi="宋体" w:cs="宋体"/>
                      <w:i/>
                      <w:iCs/>
                      <w:kern w:val="0"/>
                      <w:szCs w:val="21"/>
                      <w:u w:val="single"/>
                    </w:rPr>
                    <w:t>去向</w:t>
                  </w:r>
                </w:p>
              </w:tc>
            </w:tr>
            <w:tr>
              <w:trPr>
                <w:trHeight w:val="313" w:hRule="atLeast"/>
              </w:trPr>
              <w:tc>
                <w:tcPr>
                  <w:tcW w:w="816" w:type="dxa"/>
                  <w:gridSpan w:val="2"/>
                  <w:vAlign w:val="top"/>
                </w:tcPr>
                <w:p>
                  <w:pPr>
                    <w:widowControl/>
                    <w:jc w:val="left"/>
                    <w:rPr>
                      <w:rFonts w:ascii="宋体" w:hAnsi="宋体" w:cs="宋体"/>
                      <w:i/>
                      <w:iCs/>
                      <w:kern w:val="0"/>
                      <w:szCs w:val="21"/>
                      <w:u w:val="single"/>
                    </w:rPr>
                  </w:pPr>
                  <w:r>
                    <w:rPr>
                      <w:rFonts w:hint="eastAsia" w:ascii="宋体" w:hAnsi="宋体" w:cs="宋体"/>
                      <w:i/>
                      <w:iCs/>
                      <w:kern w:val="0"/>
                      <w:szCs w:val="21"/>
                      <w:u w:val="single"/>
                    </w:rPr>
                    <w:t>1</w:t>
                  </w:r>
                </w:p>
              </w:tc>
              <w:tc>
                <w:tcPr>
                  <w:tcW w:w="2047" w:type="dxa"/>
                  <w:gridSpan w:val="2"/>
                  <w:vAlign w:val="top"/>
                </w:tcPr>
                <w:p>
                  <w:pPr>
                    <w:widowControl/>
                    <w:jc w:val="left"/>
                    <w:rPr>
                      <w:rFonts w:ascii="宋体" w:hAnsi="宋体" w:cs="宋体"/>
                      <w:i/>
                      <w:iCs/>
                      <w:kern w:val="0"/>
                      <w:szCs w:val="21"/>
                      <w:u w:val="single"/>
                    </w:rPr>
                  </w:pPr>
                  <w:r>
                    <w:rPr>
                      <w:rFonts w:hint="eastAsia" w:ascii="宋体" w:hAnsi="宋体" w:cs="宋体"/>
                      <w:i/>
                      <w:iCs/>
                      <w:kern w:val="0"/>
                      <w:szCs w:val="21"/>
                      <w:u w:val="single"/>
                    </w:rPr>
                    <w:t>钢铁</w:t>
                  </w:r>
                </w:p>
              </w:tc>
              <w:tc>
                <w:tcPr>
                  <w:tcW w:w="1060" w:type="dxa"/>
                  <w:vAlign w:val="top"/>
                </w:tcPr>
                <w:p>
                  <w:pPr>
                    <w:widowControl/>
                    <w:jc w:val="left"/>
                    <w:textAlignment w:val="top"/>
                    <w:rPr>
                      <w:rFonts w:ascii="宋体" w:hAnsi="宋体" w:cs="宋体"/>
                      <w:i/>
                      <w:iCs/>
                      <w:color w:val="000000"/>
                      <w:szCs w:val="21"/>
                      <w:u w:val="single"/>
                    </w:rPr>
                  </w:pPr>
                  <w:r>
                    <w:rPr>
                      <w:rFonts w:hint="eastAsia" w:ascii="宋体" w:hAnsi="宋体" w:cs="宋体"/>
                      <w:i/>
                      <w:iCs/>
                      <w:color w:val="000000"/>
                      <w:kern w:val="0"/>
                      <w:szCs w:val="21"/>
                      <w:u w:val="single"/>
                    </w:rPr>
                    <w:t>1370.5</w:t>
                  </w:r>
                </w:p>
              </w:tc>
              <w:tc>
                <w:tcPr>
                  <w:tcW w:w="1939" w:type="dxa"/>
                  <w:vAlign w:val="top"/>
                </w:tcPr>
                <w:p>
                  <w:pPr>
                    <w:widowControl/>
                    <w:jc w:val="left"/>
                    <w:rPr>
                      <w:rFonts w:ascii="宋体" w:hAnsi="宋体" w:cs="宋体"/>
                      <w:i/>
                      <w:iCs/>
                      <w:kern w:val="0"/>
                      <w:szCs w:val="21"/>
                      <w:u w:val="single"/>
                    </w:rPr>
                  </w:pPr>
                  <w:r>
                    <w:rPr>
                      <w:rFonts w:ascii="宋体" w:hAnsi="宋体" w:cs="宋体"/>
                      <w:i/>
                      <w:iCs/>
                      <w:kern w:val="0"/>
                      <w:szCs w:val="21"/>
                      <w:u w:val="single"/>
                    </w:rPr>
                    <w:t>含机身、车架、变速箱壳体等</w:t>
                  </w:r>
                </w:p>
              </w:tc>
              <w:tc>
                <w:tcPr>
                  <w:tcW w:w="1939" w:type="dxa"/>
                  <w:vMerge w:val="restart"/>
                  <w:vAlign w:val="top"/>
                </w:tcPr>
                <w:p>
                  <w:pPr>
                    <w:widowControl/>
                    <w:jc w:val="left"/>
                    <w:rPr>
                      <w:rFonts w:ascii="宋体" w:hAnsi="宋体" w:cs="宋体"/>
                      <w:i/>
                      <w:iCs/>
                      <w:szCs w:val="21"/>
                      <w:u w:val="single"/>
                    </w:rPr>
                  </w:pPr>
                  <w:r>
                    <w:rPr>
                      <w:rFonts w:hint="eastAsia" w:ascii="宋体" w:hAnsi="宋体" w:cs="宋体"/>
                      <w:i/>
                      <w:iCs/>
                      <w:kern w:val="0"/>
                      <w:szCs w:val="21"/>
                      <w:u w:val="single"/>
                    </w:rPr>
                    <w:t>拆解后的各零部件分类收集，暂存于拆解物存放区域， 售予下游回收处理单位</w:t>
                  </w:r>
                </w:p>
                <w:p>
                  <w:pPr>
                    <w:widowControl/>
                    <w:jc w:val="left"/>
                    <w:rPr>
                      <w:rFonts w:ascii="宋体" w:hAnsi="宋体" w:cs="宋体"/>
                      <w:i/>
                      <w:iCs/>
                      <w:kern w:val="0"/>
                      <w:szCs w:val="21"/>
                      <w:u w:val="single"/>
                    </w:rPr>
                  </w:pPr>
                </w:p>
              </w:tc>
            </w:tr>
            <w:tr>
              <w:trPr>
                <w:trHeight w:val="313" w:hRule="atLeast"/>
              </w:trPr>
              <w:tc>
                <w:tcPr>
                  <w:tcW w:w="816" w:type="dxa"/>
                  <w:gridSpan w:val="2"/>
                  <w:vAlign w:val="top"/>
                </w:tcPr>
                <w:p>
                  <w:pPr>
                    <w:widowControl/>
                    <w:jc w:val="left"/>
                    <w:rPr>
                      <w:rFonts w:ascii="宋体" w:hAnsi="宋体" w:cs="宋体"/>
                      <w:i/>
                      <w:iCs/>
                      <w:kern w:val="0"/>
                      <w:szCs w:val="21"/>
                      <w:u w:val="single"/>
                    </w:rPr>
                  </w:pPr>
                  <w:r>
                    <w:rPr>
                      <w:rFonts w:hint="eastAsia" w:ascii="宋体" w:hAnsi="宋体" w:cs="宋体"/>
                      <w:i/>
                      <w:iCs/>
                      <w:kern w:val="0"/>
                      <w:szCs w:val="21"/>
                      <w:u w:val="single"/>
                    </w:rPr>
                    <w:t>2</w:t>
                  </w:r>
                </w:p>
              </w:tc>
              <w:tc>
                <w:tcPr>
                  <w:tcW w:w="2047" w:type="dxa"/>
                  <w:gridSpan w:val="2"/>
                  <w:vAlign w:val="top"/>
                </w:tcPr>
                <w:p>
                  <w:pPr>
                    <w:widowControl/>
                    <w:jc w:val="left"/>
                    <w:rPr>
                      <w:rFonts w:ascii="宋体" w:hAnsi="宋体" w:cs="宋体"/>
                      <w:i/>
                      <w:iCs/>
                      <w:kern w:val="0"/>
                      <w:szCs w:val="21"/>
                      <w:u w:val="single"/>
                    </w:rPr>
                  </w:pPr>
                  <w:r>
                    <w:rPr>
                      <w:rFonts w:hint="eastAsia" w:ascii="宋体" w:hAnsi="宋体" w:cs="宋体"/>
                      <w:i/>
                      <w:iCs/>
                      <w:kern w:val="0"/>
                      <w:szCs w:val="21"/>
                      <w:u w:val="single"/>
                    </w:rPr>
                    <w:t>废总成铸铁件</w:t>
                  </w:r>
                </w:p>
              </w:tc>
              <w:tc>
                <w:tcPr>
                  <w:tcW w:w="1060" w:type="dxa"/>
                  <w:vAlign w:val="top"/>
                </w:tcPr>
                <w:p>
                  <w:pPr>
                    <w:widowControl/>
                    <w:jc w:val="left"/>
                    <w:textAlignment w:val="top"/>
                    <w:rPr>
                      <w:rFonts w:ascii="宋体" w:hAnsi="宋体" w:cs="宋体"/>
                      <w:i/>
                      <w:iCs/>
                      <w:color w:val="000000"/>
                      <w:kern w:val="0"/>
                      <w:szCs w:val="21"/>
                      <w:u w:val="single"/>
                    </w:rPr>
                  </w:pPr>
                  <w:r>
                    <w:rPr>
                      <w:rFonts w:hint="eastAsia" w:ascii="宋体" w:hAnsi="宋体" w:cs="宋体"/>
                      <w:i/>
                      <w:iCs/>
                      <w:color w:val="000000"/>
                      <w:kern w:val="0"/>
                      <w:szCs w:val="21"/>
                      <w:u w:val="single"/>
                    </w:rPr>
                    <w:t>825</w:t>
                  </w:r>
                </w:p>
              </w:tc>
              <w:tc>
                <w:tcPr>
                  <w:tcW w:w="1939" w:type="dxa"/>
                  <w:vAlign w:val="top"/>
                </w:tcPr>
                <w:p>
                  <w:pPr>
                    <w:widowControl/>
                    <w:jc w:val="left"/>
                    <w:rPr>
                      <w:rFonts w:ascii="宋体" w:hAnsi="宋体" w:cs="宋体"/>
                      <w:i/>
                      <w:iCs/>
                      <w:kern w:val="0"/>
                      <w:szCs w:val="21"/>
                      <w:u w:val="single"/>
                    </w:rPr>
                  </w:pPr>
                  <w:r>
                    <w:rPr>
                      <w:rFonts w:hint="eastAsia" w:ascii="宋体" w:hAnsi="宋体" w:cs="宋体"/>
                      <w:i/>
                      <w:iCs/>
                      <w:kern w:val="0"/>
                      <w:szCs w:val="21"/>
                      <w:u w:val="single"/>
                    </w:rPr>
                    <w:t>废总成铸铁件</w:t>
                  </w:r>
                </w:p>
              </w:tc>
              <w:tc>
                <w:tcPr>
                  <w:tcW w:w="1939" w:type="dxa"/>
                  <w:vMerge w:val="continue"/>
                  <w:vAlign w:val="top"/>
                </w:tcPr>
                <w:p>
                  <w:pPr>
                    <w:widowControl/>
                    <w:jc w:val="left"/>
                    <w:rPr>
                      <w:rFonts w:ascii="宋体" w:hAnsi="宋体" w:cs="宋体"/>
                      <w:i/>
                      <w:iCs/>
                      <w:kern w:val="0"/>
                      <w:szCs w:val="21"/>
                      <w:u w:val="single"/>
                    </w:rPr>
                  </w:pPr>
                </w:p>
              </w:tc>
            </w:tr>
            <w:tr>
              <w:trPr>
                <w:trHeight w:val="313" w:hRule="atLeast"/>
              </w:trPr>
              <w:tc>
                <w:tcPr>
                  <w:tcW w:w="816" w:type="dxa"/>
                  <w:gridSpan w:val="2"/>
                  <w:vAlign w:val="top"/>
                </w:tcPr>
                <w:p>
                  <w:pPr>
                    <w:widowControl/>
                    <w:jc w:val="left"/>
                    <w:rPr>
                      <w:rFonts w:ascii="宋体" w:hAnsi="宋体" w:cs="宋体"/>
                      <w:i/>
                      <w:iCs/>
                      <w:kern w:val="0"/>
                      <w:szCs w:val="21"/>
                      <w:u w:val="single"/>
                    </w:rPr>
                  </w:pPr>
                  <w:r>
                    <w:rPr>
                      <w:rFonts w:hint="eastAsia" w:ascii="宋体" w:hAnsi="宋体" w:cs="宋体"/>
                      <w:i/>
                      <w:iCs/>
                      <w:kern w:val="0"/>
                      <w:szCs w:val="21"/>
                      <w:u w:val="single"/>
                    </w:rPr>
                    <w:t>3</w:t>
                  </w:r>
                </w:p>
              </w:tc>
              <w:tc>
                <w:tcPr>
                  <w:tcW w:w="2047" w:type="dxa"/>
                  <w:gridSpan w:val="2"/>
                  <w:vAlign w:val="top"/>
                </w:tcPr>
                <w:p>
                  <w:pPr>
                    <w:widowControl/>
                    <w:jc w:val="left"/>
                    <w:rPr>
                      <w:rFonts w:ascii="宋体" w:hAnsi="宋体" w:cs="宋体"/>
                      <w:i/>
                      <w:iCs/>
                      <w:kern w:val="0"/>
                      <w:szCs w:val="21"/>
                      <w:u w:val="single"/>
                    </w:rPr>
                  </w:pPr>
                  <w:r>
                    <w:rPr>
                      <w:rFonts w:hint="eastAsia" w:ascii="宋体" w:hAnsi="宋体" w:cs="宋体"/>
                      <w:i/>
                      <w:iCs/>
                      <w:kern w:val="0"/>
                      <w:szCs w:val="21"/>
                      <w:u w:val="single"/>
                    </w:rPr>
                    <w:t>可用零部件有色金属（含金属铜、</w:t>
                  </w:r>
                  <w:r>
                    <w:rPr>
                      <w:rFonts w:ascii="宋体" w:hAnsi="宋体" w:cs="宋体"/>
                      <w:i/>
                      <w:iCs/>
                      <w:kern w:val="0"/>
                      <w:szCs w:val="21"/>
                      <w:u w:val="single"/>
                    </w:rPr>
                    <w:t>铝、镁的部件</w:t>
                  </w:r>
                  <w:r>
                    <w:rPr>
                      <w:rFonts w:hint="eastAsia" w:ascii="宋体" w:hAnsi="宋体" w:cs="宋体"/>
                      <w:i/>
                      <w:iCs/>
                      <w:kern w:val="0"/>
                      <w:szCs w:val="21"/>
                      <w:u w:val="single"/>
                    </w:rPr>
                    <w:t>）</w:t>
                  </w:r>
                </w:p>
              </w:tc>
              <w:tc>
                <w:tcPr>
                  <w:tcW w:w="1060" w:type="dxa"/>
                  <w:vAlign w:val="top"/>
                </w:tcPr>
                <w:p>
                  <w:pPr>
                    <w:widowControl/>
                    <w:jc w:val="left"/>
                    <w:textAlignment w:val="top"/>
                    <w:rPr>
                      <w:rFonts w:ascii="宋体" w:hAnsi="宋体" w:cs="宋体"/>
                      <w:i/>
                      <w:iCs/>
                      <w:color w:val="000000"/>
                      <w:szCs w:val="21"/>
                      <w:u w:val="single"/>
                    </w:rPr>
                  </w:pPr>
                  <w:r>
                    <w:rPr>
                      <w:rFonts w:hint="eastAsia" w:ascii="宋体" w:hAnsi="宋体" w:cs="宋体"/>
                      <w:i/>
                      <w:iCs/>
                      <w:color w:val="000000"/>
                      <w:kern w:val="0"/>
                      <w:szCs w:val="21"/>
                      <w:u w:val="single"/>
                    </w:rPr>
                    <w:t>175.5</w:t>
                  </w:r>
                </w:p>
              </w:tc>
              <w:tc>
                <w:tcPr>
                  <w:tcW w:w="1939" w:type="dxa"/>
                  <w:vAlign w:val="top"/>
                </w:tcPr>
                <w:p>
                  <w:pPr>
                    <w:widowControl/>
                    <w:jc w:val="left"/>
                    <w:rPr>
                      <w:rFonts w:ascii="宋体" w:hAnsi="宋体" w:cs="宋体"/>
                      <w:i/>
                      <w:iCs/>
                      <w:kern w:val="0"/>
                      <w:szCs w:val="21"/>
                      <w:u w:val="single"/>
                    </w:rPr>
                  </w:pPr>
                  <w:r>
                    <w:rPr>
                      <w:rFonts w:ascii="宋体" w:hAnsi="宋体" w:cs="宋体"/>
                      <w:i/>
                      <w:iCs/>
                      <w:kern w:val="0"/>
                      <w:szCs w:val="21"/>
                      <w:u w:val="single"/>
                    </w:rPr>
                    <w:t>发动机部件、线束、散热器、铝合金壳体等</w:t>
                  </w:r>
                </w:p>
              </w:tc>
              <w:tc>
                <w:tcPr>
                  <w:tcW w:w="1939" w:type="dxa"/>
                  <w:vMerge w:val="continue"/>
                  <w:vAlign w:val="top"/>
                </w:tcPr>
                <w:p>
                  <w:pPr>
                    <w:widowControl/>
                    <w:jc w:val="left"/>
                    <w:rPr>
                      <w:rFonts w:ascii="宋体" w:hAnsi="宋体" w:cs="宋体"/>
                      <w:i/>
                      <w:iCs/>
                      <w:kern w:val="0"/>
                      <w:szCs w:val="21"/>
                      <w:u w:val="single"/>
                    </w:rPr>
                  </w:pPr>
                </w:p>
              </w:tc>
            </w:tr>
            <w:tr>
              <w:trPr>
                <w:trHeight w:val="313" w:hRule="atLeast"/>
              </w:trPr>
              <w:tc>
                <w:tcPr>
                  <w:tcW w:w="816" w:type="dxa"/>
                  <w:gridSpan w:val="2"/>
                  <w:vAlign w:val="top"/>
                </w:tcPr>
                <w:p>
                  <w:pPr>
                    <w:widowControl/>
                    <w:jc w:val="left"/>
                    <w:rPr>
                      <w:rFonts w:ascii="宋体" w:hAnsi="宋体" w:cs="宋体"/>
                      <w:i/>
                      <w:iCs/>
                      <w:kern w:val="0"/>
                      <w:szCs w:val="21"/>
                      <w:u w:val="single"/>
                    </w:rPr>
                  </w:pPr>
                  <w:r>
                    <w:rPr>
                      <w:rFonts w:hint="eastAsia" w:ascii="宋体" w:hAnsi="宋体" w:cs="宋体"/>
                      <w:i/>
                      <w:iCs/>
                      <w:kern w:val="0"/>
                      <w:szCs w:val="21"/>
                      <w:u w:val="single"/>
                    </w:rPr>
                    <w:t>4</w:t>
                  </w:r>
                </w:p>
              </w:tc>
              <w:tc>
                <w:tcPr>
                  <w:tcW w:w="2047" w:type="dxa"/>
                  <w:gridSpan w:val="2"/>
                  <w:vAlign w:val="top"/>
                </w:tcPr>
                <w:p>
                  <w:pPr>
                    <w:widowControl/>
                    <w:jc w:val="left"/>
                    <w:rPr>
                      <w:rFonts w:ascii="宋体" w:hAnsi="宋体" w:cs="宋体"/>
                      <w:i/>
                      <w:iCs/>
                      <w:kern w:val="0"/>
                      <w:szCs w:val="21"/>
                      <w:u w:val="single"/>
                    </w:rPr>
                  </w:pPr>
                  <w:r>
                    <w:rPr>
                      <w:rFonts w:hint="eastAsia" w:ascii="宋体" w:hAnsi="宋体" w:cs="宋体"/>
                      <w:i/>
                      <w:iCs/>
                      <w:kern w:val="0"/>
                      <w:szCs w:val="21"/>
                      <w:u w:val="single"/>
                    </w:rPr>
                    <w:t>废玻璃</w:t>
                  </w:r>
                </w:p>
              </w:tc>
              <w:tc>
                <w:tcPr>
                  <w:tcW w:w="1060" w:type="dxa"/>
                  <w:vAlign w:val="top"/>
                </w:tcPr>
                <w:p>
                  <w:pPr>
                    <w:widowControl/>
                    <w:jc w:val="left"/>
                    <w:textAlignment w:val="top"/>
                    <w:rPr>
                      <w:rFonts w:ascii="宋体" w:hAnsi="宋体" w:cs="宋体"/>
                      <w:i/>
                      <w:iCs/>
                      <w:color w:val="000000"/>
                      <w:szCs w:val="21"/>
                      <w:u w:val="single"/>
                    </w:rPr>
                  </w:pPr>
                  <w:r>
                    <w:rPr>
                      <w:rFonts w:hint="eastAsia" w:ascii="宋体" w:hAnsi="宋体" w:cs="宋体"/>
                      <w:i/>
                      <w:iCs/>
                      <w:color w:val="000000"/>
                      <w:kern w:val="0"/>
                      <w:szCs w:val="21"/>
                      <w:u w:val="single"/>
                    </w:rPr>
                    <w:t>58.5</w:t>
                  </w:r>
                </w:p>
              </w:tc>
              <w:tc>
                <w:tcPr>
                  <w:tcW w:w="1939" w:type="dxa"/>
                  <w:vAlign w:val="top"/>
                </w:tcPr>
                <w:p>
                  <w:pPr>
                    <w:widowControl/>
                    <w:jc w:val="left"/>
                    <w:rPr>
                      <w:rFonts w:ascii="宋体" w:hAnsi="宋体" w:cs="宋体"/>
                      <w:i/>
                      <w:iCs/>
                      <w:kern w:val="0"/>
                      <w:szCs w:val="21"/>
                      <w:u w:val="single"/>
                    </w:rPr>
                  </w:pPr>
                  <w:r>
                    <w:rPr>
                      <w:rFonts w:ascii="宋体" w:hAnsi="宋体" w:cs="宋体"/>
                      <w:i/>
                      <w:iCs/>
                      <w:kern w:val="0"/>
                      <w:szCs w:val="21"/>
                      <w:u w:val="single"/>
                    </w:rPr>
                    <w:t>驾驶室挡风玻璃、门窗玻璃</w:t>
                  </w:r>
                </w:p>
              </w:tc>
              <w:tc>
                <w:tcPr>
                  <w:tcW w:w="1939" w:type="dxa"/>
                  <w:vMerge w:val="continue"/>
                  <w:vAlign w:val="top"/>
                </w:tcPr>
                <w:p>
                  <w:pPr>
                    <w:widowControl/>
                    <w:jc w:val="left"/>
                    <w:rPr>
                      <w:rFonts w:ascii="宋体" w:hAnsi="宋体" w:cs="宋体"/>
                      <w:i/>
                      <w:iCs/>
                      <w:kern w:val="0"/>
                      <w:szCs w:val="21"/>
                      <w:u w:val="single"/>
                    </w:rPr>
                  </w:pPr>
                </w:p>
              </w:tc>
            </w:tr>
            <w:tr>
              <w:trPr>
                <w:trHeight w:val="275" w:hRule="atLeast"/>
              </w:trPr>
              <w:tc>
                <w:tcPr>
                  <w:tcW w:w="816" w:type="dxa"/>
                  <w:gridSpan w:val="2"/>
                  <w:vAlign w:val="top"/>
                </w:tcPr>
                <w:p>
                  <w:pPr>
                    <w:widowControl/>
                    <w:jc w:val="left"/>
                    <w:rPr>
                      <w:rFonts w:ascii="宋体" w:hAnsi="宋体" w:cs="宋体"/>
                      <w:i/>
                      <w:iCs/>
                      <w:color w:val="FF0000"/>
                      <w:kern w:val="0"/>
                      <w:szCs w:val="21"/>
                      <w:u w:val="single"/>
                    </w:rPr>
                  </w:pPr>
                  <w:r>
                    <w:rPr>
                      <w:rFonts w:hint="eastAsia" w:ascii="宋体" w:hAnsi="宋体" w:cs="宋体"/>
                      <w:i/>
                      <w:iCs/>
                      <w:kern w:val="0"/>
                      <w:szCs w:val="21"/>
                      <w:u w:val="single"/>
                    </w:rPr>
                    <w:t>5</w:t>
                  </w:r>
                </w:p>
              </w:tc>
              <w:tc>
                <w:tcPr>
                  <w:tcW w:w="2047" w:type="dxa"/>
                  <w:gridSpan w:val="2"/>
                  <w:vAlign w:val="top"/>
                </w:tcPr>
                <w:p>
                  <w:pPr>
                    <w:widowControl/>
                    <w:jc w:val="left"/>
                    <w:rPr>
                      <w:rFonts w:ascii="宋体" w:hAnsi="宋体" w:cs="宋体"/>
                      <w:i/>
                      <w:iCs/>
                      <w:kern w:val="0"/>
                      <w:szCs w:val="21"/>
                      <w:u w:val="single"/>
                    </w:rPr>
                  </w:pPr>
                  <w:r>
                    <w:rPr>
                      <w:rFonts w:hint="eastAsia" w:ascii="宋体" w:hAnsi="宋体" w:cs="宋体"/>
                      <w:i/>
                      <w:iCs/>
                      <w:kern w:val="0"/>
                      <w:szCs w:val="21"/>
                      <w:u w:val="single"/>
                    </w:rPr>
                    <w:t>废橡胶</w:t>
                  </w:r>
                </w:p>
              </w:tc>
              <w:tc>
                <w:tcPr>
                  <w:tcW w:w="1060" w:type="dxa"/>
                  <w:vAlign w:val="top"/>
                </w:tcPr>
                <w:p>
                  <w:pPr>
                    <w:widowControl/>
                    <w:jc w:val="left"/>
                    <w:textAlignment w:val="top"/>
                    <w:rPr>
                      <w:rFonts w:ascii="宋体" w:hAnsi="宋体" w:cs="宋体"/>
                      <w:i/>
                      <w:iCs/>
                      <w:color w:val="000000"/>
                      <w:szCs w:val="21"/>
                      <w:u w:val="single"/>
                    </w:rPr>
                  </w:pPr>
                  <w:r>
                    <w:rPr>
                      <w:rFonts w:hint="eastAsia" w:ascii="宋体" w:hAnsi="宋体" w:cs="宋体"/>
                      <w:i/>
                      <w:iCs/>
                      <w:color w:val="000000"/>
                      <w:szCs w:val="21"/>
                      <w:u w:val="single"/>
                    </w:rPr>
                    <w:t>162</w:t>
                  </w:r>
                </w:p>
              </w:tc>
              <w:tc>
                <w:tcPr>
                  <w:tcW w:w="1939" w:type="dxa"/>
                  <w:vAlign w:val="top"/>
                </w:tcPr>
                <w:p>
                  <w:pPr>
                    <w:widowControl/>
                    <w:jc w:val="left"/>
                    <w:rPr>
                      <w:rFonts w:ascii="宋体" w:hAnsi="宋体" w:cs="宋体"/>
                      <w:i/>
                      <w:iCs/>
                      <w:kern w:val="0"/>
                      <w:szCs w:val="21"/>
                      <w:u w:val="single"/>
                    </w:rPr>
                  </w:pPr>
                  <w:r>
                    <w:rPr>
                      <w:rFonts w:ascii="宋体" w:hAnsi="宋体" w:cs="宋体"/>
                      <w:i/>
                      <w:iCs/>
                      <w:kern w:val="0"/>
                      <w:szCs w:val="21"/>
                      <w:u w:val="single"/>
                    </w:rPr>
                    <w:t>轮胎、传动带、胶管、减震件等</w:t>
                  </w:r>
                </w:p>
              </w:tc>
              <w:tc>
                <w:tcPr>
                  <w:tcW w:w="1939" w:type="dxa"/>
                  <w:vMerge w:val="continue"/>
                  <w:vAlign w:val="top"/>
                </w:tcPr>
                <w:p>
                  <w:pPr>
                    <w:widowControl/>
                    <w:jc w:val="left"/>
                    <w:rPr>
                      <w:rFonts w:ascii="宋体" w:hAnsi="宋体" w:cs="宋体"/>
                      <w:i/>
                      <w:iCs/>
                      <w:kern w:val="0"/>
                      <w:szCs w:val="21"/>
                      <w:u w:val="single"/>
                    </w:rPr>
                  </w:pPr>
                </w:p>
              </w:tc>
            </w:tr>
            <w:tr>
              <w:trPr>
                <w:trHeight w:val="313" w:hRule="atLeast"/>
              </w:trPr>
              <w:tc>
                <w:tcPr>
                  <w:tcW w:w="816" w:type="dxa"/>
                  <w:gridSpan w:val="2"/>
                  <w:vAlign w:val="top"/>
                </w:tcPr>
                <w:p>
                  <w:pPr>
                    <w:widowControl/>
                    <w:jc w:val="left"/>
                    <w:rPr>
                      <w:rFonts w:ascii="宋体" w:hAnsi="宋体" w:cs="宋体"/>
                      <w:i/>
                      <w:iCs/>
                      <w:kern w:val="0"/>
                      <w:szCs w:val="21"/>
                      <w:u w:val="single"/>
                    </w:rPr>
                  </w:pPr>
                  <w:r>
                    <w:rPr>
                      <w:rFonts w:hint="eastAsia" w:ascii="宋体" w:hAnsi="宋体" w:cs="宋体"/>
                      <w:i/>
                      <w:iCs/>
                      <w:kern w:val="0"/>
                      <w:szCs w:val="21"/>
                      <w:u w:val="single"/>
                    </w:rPr>
                    <w:t>6</w:t>
                  </w:r>
                </w:p>
              </w:tc>
              <w:tc>
                <w:tcPr>
                  <w:tcW w:w="2047" w:type="dxa"/>
                  <w:gridSpan w:val="2"/>
                  <w:vAlign w:val="top"/>
                </w:tcPr>
                <w:p>
                  <w:pPr>
                    <w:widowControl/>
                    <w:jc w:val="left"/>
                    <w:rPr>
                      <w:rFonts w:ascii="宋体" w:hAnsi="宋体" w:cs="宋体"/>
                      <w:i/>
                      <w:iCs/>
                      <w:kern w:val="0"/>
                      <w:szCs w:val="21"/>
                      <w:u w:val="single"/>
                    </w:rPr>
                  </w:pPr>
                  <w:r>
                    <w:rPr>
                      <w:rFonts w:hint="eastAsia" w:ascii="宋体" w:hAnsi="宋体" w:cs="宋体"/>
                      <w:i/>
                      <w:iCs/>
                      <w:kern w:val="0"/>
                      <w:szCs w:val="21"/>
                      <w:u w:val="single"/>
                    </w:rPr>
                    <w:t>纤维、皮革</w:t>
                  </w:r>
                </w:p>
              </w:tc>
              <w:tc>
                <w:tcPr>
                  <w:tcW w:w="1060" w:type="dxa"/>
                  <w:vAlign w:val="top"/>
                </w:tcPr>
                <w:p>
                  <w:pPr>
                    <w:widowControl/>
                    <w:jc w:val="left"/>
                    <w:textAlignment w:val="top"/>
                    <w:rPr>
                      <w:rFonts w:ascii="宋体" w:hAnsi="宋体" w:cs="宋体"/>
                      <w:i/>
                      <w:iCs/>
                      <w:color w:val="000000"/>
                      <w:szCs w:val="21"/>
                      <w:u w:val="single"/>
                    </w:rPr>
                  </w:pPr>
                  <w:r>
                    <w:rPr>
                      <w:rFonts w:hint="eastAsia" w:ascii="宋体" w:hAnsi="宋体" w:cs="宋体"/>
                      <w:i/>
                      <w:iCs/>
                      <w:color w:val="000000"/>
                      <w:kern w:val="0"/>
                      <w:szCs w:val="21"/>
                      <w:u w:val="single"/>
                    </w:rPr>
                    <w:t>58.5</w:t>
                  </w:r>
                </w:p>
              </w:tc>
              <w:tc>
                <w:tcPr>
                  <w:tcW w:w="1939" w:type="dxa"/>
                  <w:vAlign w:val="top"/>
                </w:tcPr>
                <w:p>
                  <w:pPr>
                    <w:widowControl/>
                    <w:jc w:val="left"/>
                    <w:rPr>
                      <w:rFonts w:ascii="宋体" w:hAnsi="宋体" w:cs="宋体"/>
                      <w:i/>
                      <w:iCs/>
                      <w:kern w:val="0"/>
                      <w:szCs w:val="21"/>
                      <w:u w:val="single"/>
                    </w:rPr>
                  </w:pPr>
                  <w:r>
                    <w:rPr>
                      <w:rFonts w:ascii="宋体" w:hAnsi="宋体" w:cs="宋体"/>
                      <w:i/>
                      <w:iCs/>
                      <w:kern w:val="0"/>
                      <w:szCs w:val="21"/>
                      <w:u w:val="single"/>
                    </w:rPr>
                    <w:t>座椅、内饰</w:t>
                  </w:r>
                  <w:r>
                    <w:rPr>
                      <w:rFonts w:hint="eastAsia" w:ascii="宋体" w:hAnsi="宋体" w:cs="宋体"/>
                      <w:i/>
                      <w:iCs/>
                      <w:kern w:val="0"/>
                      <w:szCs w:val="21"/>
                      <w:u w:val="single"/>
                    </w:rPr>
                    <w:t>等</w:t>
                  </w:r>
                </w:p>
              </w:tc>
              <w:tc>
                <w:tcPr>
                  <w:tcW w:w="1939" w:type="dxa"/>
                  <w:vMerge w:val="continue"/>
                  <w:vAlign w:val="top"/>
                </w:tcPr>
                <w:p>
                  <w:pPr>
                    <w:widowControl/>
                    <w:jc w:val="left"/>
                    <w:rPr>
                      <w:rFonts w:ascii="宋体" w:hAnsi="宋体" w:cs="宋体"/>
                      <w:i/>
                      <w:iCs/>
                      <w:kern w:val="0"/>
                      <w:szCs w:val="21"/>
                      <w:u w:val="single"/>
                    </w:rPr>
                  </w:pPr>
                </w:p>
              </w:tc>
            </w:tr>
            <w:tr>
              <w:trPr>
                <w:trHeight w:val="313" w:hRule="atLeast"/>
              </w:trPr>
              <w:tc>
                <w:tcPr>
                  <w:tcW w:w="816" w:type="dxa"/>
                  <w:gridSpan w:val="2"/>
                  <w:vAlign w:val="top"/>
                </w:tcPr>
                <w:p>
                  <w:pPr>
                    <w:widowControl/>
                    <w:jc w:val="left"/>
                    <w:rPr>
                      <w:rFonts w:ascii="宋体" w:hAnsi="宋体" w:cs="宋体"/>
                      <w:i/>
                      <w:iCs/>
                      <w:kern w:val="0"/>
                      <w:szCs w:val="21"/>
                      <w:u w:val="single"/>
                    </w:rPr>
                  </w:pPr>
                  <w:r>
                    <w:rPr>
                      <w:rFonts w:hint="eastAsia" w:ascii="宋体" w:hAnsi="宋体" w:cs="宋体"/>
                      <w:i/>
                      <w:iCs/>
                      <w:kern w:val="0"/>
                      <w:szCs w:val="21"/>
                      <w:u w:val="single"/>
                    </w:rPr>
                    <w:t>7</w:t>
                  </w:r>
                </w:p>
              </w:tc>
              <w:tc>
                <w:tcPr>
                  <w:tcW w:w="2047" w:type="dxa"/>
                  <w:gridSpan w:val="2"/>
                  <w:vAlign w:val="top"/>
                </w:tcPr>
                <w:p>
                  <w:pPr>
                    <w:widowControl/>
                    <w:jc w:val="left"/>
                    <w:rPr>
                      <w:rFonts w:ascii="宋体" w:hAnsi="宋体" w:cs="宋体"/>
                      <w:i/>
                      <w:iCs/>
                      <w:kern w:val="0"/>
                      <w:szCs w:val="21"/>
                      <w:u w:val="single"/>
                    </w:rPr>
                  </w:pPr>
                  <w:r>
                    <w:rPr>
                      <w:rFonts w:hint="eastAsia" w:ascii="宋体" w:hAnsi="宋体" w:cs="宋体"/>
                      <w:i/>
                      <w:iCs/>
                      <w:kern w:val="0"/>
                      <w:szCs w:val="21"/>
                      <w:u w:val="single"/>
                    </w:rPr>
                    <w:t>废塑料</w:t>
                  </w:r>
                </w:p>
              </w:tc>
              <w:tc>
                <w:tcPr>
                  <w:tcW w:w="1060" w:type="dxa"/>
                  <w:vAlign w:val="top"/>
                </w:tcPr>
                <w:p>
                  <w:pPr>
                    <w:widowControl/>
                    <w:jc w:val="left"/>
                    <w:textAlignment w:val="top"/>
                    <w:rPr>
                      <w:rFonts w:ascii="宋体" w:hAnsi="宋体" w:cs="宋体"/>
                      <w:i/>
                      <w:iCs/>
                      <w:color w:val="000000"/>
                      <w:szCs w:val="21"/>
                      <w:u w:val="single"/>
                    </w:rPr>
                  </w:pPr>
                  <w:r>
                    <w:rPr>
                      <w:rFonts w:hint="eastAsia" w:ascii="宋体" w:hAnsi="宋体" w:cs="宋体"/>
                      <w:i/>
                      <w:iCs/>
                      <w:color w:val="000000"/>
                      <w:kern w:val="0"/>
                      <w:szCs w:val="21"/>
                      <w:u w:val="single"/>
                    </w:rPr>
                    <w:t>42.5</w:t>
                  </w:r>
                </w:p>
              </w:tc>
              <w:tc>
                <w:tcPr>
                  <w:tcW w:w="1939" w:type="dxa"/>
                  <w:vAlign w:val="top"/>
                </w:tcPr>
                <w:p>
                  <w:pPr>
                    <w:widowControl/>
                    <w:jc w:val="left"/>
                    <w:rPr>
                      <w:rFonts w:ascii="宋体" w:hAnsi="宋体" w:cs="宋体"/>
                      <w:i/>
                      <w:iCs/>
                      <w:kern w:val="0"/>
                      <w:szCs w:val="21"/>
                      <w:u w:val="single"/>
                    </w:rPr>
                  </w:pPr>
                  <w:r>
                    <w:rPr>
                      <w:rFonts w:ascii="宋体" w:hAnsi="宋体" w:cs="宋体"/>
                      <w:i/>
                      <w:iCs/>
                      <w:kern w:val="0"/>
                      <w:szCs w:val="21"/>
                      <w:u w:val="single"/>
                    </w:rPr>
                    <w:t>燃油箱、仪表盘、塑料护罩</w:t>
                  </w:r>
                  <w:r>
                    <w:rPr>
                      <w:rFonts w:hint="eastAsia" w:ascii="宋体" w:hAnsi="宋体" w:cs="宋体"/>
                      <w:i/>
                      <w:iCs/>
                      <w:kern w:val="0"/>
                      <w:szCs w:val="21"/>
                      <w:u w:val="single"/>
                    </w:rPr>
                    <w:t>等</w:t>
                  </w:r>
                </w:p>
              </w:tc>
              <w:tc>
                <w:tcPr>
                  <w:tcW w:w="1939" w:type="dxa"/>
                  <w:vMerge w:val="continue"/>
                  <w:vAlign w:val="top"/>
                </w:tcPr>
                <w:p>
                  <w:pPr>
                    <w:widowControl/>
                    <w:jc w:val="left"/>
                    <w:rPr>
                      <w:rFonts w:ascii="宋体" w:hAnsi="宋体" w:cs="宋体"/>
                      <w:i/>
                      <w:iCs/>
                      <w:kern w:val="0"/>
                      <w:szCs w:val="21"/>
                      <w:u w:val="single"/>
                    </w:rPr>
                  </w:pPr>
                </w:p>
              </w:tc>
            </w:tr>
            <w:tr>
              <w:trPr>
                <w:trHeight w:val="602" w:hRule="atLeast"/>
              </w:trPr>
              <w:tc>
                <w:tcPr>
                  <w:tcW w:w="816" w:type="dxa"/>
                  <w:gridSpan w:val="2"/>
                  <w:vAlign w:val="top"/>
                </w:tcPr>
                <w:p>
                  <w:pPr>
                    <w:widowControl/>
                    <w:jc w:val="left"/>
                    <w:rPr>
                      <w:rFonts w:ascii="宋体" w:hAnsi="宋体" w:cs="宋体"/>
                      <w:i/>
                      <w:iCs/>
                      <w:kern w:val="0"/>
                      <w:szCs w:val="21"/>
                      <w:u w:val="single"/>
                    </w:rPr>
                  </w:pPr>
                  <w:r>
                    <w:rPr>
                      <w:rFonts w:hint="eastAsia" w:ascii="宋体" w:hAnsi="宋体" w:cs="宋体"/>
                      <w:i/>
                      <w:iCs/>
                      <w:kern w:val="0"/>
                      <w:szCs w:val="21"/>
                      <w:u w:val="single"/>
                    </w:rPr>
                    <w:t>8</w:t>
                  </w:r>
                </w:p>
              </w:tc>
              <w:tc>
                <w:tcPr>
                  <w:tcW w:w="2047" w:type="dxa"/>
                  <w:gridSpan w:val="2"/>
                  <w:vAlign w:val="top"/>
                </w:tcPr>
                <w:p>
                  <w:pPr>
                    <w:widowControl/>
                    <w:jc w:val="left"/>
                    <w:rPr>
                      <w:rFonts w:ascii="宋体" w:hAnsi="宋体" w:cs="宋体"/>
                      <w:i/>
                      <w:iCs/>
                      <w:kern w:val="0"/>
                      <w:szCs w:val="21"/>
                      <w:u w:val="single"/>
                    </w:rPr>
                  </w:pPr>
                  <w:r>
                    <w:rPr>
                      <w:rFonts w:hint="eastAsia" w:ascii="宋体" w:hAnsi="宋体" w:cs="宋体"/>
                      <w:i/>
                      <w:iCs/>
                      <w:kern w:val="0"/>
                      <w:szCs w:val="21"/>
                      <w:u w:val="single"/>
                    </w:rPr>
                    <w:t>可用零部件</w:t>
                  </w:r>
                </w:p>
              </w:tc>
              <w:tc>
                <w:tcPr>
                  <w:tcW w:w="1060" w:type="dxa"/>
                  <w:vAlign w:val="top"/>
                </w:tcPr>
                <w:p>
                  <w:pPr>
                    <w:widowControl/>
                    <w:jc w:val="left"/>
                    <w:textAlignment w:val="top"/>
                    <w:rPr>
                      <w:rFonts w:ascii="宋体" w:hAnsi="宋体" w:cs="宋体"/>
                      <w:i/>
                      <w:iCs/>
                      <w:color w:val="000000"/>
                      <w:szCs w:val="21"/>
                      <w:u w:val="single"/>
                    </w:rPr>
                  </w:pPr>
                  <w:r>
                    <w:rPr>
                      <w:rFonts w:hint="eastAsia" w:ascii="宋体" w:hAnsi="宋体" w:cs="宋体"/>
                      <w:i/>
                      <w:iCs/>
                      <w:color w:val="000000"/>
                      <w:szCs w:val="21"/>
                      <w:u w:val="single"/>
                    </w:rPr>
                    <w:t>145</w:t>
                  </w:r>
                </w:p>
              </w:tc>
              <w:tc>
                <w:tcPr>
                  <w:tcW w:w="1939" w:type="dxa"/>
                  <w:vAlign w:val="top"/>
                </w:tcPr>
                <w:p>
                  <w:pPr>
                    <w:widowControl/>
                    <w:jc w:val="left"/>
                    <w:rPr>
                      <w:rFonts w:ascii="宋体" w:hAnsi="宋体" w:cs="宋体"/>
                      <w:i/>
                      <w:iCs/>
                      <w:kern w:val="0"/>
                      <w:szCs w:val="21"/>
                      <w:u w:val="single"/>
                    </w:rPr>
                  </w:pPr>
                  <w:r>
                    <w:rPr>
                      <w:rFonts w:ascii="宋体" w:hAnsi="宋体" w:cs="宋体"/>
                      <w:i/>
                      <w:iCs/>
                      <w:kern w:val="0"/>
                      <w:szCs w:val="21"/>
                      <w:u w:val="single"/>
                    </w:rPr>
                    <w:t>完好的齿轮、轴承、液压件</w:t>
                  </w:r>
                </w:p>
              </w:tc>
              <w:tc>
                <w:tcPr>
                  <w:tcW w:w="1939" w:type="dxa"/>
                  <w:vMerge w:val="continue"/>
                  <w:vAlign w:val="top"/>
                </w:tcPr>
                <w:p>
                  <w:pPr>
                    <w:widowControl/>
                    <w:jc w:val="left"/>
                    <w:rPr>
                      <w:rFonts w:ascii="宋体" w:hAnsi="宋体" w:cs="宋体"/>
                      <w:i/>
                      <w:iCs/>
                      <w:kern w:val="0"/>
                      <w:szCs w:val="21"/>
                      <w:u w:val="single"/>
                    </w:rPr>
                  </w:pPr>
                </w:p>
              </w:tc>
            </w:tr>
            <w:tr>
              <w:trPr>
                <w:trHeight w:val="602" w:hRule="atLeast"/>
              </w:trPr>
              <w:tc>
                <w:tcPr>
                  <w:tcW w:w="816" w:type="dxa"/>
                  <w:gridSpan w:val="2"/>
                  <w:vAlign w:val="top"/>
                </w:tcPr>
                <w:p>
                  <w:pPr>
                    <w:widowControl/>
                    <w:jc w:val="left"/>
                    <w:rPr>
                      <w:rFonts w:ascii="宋体" w:hAnsi="宋体" w:cs="宋体"/>
                      <w:i/>
                      <w:iCs/>
                      <w:kern w:val="0"/>
                      <w:szCs w:val="21"/>
                      <w:u w:val="single"/>
                    </w:rPr>
                  </w:pPr>
                  <w:r>
                    <w:rPr>
                      <w:rFonts w:hint="eastAsia" w:ascii="宋体" w:hAnsi="宋体" w:cs="宋体"/>
                      <w:i/>
                      <w:iCs/>
                      <w:kern w:val="0"/>
                      <w:szCs w:val="21"/>
                      <w:u w:val="single"/>
                    </w:rPr>
                    <w:t>小计</w:t>
                  </w:r>
                </w:p>
              </w:tc>
              <w:tc>
                <w:tcPr>
                  <w:tcW w:w="2047" w:type="dxa"/>
                  <w:gridSpan w:val="2"/>
                  <w:vAlign w:val="top"/>
                </w:tcPr>
                <w:p>
                  <w:pPr>
                    <w:widowControl/>
                    <w:jc w:val="left"/>
                    <w:rPr>
                      <w:rFonts w:ascii="宋体" w:hAnsi="宋体" w:cs="宋体"/>
                      <w:i/>
                      <w:iCs/>
                      <w:kern w:val="0"/>
                      <w:szCs w:val="21"/>
                      <w:u w:val="single"/>
                    </w:rPr>
                  </w:pPr>
                </w:p>
              </w:tc>
              <w:tc>
                <w:tcPr>
                  <w:tcW w:w="1060" w:type="dxa"/>
                  <w:vAlign w:val="top"/>
                </w:tcPr>
                <w:p>
                  <w:pPr>
                    <w:widowControl/>
                    <w:jc w:val="left"/>
                    <w:textAlignment w:val="top"/>
                    <w:rPr>
                      <w:rFonts w:ascii="宋体" w:hAnsi="宋体" w:cs="宋体"/>
                      <w:i/>
                      <w:iCs/>
                      <w:color w:val="000000"/>
                      <w:szCs w:val="21"/>
                      <w:u w:val="single"/>
                    </w:rPr>
                  </w:pPr>
                  <w:r>
                    <w:rPr>
                      <w:rFonts w:hint="eastAsia" w:ascii="宋体" w:hAnsi="宋体" w:cs="宋体"/>
                      <w:i/>
                      <w:iCs/>
                      <w:color w:val="000000"/>
                      <w:szCs w:val="21"/>
                      <w:u w:val="single"/>
                    </w:rPr>
                    <w:t>2837.5</w:t>
                  </w:r>
                </w:p>
              </w:tc>
              <w:tc>
                <w:tcPr>
                  <w:tcW w:w="1939" w:type="dxa"/>
                  <w:vAlign w:val="top"/>
                </w:tcPr>
                <w:p>
                  <w:pPr>
                    <w:widowControl/>
                    <w:jc w:val="left"/>
                    <w:rPr>
                      <w:rFonts w:ascii="宋体" w:hAnsi="宋体" w:cs="宋体"/>
                      <w:i/>
                      <w:iCs/>
                      <w:kern w:val="0"/>
                      <w:szCs w:val="21"/>
                      <w:u w:val="single"/>
                    </w:rPr>
                  </w:pPr>
                </w:p>
              </w:tc>
              <w:tc>
                <w:tcPr>
                  <w:tcW w:w="1939" w:type="dxa"/>
                  <w:vAlign w:val="top"/>
                </w:tcPr>
                <w:p>
                  <w:pPr>
                    <w:widowControl/>
                    <w:jc w:val="left"/>
                    <w:rPr>
                      <w:rFonts w:ascii="宋体" w:hAnsi="宋体" w:cs="宋体"/>
                      <w:i/>
                      <w:iCs/>
                      <w:kern w:val="0"/>
                      <w:szCs w:val="21"/>
                      <w:u w:val="single"/>
                    </w:rPr>
                  </w:pPr>
                </w:p>
              </w:tc>
            </w:tr>
            <w:tr>
              <w:trPr>
                <w:trHeight w:val="313" w:hRule="atLeast"/>
              </w:trPr>
              <w:tc>
                <w:tcPr>
                  <w:tcW w:w="816" w:type="dxa"/>
                  <w:gridSpan w:val="2"/>
                  <w:vAlign w:val="top"/>
                </w:tcPr>
                <w:p>
                  <w:pPr>
                    <w:widowControl/>
                    <w:jc w:val="left"/>
                    <w:rPr>
                      <w:rFonts w:ascii="宋体" w:hAnsi="宋体" w:cs="宋体"/>
                      <w:i/>
                      <w:iCs/>
                      <w:kern w:val="0"/>
                      <w:szCs w:val="21"/>
                      <w:u w:val="single"/>
                    </w:rPr>
                  </w:pPr>
                  <w:r>
                    <w:rPr>
                      <w:rFonts w:hint="eastAsia" w:ascii="宋体" w:hAnsi="宋体" w:cs="宋体"/>
                      <w:i/>
                      <w:iCs/>
                      <w:kern w:val="0"/>
                      <w:szCs w:val="21"/>
                      <w:u w:val="single"/>
                    </w:rPr>
                    <w:t>8</w:t>
                  </w:r>
                </w:p>
              </w:tc>
              <w:tc>
                <w:tcPr>
                  <w:tcW w:w="2047" w:type="dxa"/>
                  <w:gridSpan w:val="2"/>
                  <w:vAlign w:val="top"/>
                </w:tcPr>
                <w:p>
                  <w:pPr>
                    <w:widowControl/>
                    <w:jc w:val="left"/>
                    <w:rPr>
                      <w:rFonts w:ascii="宋体" w:hAnsi="宋体" w:cs="宋体"/>
                      <w:i/>
                      <w:iCs/>
                      <w:kern w:val="0"/>
                      <w:szCs w:val="21"/>
                      <w:u w:val="single"/>
                    </w:rPr>
                  </w:pPr>
                  <w:r>
                    <w:rPr>
                      <w:rFonts w:hint="eastAsia" w:ascii="宋体" w:hAnsi="宋体" w:cs="宋体"/>
                      <w:i/>
                      <w:iCs/>
                      <w:kern w:val="0"/>
                      <w:szCs w:val="21"/>
                      <w:u w:val="single"/>
                    </w:rPr>
                    <w:t>废蓄电池</w:t>
                  </w:r>
                </w:p>
              </w:tc>
              <w:tc>
                <w:tcPr>
                  <w:tcW w:w="1060" w:type="dxa"/>
                  <w:vAlign w:val="top"/>
                </w:tcPr>
                <w:p>
                  <w:pPr>
                    <w:widowControl/>
                    <w:jc w:val="left"/>
                    <w:rPr>
                      <w:rFonts w:ascii="宋体" w:hAnsi="宋体" w:cs="宋体"/>
                      <w:i/>
                      <w:iCs/>
                      <w:kern w:val="0"/>
                      <w:szCs w:val="21"/>
                      <w:u w:val="single"/>
                    </w:rPr>
                  </w:pPr>
                  <w:r>
                    <w:rPr>
                      <w:rFonts w:hint="eastAsia" w:ascii="宋体" w:hAnsi="宋体" w:cs="宋体"/>
                      <w:i/>
                      <w:iCs/>
                      <w:kern w:val="0"/>
                      <w:szCs w:val="21"/>
                      <w:u w:val="single"/>
                    </w:rPr>
                    <w:t>1.5</w:t>
                  </w:r>
                </w:p>
              </w:tc>
              <w:tc>
                <w:tcPr>
                  <w:tcW w:w="1939" w:type="dxa"/>
                  <w:vAlign w:val="top"/>
                </w:tcPr>
                <w:p>
                  <w:pPr>
                    <w:widowControl/>
                    <w:jc w:val="left"/>
                    <w:rPr>
                      <w:rFonts w:ascii="宋体" w:hAnsi="宋体" w:cs="宋体"/>
                      <w:i/>
                      <w:iCs/>
                      <w:kern w:val="0"/>
                      <w:szCs w:val="21"/>
                      <w:u w:val="single"/>
                    </w:rPr>
                  </w:pPr>
                  <w:r>
                    <w:rPr>
                      <w:rFonts w:hint="eastAsia" w:ascii="宋体" w:hAnsi="宋体" w:cs="宋体"/>
                      <w:i/>
                      <w:iCs/>
                      <w:kern w:val="0"/>
                      <w:szCs w:val="21"/>
                      <w:u w:val="single"/>
                    </w:rPr>
                    <w:t>废铅蓄电池</w:t>
                  </w:r>
                </w:p>
              </w:tc>
              <w:tc>
                <w:tcPr>
                  <w:tcW w:w="1939" w:type="dxa"/>
                  <w:vMerge w:val="restart"/>
                  <w:vAlign w:val="top"/>
                </w:tcPr>
                <w:p>
                  <w:pPr>
                    <w:widowControl/>
                    <w:jc w:val="left"/>
                    <w:rPr>
                      <w:rFonts w:ascii="宋体" w:hAnsi="宋体" w:cs="宋体"/>
                      <w:i/>
                      <w:iCs/>
                      <w:szCs w:val="21"/>
                      <w:u w:val="single"/>
                    </w:rPr>
                  </w:pPr>
                  <w:r>
                    <w:rPr>
                      <w:rFonts w:hint="eastAsia" w:ascii="宋体" w:hAnsi="宋体" w:cs="宋体"/>
                      <w:i/>
                      <w:iCs/>
                      <w:kern w:val="0"/>
                      <w:szCs w:val="21"/>
                      <w:u w:val="single"/>
                    </w:rPr>
                    <w:t>暂存于危废贮存库，定期交由有资质单位转运处置</w:t>
                  </w:r>
                </w:p>
                <w:p>
                  <w:pPr>
                    <w:widowControl/>
                    <w:jc w:val="left"/>
                    <w:rPr>
                      <w:rFonts w:ascii="宋体" w:hAnsi="宋体" w:cs="宋体"/>
                      <w:i/>
                      <w:iCs/>
                      <w:kern w:val="0"/>
                      <w:szCs w:val="21"/>
                      <w:u w:val="single"/>
                    </w:rPr>
                  </w:pPr>
                </w:p>
              </w:tc>
            </w:tr>
            <w:tr>
              <w:trPr>
                <w:trHeight w:val="313" w:hRule="atLeast"/>
              </w:trPr>
              <w:tc>
                <w:tcPr>
                  <w:tcW w:w="816" w:type="dxa"/>
                  <w:gridSpan w:val="2"/>
                  <w:vAlign w:val="top"/>
                </w:tcPr>
                <w:p>
                  <w:pPr>
                    <w:widowControl/>
                    <w:jc w:val="left"/>
                    <w:rPr>
                      <w:rFonts w:ascii="宋体" w:hAnsi="宋体" w:cs="宋体"/>
                      <w:i/>
                      <w:iCs/>
                      <w:kern w:val="0"/>
                      <w:szCs w:val="21"/>
                      <w:u w:val="single"/>
                    </w:rPr>
                  </w:pPr>
                  <w:r>
                    <w:rPr>
                      <w:rFonts w:hint="eastAsia" w:ascii="宋体" w:hAnsi="宋体" w:cs="宋体"/>
                      <w:i/>
                      <w:iCs/>
                      <w:kern w:val="0"/>
                      <w:szCs w:val="21"/>
                      <w:u w:val="single"/>
                    </w:rPr>
                    <w:t>9</w:t>
                  </w:r>
                </w:p>
              </w:tc>
              <w:tc>
                <w:tcPr>
                  <w:tcW w:w="911" w:type="dxa"/>
                  <w:vMerge w:val="restart"/>
                  <w:vAlign w:val="top"/>
                </w:tcPr>
                <w:p>
                  <w:pPr>
                    <w:widowControl/>
                    <w:jc w:val="left"/>
                    <w:rPr>
                      <w:rFonts w:ascii="宋体" w:hAnsi="宋体" w:cs="宋体"/>
                      <w:i/>
                      <w:iCs/>
                      <w:kern w:val="0"/>
                      <w:szCs w:val="21"/>
                      <w:u w:val="single"/>
                    </w:rPr>
                  </w:pPr>
                  <w:r>
                    <w:rPr>
                      <w:rFonts w:hint="eastAsia" w:ascii="宋体" w:hAnsi="宋体" w:cs="宋体"/>
                      <w:i/>
                      <w:iCs/>
                      <w:kern w:val="0"/>
                      <w:szCs w:val="21"/>
                      <w:u w:val="single"/>
                    </w:rPr>
                    <w:t>废油液</w:t>
                  </w:r>
                </w:p>
              </w:tc>
              <w:tc>
                <w:tcPr>
                  <w:tcW w:w="1136" w:type="dxa"/>
                  <w:vAlign w:val="top"/>
                </w:tcPr>
                <w:p>
                  <w:pPr>
                    <w:widowControl/>
                    <w:jc w:val="left"/>
                    <w:rPr>
                      <w:rFonts w:ascii="宋体" w:hAnsi="宋体" w:cs="宋体"/>
                      <w:i/>
                      <w:iCs/>
                      <w:kern w:val="0"/>
                      <w:szCs w:val="21"/>
                      <w:u w:val="single"/>
                    </w:rPr>
                  </w:pPr>
                  <w:r>
                    <w:rPr>
                      <w:rFonts w:hint="eastAsia" w:ascii="宋体" w:hAnsi="宋体" w:cs="宋体"/>
                      <w:i/>
                      <w:iCs/>
                      <w:kern w:val="0"/>
                      <w:szCs w:val="21"/>
                      <w:u w:val="single"/>
                    </w:rPr>
                    <w:t>废机油</w:t>
                  </w:r>
                </w:p>
              </w:tc>
              <w:tc>
                <w:tcPr>
                  <w:tcW w:w="1060" w:type="dxa"/>
                  <w:vAlign w:val="top"/>
                </w:tcPr>
                <w:p>
                  <w:pPr>
                    <w:widowControl/>
                    <w:jc w:val="left"/>
                    <w:textAlignment w:val="top"/>
                    <w:rPr>
                      <w:rFonts w:ascii="宋体" w:hAnsi="宋体" w:cs="宋体"/>
                      <w:i/>
                      <w:iCs/>
                      <w:color w:val="000000"/>
                      <w:szCs w:val="21"/>
                      <w:u w:val="single"/>
                    </w:rPr>
                  </w:pPr>
                  <w:r>
                    <w:rPr>
                      <w:rFonts w:hint="eastAsia" w:ascii="宋体" w:hAnsi="宋体" w:cs="宋体"/>
                      <w:i/>
                      <w:iCs/>
                      <w:color w:val="000000"/>
                      <w:kern w:val="0"/>
                      <w:szCs w:val="21"/>
                      <w:u w:val="single"/>
                    </w:rPr>
                    <w:t>3.3</w:t>
                  </w:r>
                </w:p>
              </w:tc>
              <w:tc>
                <w:tcPr>
                  <w:tcW w:w="1939" w:type="dxa"/>
                  <w:vAlign w:val="top"/>
                </w:tcPr>
                <w:p>
                  <w:pPr>
                    <w:widowControl/>
                    <w:jc w:val="left"/>
                    <w:rPr>
                      <w:rFonts w:ascii="宋体" w:hAnsi="宋体" w:cs="宋体"/>
                      <w:i/>
                      <w:iCs/>
                      <w:kern w:val="0"/>
                      <w:szCs w:val="21"/>
                      <w:u w:val="single"/>
                    </w:rPr>
                  </w:pPr>
                  <w:r>
                    <w:rPr>
                      <w:rFonts w:ascii="宋体" w:hAnsi="宋体" w:cs="宋体"/>
                      <w:i/>
                      <w:iCs/>
                      <w:kern w:val="0"/>
                      <w:szCs w:val="21"/>
                      <w:u w:val="single"/>
                    </w:rPr>
                    <w:t>含发动机油、变速箱油</w:t>
                  </w:r>
                </w:p>
              </w:tc>
              <w:tc>
                <w:tcPr>
                  <w:tcW w:w="1939" w:type="dxa"/>
                  <w:vMerge w:val="continue"/>
                  <w:vAlign w:val="top"/>
                </w:tcPr>
                <w:p>
                  <w:pPr>
                    <w:widowControl/>
                    <w:jc w:val="left"/>
                    <w:rPr>
                      <w:rFonts w:ascii="宋体" w:hAnsi="宋体" w:cs="宋体"/>
                      <w:i/>
                      <w:iCs/>
                      <w:kern w:val="0"/>
                      <w:szCs w:val="21"/>
                      <w:u w:val="single"/>
                    </w:rPr>
                  </w:pPr>
                </w:p>
              </w:tc>
            </w:tr>
            <w:tr>
              <w:trPr>
                <w:trHeight w:val="313" w:hRule="atLeast"/>
              </w:trPr>
              <w:tc>
                <w:tcPr>
                  <w:tcW w:w="816" w:type="dxa"/>
                  <w:gridSpan w:val="2"/>
                  <w:vAlign w:val="top"/>
                </w:tcPr>
                <w:p>
                  <w:pPr>
                    <w:widowControl/>
                    <w:jc w:val="left"/>
                    <w:rPr>
                      <w:rFonts w:ascii="宋体" w:hAnsi="宋体" w:cs="宋体"/>
                      <w:i/>
                      <w:iCs/>
                      <w:kern w:val="0"/>
                      <w:szCs w:val="21"/>
                      <w:u w:val="single"/>
                    </w:rPr>
                  </w:pPr>
                  <w:r>
                    <w:rPr>
                      <w:rFonts w:hint="eastAsia" w:ascii="宋体" w:hAnsi="宋体" w:cs="宋体"/>
                      <w:i/>
                      <w:iCs/>
                      <w:kern w:val="0"/>
                      <w:szCs w:val="21"/>
                      <w:u w:val="single"/>
                    </w:rPr>
                    <w:t>10</w:t>
                  </w:r>
                </w:p>
              </w:tc>
              <w:tc>
                <w:tcPr>
                  <w:tcW w:w="911" w:type="dxa"/>
                  <w:vMerge w:val="continue"/>
                  <w:vAlign w:val="top"/>
                </w:tcPr>
                <w:p>
                  <w:pPr>
                    <w:widowControl/>
                    <w:jc w:val="left"/>
                    <w:rPr>
                      <w:rFonts w:ascii="宋体" w:hAnsi="宋体" w:cs="宋体"/>
                      <w:i/>
                      <w:iCs/>
                      <w:kern w:val="0"/>
                      <w:szCs w:val="21"/>
                      <w:u w:val="single"/>
                    </w:rPr>
                  </w:pPr>
                </w:p>
              </w:tc>
              <w:tc>
                <w:tcPr>
                  <w:tcW w:w="1136" w:type="dxa"/>
                  <w:vAlign w:val="top"/>
                </w:tcPr>
                <w:p>
                  <w:pPr>
                    <w:widowControl/>
                    <w:jc w:val="left"/>
                    <w:rPr>
                      <w:rFonts w:ascii="宋体" w:hAnsi="宋体" w:cs="宋体"/>
                      <w:i/>
                      <w:iCs/>
                      <w:kern w:val="0"/>
                      <w:szCs w:val="21"/>
                      <w:u w:val="single"/>
                    </w:rPr>
                  </w:pPr>
                  <w:r>
                    <w:rPr>
                      <w:rFonts w:hint="eastAsia" w:ascii="宋体" w:hAnsi="宋体" w:cs="宋体"/>
                      <w:i/>
                      <w:iCs/>
                      <w:kern w:val="0"/>
                      <w:szCs w:val="21"/>
                      <w:u w:val="single"/>
                    </w:rPr>
                    <w:t>剩余燃油</w:t>
                  </w:r>
                </w:p>
              </w:tc>
              <w:tc>
                <w:tcPr>
                  <w:tcW w:w="1060" w:type="dxa"/>
                  <w:vAlign w:val="top"/>
                </w:tcPr>
                <w:p>
                  <w:pPr>
                    <w:widowControl/>
                    <w:jc w:val="left"/>
                    <w:textAlignment w:val="top"/>
                    <w:rPr>
                      <w:rFonts w:ascii="宋体" w:hAnsi="宋体" w:cs="宋体"/>
                      <w:i/>
                      <w:iCs/>
                      <w:color w:val="000000"/>
                      <w:szCs w:val="21"/>
                      <w:u w:val="single"/>
                    </w:rPr>
                  </w:pPr>
                  <w:r>
                    <w:rPr>
                      <w:rFonts w:hint="eastAsia" w:ascii="宋体" w:hAnsi="宋体" w:cs="宋体"/>
                      <w:i/>
                      <w:iCs/>
                      <w:color w:val="000000"/>
                      <w:kern w:val="0"/>
                      <w:szCs w:val="21"/>
                      <w:u w:val="single"/>
                    </w:rPr>
                    <w:t>0.5</w:t>
                  </w:r>
                </w:p>
              </w:tc>
              <w:tc>
                <w:tcPr>
                  <w:tcW w:w="1939" w:type="dxa"/>
                  <w:vAlign w:val="top"/>
                </w:tcPr>
                <w:p>
                  <w:pPr>
                    <w:widowControl/>
                    <w:jc w:val="left"/>
                    <w:rPr>
                      <w:rFonts w:ascii="宋体" w:hAnsi="宋体" w:cs="宋体"/>
                      <w:i/>
                      <w:iCs/>
                      <w:kern w:val="0"/>
                      <w:szCs w:val="21"/>
                      <w:u w:val="single"/>
                    </w:rPr>
                  </w:pPr>
                  <w:r>
                    <w:rPr>
                      <w:rFonts w:ascii="宋体" w:hAnsi="宋体" w:cs="宋体"/>
                      <w:i/>
                      <w:iCs/>
                      <w:kern w:val="0"/>
                      <w:szCs w:val="21"/>
                      <w:u w:val="single"/>
                    </w:rPr>
                    <w:t>油箱 / 管路残留柴油、汽油</w:t>
                  </w:r>
                </w:p>
              </w:tc>
              <w:tc>
                <w:tcPr>
                  <w:tcW w:w="1939" w:type="dxa"/>
                  <w:vMerge w:val="continue"/>
                  <w:vAlign w:val="top"/>
                </w:tcPr>
                <w:p>
                  <w:pPr>
                    <w:widowControl/>
                    <w:jc w:val="left"/>
                    <w:rPr>
                      <w:rFonts w:ascii="宋体" w:hAnsi="宋体" w:cs="宋体"/>
                      <w:i/>
                      <w:iCs/>
                      <w:kern w:val="0"/>
                      <w:szCs w:val="21"/>
                      <w:u w:val="single"/>
                    </w:rPr>
                  </w:pPr>
                </w:p>
              </w:tc>
            </w:tr>
            <w:tr>
              <w:trPr>
                <w:trHeight w:val="313" w:hRule="atLeast"/>
              </w:trPr>
              <w:tc>
                <w:tcPr>
                  <w:tcW w:w="816" w:type="dxa"/>
                  <w:gridSpan w:val="2"/>
                  <w:vAlign w:val="top"/>
                </w:tcPr>
                <w:p>
                  <w:pPr>
                    <w:widowControl/>
                    <w:jc w:val="left"/>
                    <w:rPr>
                      <w:rFonts w:ascii="宋体" w:hAnsi="宋体" w:cs="宋体"/>
                      <w:i/>
                      <w:iCs/>
                      <w:kern w:val="0"/>
                      <w:szCs w:val="21"/>
                      <w:u w:val="single"/>
                    </w:rPr>
                  </w:pPr>
                  <w:r>
                    <w:rPr>
                      <w:rFonts w:hint="eastAsia" w:ascii="宋体" w:hAnsi="宋体" w:cs="宋体"/>
                      <w:i/>
                      <w:iCs/>
                      <w:kern w:val="0"/>
                      <w:szCs w:val="21"/>
                      <w:u w:val="single"/>
                    </w:rPr>
                    <w:t>13</w:t>
                  </w:r>
                </w:p>
              </w:tc>
              <w:tc>
                <w:tcPr>
                  <w:tcW w:w="2047" w:type="dxa"/>
                  <w:gridSpan w:val="2"/>
                  <w:vAlign w:val="top"/>
                </w:tcPr>
                <w:p>
                  <w:pPr>
                    <w:widowControl/>
                    <w:jc w:val="left"/>
                    <w:rPr>
                      <w:rFonts w:ascii="宋体" w:hAnsi="宋体" w:cs="宋体"/>
                      <w:i/>
                      <w:iCs/>
                      <w:kern w:val="0"/>
                      <w:szCs w:val="21"/>
                      <w:u w:val="single"/>
                    </w:rPr>
                  </w:pPr>
                  <w:r>
                    <w:rPr>
                      <w:rFonts w:hint="eastAsia" w:ascii="宋体" w:hAnsi="宋体" w:cs="宋体"/>
                      <w:i/>
                      <w:iCs/>
                      <w:kern w:val="0"/>
                      <w:szCs w:val="21"/>
                      <w:u w:val="single"/>
                    </w:rPr>
                    <w:t>废防冻液</w:t>
                  </w:r>
                </w:p>
              </w:tc>
              <w:tc>
                <w:tcPr>
                  <w:tcW w:w="1060" w:type="dxa"/>
                  <w:vAlign w:val="top"/>
                </w:tcPr>
                <w:p>
                  <w:pPr>
                    <w:widowControl/>
                    <w:jc w:val="left"/>
                    <w:textAlignment w:val="top"/>
                    <w:rPr>
                      <w:rFonts w:ascii="宋体" w:hAnsi="宋体" w:cs="宋体"/>
                      <w:i/>
                      <w:iCs/>
                      <w:color w:val="000000"/>
                      <w:szCs w:val="21"/>
                      <w:u w:val="single"/>
                    </w:rPr>
                  </w:pPr>
                  <w:r>
                    <w:rPr>
                      <w:rFonts w:hint="eastAsia" w:ascii="宋体" w:hAnsi="宋体" w:cs="宋体"/>
                      <w:i/>
                      <w:iCs/>
                      <w:color w:val="000000"/>
                      <w:kern w:val="0"/>
                      <w:szCs w:val="21"/>
                      <w:u w:val="single"/>
                    </w:rPr>
                    <w:t>0.3</w:t>
                  </w:r>
                </w:p>
              </w:tc>
              <w:tc>
                <w:tcPr>
                  <w:tcW w:w="1939" w:type="dxa"/>
                  <w:vAlign w:val="top"/>
                </w:tcPr>
                <w:p>
                  <w:pPr>
                    <w:widowControl/>
                    <w:jc w:val="left"/>
                    <w:rPr>
                      <w:rFonts w:ascii="宋体" w:hAnsi="宋体" w:cs="宋体"/>
                      <w:i/>
                      <w:iCs/>
                      <w:kern w:val="0"/>
                      <w:szCs w:val="21"/>
                      <w:u w:val="single"/>
                    </w:rPr>
                  </w:pPr>
                  <w:r>
                    <w:rPr>
                      <w:rFonts w:ascii="宋体" w:hAnsi="宋体" w:cs="宋体"/>
                      <w:i/>
                      <w:iCs/>
                      <w:kern w:val="0"/>
                      <w:szCs w:val="21"/>
                      <w:u w:val="single"/>
                    </w:rPr>
                    <w:t>发动机冷却系统残留</w:t>
                  </w:r>
                </w:p>
              </w:tc>
              <w:tc>
                <w:tcPr>
                  <w:tcW w:w="1939" w:type="dxa"/>
                  <w:vMerge w:val="continue"/>
                  <w:vAlign w:val="top"/>
                </w:tcPr>
                <w:p>
                  <w:pPr>
                    <w:widowControl/>
                    <w:jc w:val="left"/>
                    <w:rPr>
                      <w:rFonts w:ascii="宋体" w:hAnsi="宋体" w:cs="宋体"/>
                      <w:i/>
                      <w:iCs/>
                      <w:kern w:val="0"/>
                      <w:szCs w:val="21"/>
                      <w:u w:val="single"/>
                    </w:rPr>
                  </w:pPr>
                </w:p>
              </w:tc>
            </w:tr>
            <w:tr>
              <w:trPr>
                <w:trHeight w:val="313" w:hRule="atLeast"/>
              </w:trPr>
              <w:tc>
                <w:tcPr>
                  <w:tcW w:w="816" w:type="dxa"/>
                  <w:gridSpan w:val="2"/>
                  <w:vAlign w:val="top"/>
                </w:tcPr>
                <w:p>
                  <w:pPr>
                    <w:widowControl/>
                    <w:jc w:val="left"/>
                    <w:rPr>
                      <w:rFonts w:ascii="宋体" w:hAnsi="宋体" w:cs="宋体"/>
                      <w:i/>
                      <w:iCs/>
                      <w:kern w:val="0"/>
                      <w:szCs w:val="21"/>
                      <w:u w:val="single"/>
                    </w:rPr>
                  </w:pPr>
                  <w:r>
                    <w:rPr>
                      <w:rFonts w:hint="eastAsia" w:ascii="宋体" w:hAnsi="宋体" w:cs="宋体"/>
                      <w:i/>
                      <w:iCs/>
                      <w:kern w:val="0"/>
                      <w:szCs w:val="21"/>
                      <w:u w:val="single"/>
                    </w:rPr>
                    <w:t>14</w:t>
                  </w:r>
                </w:p>
              </w:tc>
              <w:tc>
                <w:tcPr>
                  <w:tcW w:w="2047" w:type="dxa"/>
                  <w:gridSpan w:val="2"/>
                  <w:vAlign w:val="top"/>
                </w:tcPr>
                <w:p>
                  <w:pPr>
                    <w:widowControl/>
                    <w:jc w:val="left"/>
                    <w:rPr>
                      <w:rFonts w:ascii="宋体" w:hAnsi="宋体" w:cs="宋体"/>
                      <w:i/>
                      <w:iCs/>
                      <w:kern w:val="0"/>
                      <w:szCs w:val="21"/>
                      <w:u w:val="single"/>
                    </w:rPr>
                  </w:pPr>
                  <w:r>
                    <w:rPr>
                      <w:rFonts w:hint="eastAsia" w:ascii="宋体" w:hAnsi="宋体" w:cs="宋体"/>
                      <w:i/>
                      <w:iCs/>
                      <w:kern w:val="0"/>
                      <w:szCs w:val="21"/>
                      <w:u w:val="single"/>
                    </w:rPr>
                    <w:t>制动液</w:t>
                  </w:r>
                </w:p>
              </w:tc>
              <w:tc>
                <w:tcPr>
                  <w:tcW w:w="1060" w:type="dxa"/>
                  <w:vAlign w:val="top"/>
                </w:tcPr>
                <w:p>
                  <w:pPr>
                    <w:widowControl/>
                    <w:jc w:val="left"/>
                    <w:textAlignment w:val="top"/>
                    <w:rPr>
                      <w:rFonts w:ascii="宋体" w:hAnsi="宋体" w:cs="宋体"/>
                      <w:i/>
                      <w:iCs/>
                      <w:color w:val="000000"/>
                      <w:szCs w:val="21"/>
                      <w:u w:val="single"/>
                    </w:rPr>
                  </w:pPr>
                  <w:r>
                    <w:rPr>
                      <w:rFonts w:hint="eastAsia" w:ascii="宋体" w:hAnsi="宋体" w:cs="宋体"/>
                      <w:i/>
                      <w:iCs/>
                      <w:color w:val="000000"/>
                      <w:kern w:val="0"/>
                      <w:szCs w:val="21"/>
                      <w:u w:val="single"/>
                    </w:rPr>
                    <w:t>0.3</w:t>
                  </w:r>
                </w:p>
              </w:tc>
              <w:tc>
                <w:tcPr>
                  <w:tcW w:w="1939" w:type="dxa"/>
                  <w:vAlign w:val="top"/>
                </w:tcPr>
                <w:p>
                  <w:pPr>
                    <w:widowControl/>
                    <w:jc w:val="left"/>
                    <w:rPr>
                      <w:rFonts w:ascii="宋体" w:hAnsi="宋体" w:cs="宋体"/>
                      <w:i/>
                      <w:iCs/>
                      <w:kern w:val="0"/>
                      <w:szCs w:val="21"/>
                      <w:u w:val="single"/>
                    </w:rPr>
                  </w:pPr>
                  <w:r>
                    <w:rPr>
                      <w:rFonts w:ascii="宋体" w:hAnsi="宋体" w:cs="宋体"/>
                      <w:i/>
                      <w:iCs/>
                      <w:kern w:val="0"/>
                      <w:szCs w:val="21"/>
                      <w:u w:val="single"/>
                    </w:rPr>
                    <w:t>液压制动系统残留</w:t>
                  </w:r>
                </w:p>
              </w:tc>
              <w:tc>
                <w:tcPr>
                  <w:tcW w:w="1939" w:type="dxa"/>
                  <w:vMerge w:val="continue"/>
                  <w:vAlign w:val="top"/>
                </w:tcPr>
                <w:p>
                  <w:pPr>
                    <w:widowControl/>
                    <w:jc w:val="left"/>
                    <w:rPr>
                      <w:rFonts w:ascii="宋体" w:hAnsi="宋体" w:cs="宋体"/>
                      <w:i/>
                      <w:iCs/>
                      <w:kern w:val="0"/>
                      <w:szCs w:val="21"/>
                      <w:u w:val="single"/>
                    </w:rPr>
                  </w:pPr>
                </w:p>
              </w:tc>
            </w:tr>
            <w:tr>
              <w:trPr>
                <w:trHeight w:val="313" w:hRule="atLeast"/>
              </w:trPr>
              <w:tc>
                <w:tcPr>
                  <w:tcW w:w="816" w:type="dxa"/>
                  <w:gridSpan w:val="2"/>
                  <w:vAlign w:val="top"/>
                </w:tcPr>
                <w:p>
                  <w:pPr>
                    <w:widowControl/>
                    <w:jc w:val="left"/>
                    <w:rPr>
                      <w:rFonts w:ascii="宋体" w:hAnsi="宋体" w:cs="宋体"/>
                      <w:i/>
                      <w:iCs/>
                      <w:kern w:val="0"/>
                      <w:szCs w:val="21"/>
                      <w:u w:val="single"/>
                    </w:rPr>
                  </w:pPr>
                  <w:r>
                    <w:rPr>
                      <w:rFonts w:hint="eastAsia" w:ascii="宋体" w:hAnsi="宋体" w:cs="宋体"/>
                      <w:i/>
                      <w:iCs/>
                      <w:kern w:val="0"/>
                      <w:szCs w:val="21"/>
                      <w:u w:val="single"/>
                    </w:rPr>
                    <w:t>15</w:t>
                  </w:r>
                </w:p>
              </w:tc>
              <w:tc>
                <w:tcPr>
                  <w:tcW w:w="2047" w:type="dxa"/>
                  <w:gridSpan w:val="2"/>
                  <w:vAlign w:val="top"/>
                </w:tcPr>
                <w:p>
                  <w:pPr>
                    <w:widowControl/>
                    <w:jc w:val="left"/>
                    <w:rPr>
                      <w:rFonts w:ascii="宋体" w:hAnsi="宋体" w:cs="宋体"/>
                      <w:i/>
                      <w:iCs/>
                      <w:kern w:val="0"/>
                      <w:szCs w:val="21"/>
                      <w:u w:val="single"/>
                    </w:rPr>
                  </w:pPr>
                  <w:r>
                    <w:rPr>
                      <w:rFonts w:hint="eastAsia" w:ascii="宋体" w:hAnsi="宋体" w:cs="宋体"/>
                      <w:i/>
                      <w:iCs/>
                      <w:kern w:val="0"/>
                      <w:szCs w:val="21"/>
                      <w:u w:val="single"/>
                    </w:rPr>
                    <w:t>废尾气净化装置</w:t>
                  </w:r>
                </w:p>
              </w:tc>
              <w:tc>
                <w:tcPr>
                  <w:tcW w:w="1060" w:type="dxa"/>
                  <w:vAlign w:val="top"/>
                </w:tcPr>
                <w:p>
                  <w:pPr>
                    <w:widowControl/>
                    <w:jc w:val="left"/>
                    <w:textAlignment w:val="top"/>
                    <w:rPr>
                      <w:rFonts w:ascii="宋体" w:hAnsi="宋体" w:cs="宋体"/>
                      <w:i/>
                      <w:iCs/>
                      <w:color w:val="000000"/>
                      <w:szCs w:val="21"/>
                      <w:u w:val="single"/>
                    </w:rPr>
                  </w:pPr>
                  <w:r>
                    <w:rPr>
                      <w:rFonts w:hint="eastAsia" w:ascii="宋体" w:hAnsi="宋体" w:cs="宋体"/>
                      <w:i/>
                      <w:iCs/>
                      <w:color w:val="000000"/>
                      <w:kern w:val="0"/>
                      <w:szCs w:val="21"/>
                      <w:u w:val="single"/>
                    </w:rPr>
                    <w:t>0.15</w:t>
                  </w:r>
                </w:p>
              </w:tc>
              <w:tc>
                <w:tcPr>
                  <w:tcW w:w="1939" w:type="dxa"/>
                  <w:vAlign w:val="top"/>
                </w:tcPr>
                <w:p>
                  <w:pPr>
                    <w:widowControl/>
                    <w:jc w:val="left"/>
                    <w:rPr>
                      <w:rFonts w:ascii="宋体" w:hAnsi="宋体" w:cs="宋体"/>
                      <w:i/>
                      <w:iCs/>
                      <w:kern w:val="0"/>
                      <w:szCs w:val="21"/>
                      <w:u w:val="single"/>
                    </w:rPr>
                  </w:pPr>
                  <w:r>
                    <w:rPr>
                      <w:rFonts w:ascii="宋体" w:hAnsi="宋体" w:cs="宋体"/>
                      <w:i/>
                      <w:iCs/>
                      <w:kern w:val="0"/>
                      <w:szCs w:val="21"/>
                      <w:u w:val="single"/>
                    </w:rPr>
                    <w:t>三元催化器 / 消声器</w:t>
                  </w:r>
                </w:p>
              </w:tc>
              <w:tc>
                <w:tcPr>
                  <w:tcW w:w="1939" w:type="dxa"/>
                  <w:vMerge w:val="continue"/>
                  <w:vAlign w:val="top"/>
                </w:tcPr>
                <w:p>
                  <w:pPr>
                    <w:widowControl/>
                    <w:jc w:val="left"/>
                    <w:rPr>
                      <w:rFonts w:ascii="宋体" w:hAnsi="宋体" w:cs="宋体"/>
                      <w:i/>
                      <w:iCs/>
                      <w:kern w:val="0"/>
                      <w:szCs w:val="21"/>
                      <w:u w:val="single"/>
                    </w:rPr>
                  </w:pPr>
                </w:p>
              </w:tc>
            </w:tr>
            <w:tr>
              <w:trPr>
                <w:trHeight w:val="313" w:hRule="atLeast"/>
              </w:trPr>
              <w:tc>
                <w:tcPr>
                  <w:tcW w:w="816" w:type="dxa"/>
                  <w:gridSpan w:val="2"/>
                  <w:vAlign w:val="top"/>
                </w:tcPr>
                <w:p>
                  <w:pPr>
                    <w:widowControl/>
                    <w:jc w:val="left"/>
                    <w:rPr>
                      <w:rFonts w:ascii="宋体" w:hAnsi="宋体" w:cs="宋体"/>
                      <w:i/>
                      <w:iCs/>
                      <w:kern w:val="0"/>
                      <w:szCs w:val="21"/>
                      <w:u w:val="single"/>
                    </w:rPr>
                  </w:pPr>
                  <w:r>
                    <w:rPr>
                      <w:rFonts w:hint="eastAsia" w:ascii="宋体" w:hAnsi="宋体" w:cs="宋体"/>
                      <w:i/>
                      <w:iCs/>
                      <w:kern w:val="0"/>
                      <w:szCs w:val="21"/>
                      <w:u w:val="single"/>
                    </w:rPr>
                    <w:t>16</w:t>
                  </w:r>
                </w:p>
              </w:tc>
              <w:tc>
                <w:tcPr>
                  <w:tcW w:w="2047" w:type="dxa"/>
                  <w:gridSpan w:val="2"/>
                  <w:vAlign w:val="top"/>
                </w:tcPr>
                <w:p>
                  <w:pPr>
                    <w:widowControl/>
                    <w:jc w:val="left"/>
                    <w:rPr>
                      <w:rFonts w:ascii="宋体" w:hAnsi="宋体" w:cs="宋体"/>
                      <w:i/>
                      <w:iCs/>
                      <w:kern w:val="0"/>
                      <w:szCs w:val="21"/>
                      <w:u w:val="single"/>
                    </w:rPr>
                  </w:pPr>
                  <w:r>
                    <w:rPr>
                      <w:rFonts w:hint="eastAsia" w:ascii="宋体" w:hAnsi="宋体" w:cs="宋体"/>
                      <w:i/>
                      <w:iCs/>
                      <w:kern w:val="0"/>
                      <w:szCs w:val="21"/>
                      <w:u w:val="single"/>
                    </w:rPr>
                    <w:t>废机油滤清器</w:t>
                  </w:r>
                </w:p>
              </w:tc>
              <w:tc>
                <w:tcPr>
                  <w:tcW w:w="1060" w:type="dxa"/>
                  <w:vAlign w:val="top"/>
                </w:tcPr>
                <w:p>
                  <w:pPr>
                    <w:widowControl/>
                    <w:jc w:val="left"/>
                    <w:textAlignment w:val="top"/>
                    <w:rPr>
                      <w:rFonts w:ascii="宋体" w:hAnsi="宋体" w:cs="宋体"/>
                      <w:i/>
                      <w:iCs/>
                      <w:color w:val="000000"/>
                      <w:szCs w:val="21"/>
                      <w:u w:val="single"/>
                    </w:rPr>
                  </w:pPr>
                  <w:r>
                    <w:rPr>
                      <w:rFonts w:hint="eastAsia" w:ascii="宋体" w:hAnsi="宋体" w:cs="宋体"/>
                      <w:i/>
                      <w:iCs/>
                      <w:color w:val="000000"/>
                      <w:kern w:val="0"/>
                      <w:szCs w:val="21"/>
                      <w:u w:val="single"/>
                    </w:rPr>
                    <w:t>0.15</w:t>
                  </w:r>
                </w:p>
              </w:tc>
              <w:tc>
                <w:tcPr>
                  <w:tcW w:w="1939" w:type="dxa"/>
                  <w:vAlign w:val="top"/>
                </w:tcPr>
                <w:p>
                  <w:pPr>
                    <w:widowControl/>
                    <w:jc w:val="left"/>
                    <w:rPr>
                      <w:rFonts w:ascii="宋体" w:hAnsi="宋体" w:cs="宋体"/>
                      <w:i/>
                      <w:iCs/>
                      <w:kern w:val="0"/>
                      <w:szCs w:val="21"/>
                      <w:u w:val="single"/>
                    </w:rPr>
                  </w:pPr>
                  <w:r>
                    <w:rPr>
                      <w:rFonts w:ascii="宋体" w:hAnsi="宋体" w:cs="宋体"/>
                      <w:i/>
                      <w:iCs/>
                      <w:kern w:val="0"/>
                      <w:szCs w:val="21"/>
                      <w:u w:val="single"/>
                    </w:rPr>
                    <w:t>沾染废机油</w:t>
                  </w:r>
                </w:p>
              </w:tc>
              <w:tc>
                <w:tcPr>
                  <w:tcW w:w="1939" w:type="dxa"/>
                  <w:vMerge w:val="continue"/>
                  <w:vAlign w:val="top"/>
                </w:tcPr>
                <w:p>
                  <w:pPr>
                    <w:widowControl/>
                    <w:jc w:val="left"/>
                    <w:rPr>
                      <w:rFonts w:ascii="宋体" w:hAnsi="宋体" w:cs="宋体"/>
                      <w:i/>
                      <w:iCs/>
                      <w:kern w:val="0"/>
                      <w:szCs w:val="21"/>
                      <w:u w:val="single"/>
                    </w:rPr>
                  </w:pPr>
                </w:p>
              </w:tc>
            </w:tr>
            <w:tr>
              <w:trPr>
                <w:trHeight w:val="313" w:hRule="atLeast"/>
              </w:trPr>
              <w:tc>
                <w:tcPr>
                  <w:tcW w:w="816" w:type="dxa"/>
                  <w:gridSpan w:val="2"/>
                  <w:vAlign w:val="top"/>
                </w:tcPr>
                <w:p>
                  <w:pPr>
                    <w:widowControl/>
                    <w:jc w:val="left"/>
                    <w:rPr>
                      <w:rFonts w:ascii="宋体" w:hAnsi="宋体" w:cs="宋体"/>
                      <w:i/>
                      <w:iCs/>
                      <w:kern w:val="0"/>
                      <w:szCs w:val="21"/>
                      <w:u w:val="single"/>
                    </w:rPr>
                  </w:pPr>
                  <w:r>
                    <w:rPr>
                      <w:rFonts w:hint="eastAsia" w:ascii="宋体" w:hAnsi="宋体" w:cs="宋体"/>
                      <w:i/>
                      <w:iCs/>
                      <w:kern w:val="0"/>
                      <w:szCs w:val="21"/>
                      <w:u w:val="single"/>
                    </w:rPr>
                    <w:t>17</w:t>
                  </w:r>
                </w:p>
              </w:tc>
              <w:tc>
                <w:tcPr>
                  <w:tcW w:w="2047" w:type="dxa"/>
                  <w:gridSpan w:val="2"/>
                  <w:vAlign w:val="top"/>
                </w:tcPr>
                <w:p>
                  <w:pPr>
                    <w:widowControl/>
                    <w:jc w:val="left"/>
                    <w:rPr>
                      <w:rFonts w:ascii="宋体" w:hAnsi="宋体" w:cs="宋体"/>
                      <w:i/>
                      <w:iCs/>
                      <w:kern w:val="0"/>
                      <w:szCs w:val="21"/>
                      <w:u w:val="single"/>
                    </w:rPr>
                  </w:pPr>
                  <w:r>
                    <w:rPr>
                      <w:rFonts w:hint="eastAsia" w:ascii="宋体" w:hAnsi="宋体" w:cs="宋体"/>
                      <w:i/>
                      <w:iCs/>
                      <w:kern w:val="0"/>
                      <w:szCs w:val="21"/>
                      <w:u w:val="single"/>
                    </w:rPr>
                    <w:t>废含汞开关、电路板</w:t>
                  </w:r>
                </w:p>
              </w:tc>
              <w:tc>
                <w:tcPr>
                  <w:tcW w:w="1060" w:type="dxa"/>
                  <w:vAlign w:val="top"/>
                </w:tcPr>
                <w:p>
                  <w:pPr>
                    <w:widowControl/>
                    <w:jc w:val="left"/>
                    <w:textAlignment w:val="top"/>
                    <w:rPr>
                      <w:rFonts w:ascii="宋体" w:hAnsi="宋体" w:cs="宋体"/>
                      <w:i/>
                      <w:iCs/>
                      <w:color w:val="000000"/>
                      <w:szCs w:val="21"/>
                      <w:u w:val="single"/>
                    </w:rPr>
                  </w:pPr>
                  <w:r>
                    <w:rPr>
                      <w:rFonts w:hint="eastAsia" w:ascii="宋体" w:hAnsi="宋体" w:cs="宋体"/>
                      <w:i/>
                      <w:iCs/>
                      <w:color w:val="000000"/>
                      <w:kern w:val="0"/>
                      <w:szCs w:val="21"/>
                      <w:u w:val="single"/>
                    </w:rPr>
                    <w:t>0.15</w:t>
                  </w:r>
                </w:p>
              </w:tc>
              <w:tc>
                <w:tcPr>
                  <w:tcW w:w="1939" w:type="dxa"/>
                  <w:vAlign w:val="top"/>
                </w:tcPr>
                <w:p>
                  <w:pPr>
                    <w:widowControl/>
                    <w:jc w:val="left"/>
                    <w:rPr>
                      <w:rFonts w:ascii="宋体" w:hAnsi="宋体" w:cs="宋体"/>
                      <w:i/>
                      <w:iCs/>
                      <w:kern w:val="0"/>
                      <w:szCs w:val="21"/>
                      <w:u w:val="single"/>
                    </w:rPr>
                  </w:pPr>
                  <w:r>
                    <w:rPr>
                      <w:rFonts w:ascii="宋体" w:hAnsi="宋体" w:cs="宋体"/>
                      <w:i/>
                      <w:iCs/>
                      <w:kern w:val="0"/>
                      <w:szCs w:val="21"/>
                      <w:u w:val="single"/>
                    </w:rPr>
                    <w:t>仪表盘、灯光控制部件</w:t>
                  </w:r>
                </w:p>
              </w:tc>
              <w:tc>
                <w:tcPr>
                  <w:tcW w:w="1939" w:type="dxa"/>
                  <w:vMerge w:val="continue"/>
                  <w:vAlign w:val="top"/>
                </w:tcPr>
                <w:p>
                  <w:pPr>
                    <w:widowControl/>
                    <w:jc w:val="left"/>
                    <w:rPr>
                      <w:rFonts w:ascii="宋体" w:hAnsi="宋体" w:cs="宋体"/>
                      <w:i/>
                      <w:iCs/>
                      <w:kern w:val="0"/>
                      <w:szCs w:val="21"/>
                      <w:u w:val="single"/>
                    </w:rPr>
                  </w:pPr>
                </w:p>
              </w:tc>
            </w:tr>
            <w:tr>
              <w:trPr>
                <w:trHeight w:val="313" w:hRule="atLeast"/>
              </w:trPr>
              <w:tc>
                <w:tcPr>
                  <w:tcW w:w="816" w:type="dxa"/>
                  <w:gridSpan w:val="2"/>
                  <w:vAlign w:val="top"/>
                </w:tcPr>
                <w:p>
                  <w:pPr>
                    <w:widowControl/>
                    <w:jc w:val="left"/>
                    <w:rPr>
                      <w:rFonts w:ascii="宋体" w:hAnsi="宋体" w:cs="宋体"/>
                      <w:i/>
                      <w:iCs/>
                      <w:kern w:val="0"/>
                      <w:szCs w:val="21"/>
                      <w:u w:val="single"/>
                    </w:rPr>
                  </w:pPr>
                  <w:r>
                    <w:rPr>
                      <w:rFonts w:hint="eastAsia" w:ascii="宋体" w:hAnsi="宋体" w:cs="宋体"/>
                      <w:i/>
                      <w:iCs/>
                      <w:kern w:val="0"/>
                      <w:szCs w:val="21"/>
                      <w:u w:val="single"/>
                    </w:rPr>
                    <w:t>18</w:t>
                  </w:r>
                </w:p>
              </w:tc>
              <w:tc>
                <w:tcPr>
                  <w:tcW w:w="2047" w:type="dxa"/>
                  <w:gridSpan w:val="2"/>
                  <w:vAlign w:val="top"/>
                </w:tcPr>
                <w:p>
                  <w:pPr>
                    <w:widowControl/>
                    <w:jc w:val="left"/>
                    <w:rPr>
                      <w:rFonts w:ascii="宋体" w:hAnsi="宋体" w:cs="宋体"/>
                      <w:i/>
                      <w:iCs/>
                      <w:kern w:val="0"/>
                      <w:szCs w:val="21"/>
                      <w:u w:val="single"/>
                    </w:rPr>
                  </w:pPr>
                  <w:r>
                    <w:rPr>
                      <w:rFonts w:hint="eastAsia" w:ascii="宋体" w:hAnsi="宋体" w:cs="宋体"/>
                      <w:i/>
                      <w:iCs/>
                      <w:kern w:val="0"/>
                      <w:szCs w:val="21"/>
                      <w:u w:val="single"/>
                    </w:rPr>
                    <w:t>电容器</w:t>
                  </w:r>
                </w:p>
              </w:tc>
              <w:tc>
                <w:tcPr>
                  <w:tcW w:w="1060" w:type="dxa"/>
                  <w:vAlign w:val="top"/>
                </w:tcPr>
                <w:p>
                  <w:pPr>
                    <w:widowControl/>
                    <w:jc w:val="left"/>
                    <w:textAlignment w:val="top"/>
                    <w:rPr>
                      <w:rFonts w:ascii="宋体" w:hAnsi="宋体" w:cs="宋体"/>
                      <w:i/>
                      <w:iCs/>
                      <w:color w:val="000000"/>
                      <w:szCs w:val="21"/>
                      <w:u w:val="single"/>
                    </w:rPr>
                  </w:pPr>
                  <w:r>
                    <w:rPr>
                      <w:rFonts w:hint="eastAsia" w:ascii="宋体" w:hAnsi="宋体" w:cs="宋体"/>
                      <w:i/>
                      <w:iCs/>
                      <w:color w:val="000000"/>
                      <w:kern w:val="0"/>
                      <w:szCs w:val="21"/>
                      <w:u w:val="single"/>
                    </w:rPr>
                    <w:t>0.15</w:t>
                  </w:r>
                </w:p>
              </w:tc>
              <w:tc>
                <w:tcPr>
                  <w:tcW w:w="1939" w:type="dxa"/>
                  <w:vAlign w:val="top"/>
                </w:tcPr>
                <w:p>
                  <w:pPr>
                    <w:widowControl/>
                    <w:jc w:val="left"/>
                    <w:rPr>
                      <w:rFonts w:ascii="宋体" w:hAnsi="宋体" w:cs="宋体"/>
                      <w:i/>
                      <w:iCs/>
                      <w:kern w:val="0"/>
                      <w:szCs w:val="21"/>
                      <w:u w:val="single"/>
                    </w:rPr>
                  </w:pPr>
                  <w:r>
                    <w:rPr>
                      <w:rFonts w:ascii="宋体" w:hAnsi="宋体" w:cs="宋体"/>
                      <w:i/>
                      <w:iCs/>
                      <w:kern w:val="0"/>
                      <w:szCs w:val="21"/>
                      <w:u w:val="single"/>
                    </w:rPr>
                    <w:t>电气系统部件</w:t>
                  </w:r>
                </w:p>
              </w:tc>
              <w:tc>
                <w:tcPr>
                  <w:tcW w:w="1939" w:type="dxa"/>
                  <w:vMerge w:val="continue"/>
                  <w:vAlign w:val="top"/>
                </w:tcPr>
                <w:p>
                  <w:pPr>
                    <w:widowControl/>
                    <w:jc w:val="left"/>
                    <w:rPr>
                      <w:rFonts w:ascii="宋体" w:hAnsi="宋体" w:cs="宋体"/>
                      <w:i/>
                      <w:iCs/>
                      <w:kern w:val="0"/>
                      <w:szCs w:val="21"/>
                      <w:u w:val="single"/>
                    </w:rPr>
                  </w:pPr>
                </w:p>
              </w:tc>
            </w:tr>
            <w:tr>
              <w:trPr>
                <w:trHeight w:val="313" w:hRule="atLeast"/>
              </w:trPr>
              <w:tc>
                <w:tcPr>
                  <w:tcW w:w="816" w:type="dxa"/>
                  <w:gridSpan w:val="2"/>
                  <w:vAlign w:val="top"/>
                </w:tcPr>
                <w:p>
                  <w:pPr>
                    <w:widowControl/>
                    <w:jc w:val="left"/>
                    <w:rPr>
                      <w:rFonts w:ascii="宋体" w:hAnsi="宋体" w:cs="宋体"/>
                      <w:i/>
                      <w:iCs/>
                      <w:kern w:val="0"/>
                      <w:szCs w:val="21"/>
                      <w:u w:val="single"/>
                    </w:rPr>
                  </w:pPr>
                  <w:r>
                    <w:rPr>
                      <w:rFonts w:hint="eastAsia" w:ascii="宋体" w:hAnsi="宋体" w:cs="宋体"/>
                      <w:i/>
                      <w:iCs/>
                      <w:kern w:val="0"/>
                      <w:szCs w:val="21"/>
                      <w:u w:val="single"/>
                    </w:rPr>
                    <w:t>19</w:t>
                  </w:r>
                </w:p>
              </w:tc>
              <w:tc>
                <w:tcPr>
                  <w:tcW w:w="2047" w:type="dxa"/>
                  <w:gridSpan w:val="2"/>
                  <w:vAlign w:val="top"/>
                </w:tcPr>
                <w:p>
                  <w:pPr>
                    <w:widowControl/>
                    <w:jc w:val="left"/>
                    <w:rPr>
                      <w:rFonts w:ascii="宋体" w:hAnsi="宋体" w:cs="宋体"/>
                      <w:i/>
                      <w:iCs/>
                      <w:kern w:val="0"/>
                      <w:szCs w:val="21"/>
                      <w:u w:val="single"/>
                    </w:rPr>
                  </w:pPr>
                  <w:r>
                    <w:rPr>
                      <w:rFonts w:hint="eastAsia" w:ascii="宋体" w:hAnsi="宋体" w:cs="宋体"/>
                      <w:i/>
                      <w:iCs/>
                      <w:kern w:val="0"/>
                      <w:szCs w:val="21"/>
                      <w:u w:val="single"/>
                    </w:rPr>
                    <w:t>废油箱</w:t>
                  </w:r>
                </w:p>
              </w:tc>
              <w:tc>
                <w:tcPr>
                  <w:tcW w:w="1060" w:type="dxa"/>
                  <w:vAlign w:val="top"/>
                </w:tcPr>
                <w:p>
                  <w:pPr>
                    <w:widowControl/>
                    <w:jc w:val="left"/>
                    <w:textAlignment w:val="top"/>
                    <w:rPr>
                      <w:rFonts w:ascii="宋体" w:hAnsi="宋体" w:cs="宋体"/>
                      <w:i/>
                      <w:iCs/>
                      <w:color w:val="000000"/>
                      <w:szCs w:val="21"/>
                      <w:u w:val="single"/>
                    </w:rPr>
                  </w:pPr>
                  <w:r>
                    <w:rPr>
                      <w:rFonts w:hint="eastAsia" w:ascii="宋体" w:hAnsi="宋体" w:cs="宋体"/>
                      <w:i/>
                      <w:iCs/>
                      <w:color w:val="000000"/>
                      <w:kern w:val="0"/>
                      <w:szCs w:val="21"/>
                      <w:u w:val="single"/>
                    </w:rPr>
                    <w:t>3.6</w:t>
                  </w:r>
                </w:p>
              </w:tc>
              <w:tc>
                <w:tcPr>
                  <w:tcW w:w="1939" w:type="dxa"/>
                  <w:vAlign w:val="top"/>
                </w:tcPr>
                <w:p>
                  <w:pPr>
                    <w:widowControl/>
                    <w:jc w:val="left"/>
                    <w:rPr>
                      <w:rFonts w:ascii="宋体" w:hAnsi="宋体" w:cs="宋体"/>
                      <w:i/>
                      <w:iCs/>
                      <w:kern w:val="0"/>
                      <w:szCs w:val="21"/>
                      <w:u w:val="single"/>
                    </w:rPr>
                  </w:pPr>
                  <w:r>
                    <w:rPr>
                      <w:rFonts w:ascii="宋体" w:hAnsi="宋体" w:cs="宋体"/>
                      <w:i/>
                      <w:iCs/>
                      <w:kern w:val="0"/>
                      <w:szCs w:val="21"/>
                      <w:u w:val="single"/>
                    </w:rPr>
                    <w:t>沾染残留油料</w:t>
                  </w:r>
                </w:p>
              </w:tc>
              <w:tc>
                <w:tcPr>
                  <w:tcW w:w="1939" w:type="dxa"/>
                  <w:vMerge w:val="continue"/>
                  <w:vAlign w:val="top"/>
                </w:tcPr>
                <w:p>
                  <w:pPr>
                    <w:widowControl/>
                    <w:jc w:val="left"/>
                    <w:rPr>
                      <w:rFonts w:ascii="宋体" w:hAnsi="宋体" w:cs="宋体"/>
                      <w:i/>
                      <w:iCs/>
                      <w:kern w:val="0"/>
                      <w:szCs w:val="21"/>
                      <w:u w:val="single"/>
                    </w:rPr>
                  </w:pPr>
                </w:p>
              </w:tc>
            </w:tr>
            <w:tr>
              <w:trPr>
                <w:trHeight w:val="313" w:hRule="atLeast"/>
              </w:trPr>
              <w:tc>
                <w:tcPr>
                  <w:tcW w:w="2863" w:type="dxa"/>
                  <w:gridSpan w:val="4"/>
                  <w:vAlign w:val="top"/>
                </w:tcPr>
                <w:p>
                  <w:pPr>
                    <w:widowControl/>
                    <w:jc w:val="left"/>
                    <w:rPr>
                      <w:rFonts w:ascii="宋体" w:hAnsi="宋体" w:cs="宋体"/>
                      <w:i/>
                      <w:iCs/>
                      <w:kern w:val="0"/>
                      <w:szCs w:val="21"/>
                      <w:u w:val="single"/>
                    </w:rPr>
                  </w:pPr>
                  <w:r>
                    <w:rPr>
                      <w:rFonts w:hint="eastAsia" w:ascii="宋体" w:hAnsi="宋体" w:cs="宋体"/>
                      <w:i/>
                      <w:iCs/>
                      <w:kern w:val="0"/>
                      <w:szCs w:val="21"/>
                      <w:u w:val="single"/>
                    </w:rPr>
                    <w:t>小计</w:t>
                  </w:r>
                </w:p>
              </w:tc>
              <w:tc>
                <w:tcPr>
                  <w:tcW w:w="1060" w:type="dxa"/>
                  <w:vAlign w:val="top"/>
                </w:tcPr>
                <w:p>
                  <w:pPr>
                    <w:widowControl/>
                    <w:jc w:val="left"/>
                    <w:textAlignment w:val="top"/>
                    <w:rPr>
                      <w:rFonts w:ascii="宋体" w:hAnsi="宋体" w:cs="宋体"/>
                      <w:i/>
                      <w:iCs/>
                      <w:color w:val="000000"/>
                      <w:kern w:val="0"/>
                      <w:szCs w:val="21"/>
                      <w:u w:val="single"/>
                    </w:rPr>
                  </w:pPr>
                  <w:r>
                    <w:rPr>
                      <w:rFonts w:hint="eastAsia" w:ascii="宋体" w:hAnsi="宋体" w:cs="宋体"/>
                      <w:i/>
                      <w:iCs/>
                      <w:color w:val="000000"/>
                      <w:kern w:val="0"/>
                      <w:szCs w:val="21"/>
                      <w:u w:val="single"/>
                    </w:rPr>
                    <w:t>10.1</w:t>
                  </w:r>
                </w:p>
              </w:tc>
              <w:tc>
                <w:tcPr>
                  <w:tcW w:w="1939" w:type="dxa"/>
                  <w:vAlign w:val="top"/>
                </w:tcPr>
                <w:p>
                  <w:pPr>
                    <w:widowControl/>
                    <w:jc w:val="left"/>
                    <w:rPr>
                      <w:rFonts w:ascii="宋体" w:hAnsi="宋体" w:cs="宋体"/>
                      <w:i/>
                      <w:iCs/>
                      <w:kern w:val="0"/>
                      <w:szCs w:val="21"/>
                      <w:u w:val="single"/>
                    </w:rPr>
                  </w:pPr>
                </w:p>
              </w:tc>
              <w:tc>
                <w:tcPr>
                  <w:tcW w:w="1939" w:type="dxa"/>
                  <w:vAlign w:val="top"/>
                </w:tcPr>
                <w:p>
                  <w:pPr>
                    <w:widowControl/>
                    <w:jc w:val="left"/>
                    <w:rPr>
                      <w:rFonts w:ascii="宋体" w:hAnsi="宋体" w:cs="宋体"/>
                      <w:i/>
                      <w:iCs/>
                      <w:kern w:val="0"/>
                      <w:szCs w:val="21"/>
                      <w:u w:val="single"/>
                    </w:rPr>
                  </w:pPr>
                  <w:r>
                    <w:rPr>
                      <w:rFonts w:hint="eastAsia" w:ascii="宋体" w:hAnsi="宋体" w:cs="宋体"/>
                      <w:i/>
                      <w:iCs/>
                      <w:kern w:val="0"/>
                      <w:szCs w:val="21"/>
                      <w:u w:val="single"/>
                    </w:rPr>
                    <w:t>/</w:t>
                  </w:r>
                </w:p>
              </w:tc>
            </w:tr>
            <w:tr>
              <w:trPr>
                <w:trHeight w:val="313" w:hRule="atLeast"/>
              </w:trPr>
              <w:tc>
                <w:tcPr>
                  <w:tcW w:w="794" w:type="dxa"/>
                  <w:vAlign w:val="top"/>
                </w:tcPr>
                <w:p>
                  <w:pPr>
                    <w:widowControl/>
                    <w:jc w:val="left"/>
                    <w:rPr>
                      <w:rFonts w:ascii="宋体" w:hAnsi="宋体" w:cs="宋体"/>
                      <w:i/>
                      <w:iCs/>
                      <w:kern w:val="0"/>
                      <w:szCs w:val="21"/>
                      <w:u w:val="single"/>
                    </w:rPr>
                  </w:pPr>
                  <w:r>
                    <w:rPr>
                      <w:rFonts w:hint="eastAsia" w:ascii="宋体" w:hAnsi="宋体" w:cs="宋体"/>
                      <w:i/>
                      <w:iCs/>
                      <w:kern w:val="0"/>
                      <w:szCs w:val="21"/>
                      <w:u w:val="single"/>
                    </w:rPr>
                    <w:t>20</w:t>
                  </w:r>
                </w:p>
              </w:tc>
              <w:tc>
                <w:tcPr>
                  <w:tcW w:w="2069" w:type="dxa"/>
                  <w:gridSpan w:val="3"/>
                  <w:vAlign w:val="top"/>
                </w:tcPr>
                <w:p>
                  <w:pPr>
                    <w:widowControl/>
                    <w:jc w:val="left"/>
                    <w:rPr>
                      <w:rFonts w:ascii="宋体" w:hAnsi="宋体" w:cs="宋体"/>
                      <w:i/>
                      <w:iCs/>
                      <w:kern w:val="0"/>
                      <w:szCs w:val="21"/>
                      <w:u w:val="single"/>
                    </w:rPr>
                  </w:pPr>
                  <w:r>
                    <w:rPr>
                      <w:rFonts w:hint="eastAsia" w:ascii="宋体" w:hAnsi="宋体" w:cs="宋体"/>
                      <w:i/>
                      <w:iCs/>
                      <w:kern w:val="0"/>
                      <w:szCs w:val="21"/>
                      <w:u w:val="single"/>
                    </w:rPr>
                    <w:t>拆解损耗</w:t>
                  </w:r>
                </w:p>
              </w:tc>
              <w:tc>
                <w:tcPr>
                  <w:tcW w:w="1060" w:type="dxa"/>
                  <w:vAlign w:val="top"/>
                </w:tcPr>
                <w:p>
                  <w:pPr>
                    <w:widowControl/>
                    <w:jc w:val="left"/>
                    <w:textAlignment w:val="top"/>
                    <w:rPr>
                      <w:rFonts w:ascii="宋体" w:hAnsi="宋体" w:cs="宋体"/>
                      <w:i/>
                      <w:iCs/>
                      <w:kern w:val="0"/>
                      <w:szCs w:val="21"/>
                      <w:u w:val="single"/>
                    </w:rPr>
                  </w:pPr>
                  <w:r>
                    <w:rPr>
                      <w:rFonts w:hint="eastAsia" w:ascii="宋体" w:hAnsi="宋体" w:cs="宋体"/>
                      <w:i/>
                      <w:iCs/>
                      <w:kern w:val="0"/>
                      <w:szCs w:val="21"/>
                      <w:u w:val="single"/>
                    </w:rPr>
                    <w:t>79.9</w:t>
                  </w:r>
                </w:p>
              </w:tc>
              <w:tc>
                <w:tcPr>
                  <w:tcW w:w="1939" w:type="dxa"/>
                  <w:vAlign w:val="top"/>
                </w:tcPr>
                <w:p>
                  <w:pPr>
                    <w:widowControl/>
                    <w:jc w:val="left"/>
                    <w:rPr>
                      <w:rFonts w:ascii="宋体" w:hAnsi="宋体" w:cs="宋体"/>
                      <w:i/>
                      <w:iCs/>
                      <w:kern w:val="0"/>
                      <w:szCs w:val="21"/>
                      <w:u w:val="single"/>
                    </w:rPr>
                  </w:pPr>
                </w:p>
              </w:tc>
              <w:tc>
                <w:tcPr>
                  <w:tcW w:w="1939" w:type="dxa"/>
                  <w:vAlign w:val="top"/>
                </w:tcPr>
                <w:p>
                  <w:pPr>
                    <w:widowControl/>
                    <w:jc w:val="left"/>
                    <w:rPr>
                      <w:rFonts w:ascii="宋体" w:hAnsi="宋体" w:cs="宋体"/>
                      <w:i/>
                      <w:iCs/>
                      <w:kern w:val="0"/>
                      <w:szCs w:val="21"/>
                      <w:u w:val="single"/>
                    </w:rPr>
                  </w:pPr>
                  <w:r>
                    <w:rPr>
                      <w:rFonts w:hint="eastAsia" w:ascii="宋体" w:hAnsi="宋体" w:cs="宋体"/>
                      <w:i/>
                      <w:iCs/>
                      <w:kern w:val="0"/>
                      <w:szCs w:val="21"/>
                      <w:u w:val="single"/>
                    </w:rPr>
                    <w:t>主要为锈蚀残渣，一般固废，售予下游回收处理单位</w:t>
                  </w:r>
                </w:p>
              </w:tc>
            </w:tr>
            <w:tr>
              <w:trPr>
                <w:trHeight w:val="342" w:hRule="atLeast"/>
              </w:trPr>
              <w:tc>
                <w:tcPr>
                  <w:tcW w:w="794" w:type="dxa"/>
                  <w:vAlign w:val="top"/>
                </w:tcPr>
                <w:p>
                  <w:pPr>
                    <w:widowControl/>
                    <w:jc w:val="left"/>
                    <w:rPr>
                      <w:rFonts w:ascii="宋体" w:hAnsi="宋体" w:cs="宋体"/>
                      <w:i/>
                      <w:iCs/>
                      <w:kern w:val="0"/>
                      <w:szCs w:val="21"/>
                      <w:u w:val="single"/>
                    </w:rPr>
                  </w:pPr>
                  <w:r>
                    <w:rPr>
                      <w:rFonts w:hint="eastAsia" w:ascii="宋体" w:hAnsi="宋体" w:cs="宋体"/>
                      <w:i/>
                      <w:iCs/>
                      <w:kern w:val="0"/>
                      <w:szCs w:val="21"/>
                      <w:u w:val="single"/>
                    </w:rPr>
                    <w:t>总计</w:t>
                  </w:r>
                </w:p>
              </w:tc>
              <w:tc>
                <w:tcPr>
                  <w:tcW w:w="2069" w:type="dxa"/>
                  <w:gridSpan w:val="3"/>
                  <w:vAlign w:val="top"/>
                </w:tcPr>
                <w:p>
                  <w:pPr>
                    <w:widowControl/>
                    <w:jc w:val="left"/>
                    <w:rPr>
                      <w:rFonts w:ascii="宋体" w:hAnsi="宋体" w:cs="宋体"/>
                      <w:i/>
                      <w:iCs/>
                      <w:kern w:val="0"/>
                      <w:szCs w:val="21"/>
                      <w:u w:val="single"/>
                    </w:rPr>
                  </w:pPr>
                </w:p>
              </w:tc>
              <w:tc>
                <w:tcPr>
                  <w:tcW w:w="1060" w:type="dxa"/>
                  <w:vAlign w:val="top"/>
                </w:tcPr>
                <w:p>
                  <w:pPr>
                    <w:widowControl/>
                    <w:jc w:val="left"/>
                    <w:rPr>
                      <w:rFonts w:ascii="宋体" w:hAnsi="宋体" w:cs="宋体"/>
                      <w:i/>
                      <w:iCs/>
                      <w:kern w:val="0"/>
                      <w:szCs w:val="21"/>
                      <w:u w:val="single"/>
                    </w:rPr>
                  </w:pPr>
                  <w:r>
                    <w:rPr>
                      <w:rFonts w:hint="eastAsia" w:ascii="宋体" w:hAnsi="宋体" w:cs="宋体"/>
                      <w:i/>
                      <w:iCs/>
                      <w:kern w:val="0"/>
                      <w:szCs w:val="21"/>
                      <w:u w:val="single"/>
                    </w:rPr>
                    <w:t>2927.5</w:t>
                  </w:r>
                </w:p>
              </w:tc>
              <w:tc>
                <w:tcPr>
                  <w:tcW w:w="1939" w:type="dxa"/>
                  <w:vAlign w:val="top"/>
                </w:tcPr>
                <w:p>
                  <w:pPr>
                    <w:widowControl/>
                    <w:jc w:val="left"/>
                    <w:rPr>
                      <w:rFonts w:ascii="宋体" w:hAnsi="宋体" w:cs="宋体"/>
                      <w:i/>
                      <w:iCs/>
                      <w:kern w:val="0"/>
                      <w:szCs w:val="21"/>
                      <w:u w:val="single"/>
                    </w:rPr>
                  </w:pPr>
                </w:p>
              </w:tc>
              <w:tc>
                <w:tcPr>
                  <w:tcW w:w="1939" w:type="dxa"/>
                  <w:vAlign w:val="top"/>
                </w:tcPr>
                <w:p>
                  <w:pPr>
                    <w:widowControl/>
                    <w:jc w:val="left"/>
                    <w:rPr>
                      <w:rFonts w:ascii="宋体" w:hAnsi="宋体" w:cs="宋体"/>
                      <w:i/>
                      <w:iCs/>
                      <w:kern w:val="0"/>
                      <w:szCs w:val="21"/>
                      <w:u w:val="single"/>
                    </w:rPr>
                  </w:pPr>
                  <w:r>
                    <w:rPr>
                      <w:rFonts w:hint="eastAsia" w:ascii="宋体" w:hAnsi="宋体" w:cs="宋体"/>
                      <w:i/>
                      <w:iCs/>
                      <w:kern w:val="0"/>
                      <w:szCs w:val="21"/>
                      <w:u w:val="single"/>
                    </w:rPr>
                    <w:t>/</w:t>
                  </w:r>
                </w:p>
              </w:tc>
            </w:tr>
          </w:tbl>
          <w:p>
            <w:pPr>
              <w:spacing w:line="360" w:lineRule="auto"/>
              <w:ind w:firstLine="480" w:firstLineChars="200"/>
              <w:rPr>
                <w:b/>
                <w:szCs w:val="21"/>
              </w:rPr>
            </w:pPr>
            <w:r>
              <w:rPr>
                <w:rFonts w:hint="eastAsia" w:hAnsi="宋体"/>
                <w:sz w:val="24"/>
              </w:rPr>
              <w:t>本项目拆解产物不进行破碎加工，塑料、橡胶和轮胎拆解后不进行破碎，只进行剪断毁形，防止流入市场重新利用。</w:t>
            </w:r>
            <w:r>
              <w:rPr>
                <w:rFonts w:hint="eastAsia" w:ascii="宋体" w:hAnsi="宋体" w:cs="宋体"/>
                <w:kern w:val="0"/>
                <w:sz w:val="24"/>
              </w:rPr>
              <w:t>所有农机不含电动自走式农业机械</w:t>
            </w:r>
            <w:r>
              <w:rPr>
                <w:rFonts w:hint="eastAsia" w:hAnsi="宋体"/>
                <w:sz w:val="24"/>
              </w:rPr>
              <w:t>不涉及制冷剂和废动力蓄电池。</w:t>
            </w:r>
          </w:p>
          <w:p>
            <w:pPr>
              <w:spacing w:line="360" w:lineRule="auto"/>
              <w:ind w:firstLine="482" w:firstLineChars="200"/>
              <w:rPr>
                <w:b/>
                <w:sz w:val="24"/>
              </w:rPr>
            </w:pPr>
            <w:r>
              <w:rPr>
                <w:rFonts w:hint="eastAsia"/>
                <w:b/>
                <w:sz w:val="24"/>
              </w:rPr>
              <w:t>6、主要生产设备</w:t>
            </w:r>
          </w:p>
          <w:p>
            <w:pPr>
              <w:spacing w:line="360" w:lineRule="auto"/>
              <w:ind w:firstLine="480" w:firstLineChars="200"/>
              <w:rPr>
                <w:rFonts w:hAnsi="宋体"/>
                <w:sz w:val="24"/>
              </w:rPr>
            </w:pPr>
            <w:r>
              <w:rPr>
                <w:rFonts w:hint="eastAsia" w:hAnsi="宋体"/>
                <w:sz w:val="24"/>
              </w:rPr>
              <w:t>本项目主要生产设备见表2-4。</w:t>
            </w:r>
          </w:p>
          <w:p>
            <w:pPr>
              <w:jc w:val="center"/>
              <w:rPr>
                <w:rFonts w:ascii="宋体" w:hAnsi="宋体" w:cs="宋体"/>
                <w:b/>
                <w:i/>
                <w:iCs/>
                <w:sz w:val="24"/>
                <w:u w:val="single"/>
              </w:rPr>
            </w:pPr>
            <w:r>
              <w:rPr>
                <w:rFonts w:hint="eastAsia" w:ascii="宋体" w:hAnsi="宋体" w:cs="宋体"/>
                <w:b/>
                <w:i/>
                <w:iCs/>
                <w:sz w:val="24"/>
                <w:u w:val="single"/>
              </w:rPr>
              <w:t>表2-4  主要生产设备一览表</w:t>
            </w:r>
          </w:p>
          <w:tbl>
            <w:tblPr>
              <w:tblW w:w="8038"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left w:w="108" w:type="dxa"/>
                <w:right w:w="108" w:type="dxa"/>
              </w:tblCellMar>
            </w:tblPr>
            <w:tblGrid>
              <w:gridCol w:w="634"/>
              <w:gridCol w:w="2596"/>
              <w:gridCol w:w="1201"/>
              <w:gridCol w:w="833"/>
              <w:gridCol w:w="1346"/>
              <w:gridCol w:w="1428"/>
            </w:tblGrid>
            <w:tr>
              <w:trPr>
                <w:trHeight w:val="411" w:hRule="atLeast"/>
                <w:jc w:val="center"/>
              </w:trPr>
              <w:tc>
                <w:tcPr>
                  <w:tcW w:w="634" w:type="dxa"/>
                  <w:vAlign w:val="center"/>
                </w:tcPr>
                <w:p>
                  <w:pPr>
                    <w:pStyle w:val="41"/>
                    <w:adjustRightInd/>
                    <w:snapToGrid/>
                    <w:spacing w:line="240" w:lineRule="auto"/>
                    <w:ind w:left="0" w:right="0"/>
                    <w:rPr>
                      <w:rFonts w:ascii="Times New Roman" w:hAnsi="Times New Roman"/>
                      <w:b/>
                      <w:bCs/>
                      <w:i/>
                      <w:iCs/>
                      <w:sz w:val="21"/>
                      <w:u w:val="single"/>
                    </w:rPr>
                  </w:pPr>
                  <w:r>
                    <w:rPr>
                      <w:rFonts w:hint="eastAsia" w:ascii="Times New Roman" w:hAnsi="Times New Roman"/>
                      <w:b/>
                      <w:bCs/>
                      <w:i/>
                      <w:iCs/>
                      <w:sz w:val="21"/>
                      <w:u w:val="single"/>
                    </w:rPr>
                    <w:t>序号</w:t>
                  </w:r>
                </w:p>
              </w:tc>
              <w:tc>
                <w:tcPr>
                  <w:tcW w:w="2596" w:type="dxa"/>
                  <w:vAlign w:val="center"/>
                </w:tcPr>
                <w:p>
                  <w:pPr>
                    <w:pStyle w:val="41"/>
                    <w:adjustRightInd/>
                    <w:snapToGrid/>
                    <w:spacing w:line="240" w:lineRule="auto"/>
                    <w:ind w:left="0" w:right="0"/>
                    <w:rPr>
                      <w:rFonts w:ascii="Times New Roman" w:hAnsi="Times New Roman"/>
                      <w:b/>
                      <w:bCs/>
                      <w:i/>
                      <w:iCs/>
                      <w:sz w:val="21"/>
                      <w:u w:val="single"/>
                    </w:rPr>
                  </w:pPr>
                  <w:r>
                    <w:rPr>
                      <w:rFonts w:hint="eastAsia" w:ascii="Times New Roman" w:hAnsi="Times New Roman"/>
                      <w:b/>
                      <w:bCs/>
                      <w:i/>
                      <w:iCs/>
                      <w:sz w:val="21"/>
                      <w:u w:val="single"/>
                    </w:rPr>
                    <w:t>设备名称</w:t>
                  </w:r>
                </w:p>
              </w:tc>
              <w:tc>
                <w:tcPr>
                  <w:tcW w:w="1201" w:type="dxa"/>
                  <w:vAlign w:val="center"/>
                </w:tcPr>
                <w:p>
                  <w:pPr>
                    <w:pStyle w:val="41"/>
                    <w:adjustRightInd/>
                    <w:snapToGrid/>
                    <w:spacing w:line="240" w:lineRule="auto"/>
                    <w:ind w:left="0" w:right="0"/>
                    <w:rPr>
                      <w:rFonts w:ascii="Times New Roman" w:hAnsi="Times New Roman"/>
                      <w:b/>
                      <w:bCs/>
                      <w:i/>
                      <w:iCs/>
                      <w:sz w:val="21"/>
                      <w:u w:val="single"/>
                    </w:rPr>
                  </w:pPr>
                  <w:r>
                    <w:rPr>
                      <w:rFonts w:hint="eastAsia" w:ascii="Times New Roman" w:hAnsi="Times New Roman"/>
                      <w:b/>
                      <w:bCs/>
                      <w:i/>
                      <w:iCs/>
                      <w:sz w:val="21"/>
                      <w:u w:val="single"/>
                    </w:rPr>
                    <w:t>单位</w:t>
                  </w:r>
                </w:p>
              </w:tc>
              <w:tc>
                <w:tcPr>
                  <w:tcW w:w="833" w:type="dxa"/>
                  <w:vAlign w:val="center"/>
                </w:tcPr>
                <w:p>
                  <w:pPr>
                    <w:pStyle w:val="41"/>
                    <w:adjustRightInd/>
                    <w:snapToGrid/>
                    <w:spacing w:line="240" w:lineRule="auto"/>
                    <w:ind w:left="0" w:right="0"/>
                    <w:rPr>
                      <w:rFonts w:ascii="Times New Roman" w:hAnsi="Times New Roman"/>
                      <w:b/>
                      <w:bCs/>
                      <w:i/>
                      <w:iCs/>
                      <w:sz w:val="21"/>
                      <w:u w:val="single"/>
                    </w:rPr>
                  </w:pPr>
                  <w:r>
                    <w:rPr>
                      <w:rFonts w:hint="eastAsia" w:ascii="Times New Roman" w:hAnsi="Times New Roman"/>
                      <w:b/>
                      <w:bCs/>
                      <w:i/>
                      <w:iCs/>
                      <w:sz w:val="21"/>
                      <w:u w:val="single"/>
                    </w:rPr>
                    <w:t>数量</w:t>
                  </w:r>
                </w:p>
              </w:tc>
              <w:tc>
                <w:tcPr>
                  <w:tcW w:w="1346" w:type="dxa"/>
                  <w:vAlign w:val="center"/>
                </w:tcPr>
                <w:p>
                  <w:pPr>
                    <w:pStyle w:val="41"/>
                    <w:adjustRightInd/>
                    <w:snapToGrid/>
                    <w:spacing w:line="240" w:lineRule="auto"/>
                    <w:ind w:left="0" w:right="0"/>
                    <w:rPr>
                      <w:rFonts w:ascii="Times New Roman" w:hAnsi="Times New Roman"/>
                      <w:b/>
                      <w:bCs/>
                      <w:i/>
                      <w:iCs/>
                      <w:sz w:val="21"/>
                      <w:u w:val="single"/>
                    </w:rPr>
                  </w:pPr>
                  <w:r>
                    <w:rPr>
                      <w:rFonts w:hint="eastAsia" w:ascii="Times New Roman" w:hAnsi="Times New Roman"/>
                      <w:b/>
                      <w:bCs/>
                      <w:i/>
                      <w:iCs/>
                      <w:sz w:val="21"/>
                      <w:u w:val="single"/>
                    </w:rPr>
                    <w:t>型号、参数</w:t>
                  </w:r>
                </w:p>
              </w:tc>
              <w:tc>
                <w:tcPr>
                  <w:tcW w:w="1428" w:type="dxa"/>
                  <w:vAlign w:val="center"/>
                </w:tcPr>
                <w:p>
                  <w:pPr>
                    <w:pStyle w:val="41"/>
                    <w:adjustRightInd/>
                    <w:snapToGrid/>
                    <w:spacing w:line="240" w:lineRule="auto"/>
                    <w:ind w:left="0" w:right="0"/>
                    <w:rPr>
                      <w:rFonts w:ascii="Times New Roman" w:hAnsi="Times New Roman"/>
                      <w:b/>
                      <w:bCs/>
                      <w:i/>
                      <w:iCs/>
                      <w:color w:val="0000FF"/>
                      <w:sz w:val="21"/>
                      <w:u w:val="single"/>
                    </w:rPr>
                  </w:pPr>
                  <w:r>
                    <w:rPr>
                      <w:rFonts w:hint="eastAsia" w:ascii="Times New Roman" w:hAnsi="Times New Roman"/>
                      <w:b/>
                      <w:bCs/>
                      <w:i/>
                      <w:iCs/>
                      <w:sz w:val="21"/>
                      <w:u w:val="single"/>
                    </w:rPr>
                    <w:t>备注</w:t>
                  </w:r>
                </w:p>
              </w:tc>
            </w:tr>
            <w:tr>
              <w:trPr>
                <w:trHeight w:val="308" w:hRule="atLeast"/>
                <w:jc w:val="center"/>
              </w:trPr>
              <w:tc>
                <w:tcPr>
                  <w:tcW w:w="634" w:type="dxa"/>
                  <w:vAlign w:val="center"/>
                </w:tcPr>
                <w:p>
                  <w:pPr>
                    <w:pStyle w:val="41"/>
                    <w:adjustRightInd/>
                    <w:snapToGrid/>
                    <w:spacing w:line="240" w:lineRule="auto"/>
                    <w:ind w:left="0" w:right="0"/>
                    <w:rPr>
                      <w:rFonts w:ascii="Times New Roman" w:hAnsi="Times New Roman"/>
                      <w:i/>
                      <w:iCs/>
                      <w:sz w:val="21"/>
                      <w:u w:val="single"/>
                    </w:rPr>
                  </w:pPr>
                  <w:r>
                    <w:rPr>
                      <w:rFonts w:hint="eastAsia" w:ascii="Times New Roman" w:hAnsi="Times New Roman"/>
                      <w:i/>
                      <w:iCs/>
                      <w:sz w:val="21"/>
                      <w:u w:val="single"/>
                    </w:rPr>
                    <w:t>1</w:t>
                  </w:r>
                </w:p>
              </w:tc>
              <w:tc>
                <w:tcPr>
                  <w:tcW w:w="2596" w:type="dxa"/>
                  <w:vAlign w:val="center"/>
                </w:tcPr>
                <w:p>
                  <w:pPr>
                    <w:jc w:val="center"/>
                    <w:rPr>
                      <w:i/>
                      <w:iCs/>
                      <w:szCs w:val="21"/>
                      <w:u w:val="single"/>
                    </w:rPr>
                  </w:pPr>
                  <w:r>
                    <w:rPr>
                      <w:rFonts w:hint="eastAsia"/>
                      <w:i/>
                      <w:iCs/>
                      <w:szCs w:val="21"/>
                      <w:u w:val="single"/>
                    </w:rPr>
                    <w:t>液压剪挖机</w:t>
                  </w:r>
                </w:p>
              </w:tc>
              <w:tc>
                <w:tcPr>
                  <w:tcW w:w="1201" w:type="dxa"/>
                  <w:vAlign w:val="center"/>
                </w:tcPr>
                <w:p>
                  <w:pPr>
                    <w:pStyle w:val="41"/>
                    <w:adjustRightInd/>
                    <w:snapToGrid/>
                    <w:spacing w:line="240" w:lineRule="auto"/>
                    <w:ind w:left="0" w:right="0"/>
                    <w:rPr>
                      <w:rFonts w:ascii="Times New Roman" w:hAnsi="Times New Roman"/>
                      <w:i/>
                      <w:iCs/>
                      <w:sz w:val="21"/>
                      <w:u w:val="single"/>
                    </w:rPr>
                  </w:pPr>
                  <w:r>
                    <w:rPr>
                      <w:rFonts w:hint="eastAsia" w:ascii="Times New Roman" w:hAnsi="Times New Roman"/>
                      <w:i/>
                      <w:iCs/>
                      <w:sz w:val="21"/>
                      <w:u w:val="single"/>
                    </w:rPr>
                    <w:t>台</w:t>
                  </w:r>
                </w:p>
              </w:tc>
              <w:tc>
                <w:tcPr>
                  <w:tcW w:w="833" w:type="dxa"/>
                  <w:vAlign w:val="top"/>
                </w:tcPr>
                <w:p>
                  <w:pPr>
                    <w:pStyle w:val="41"/>
                    <w:adjustRightInd/>
                    <w:snapToGrid/>
                    <w:spacing w:line="240" w:lineRule="auto"/>
                    <w:ind w:left="0" w:right="0"/>
                    <w:rPr>
                      <w:rFonts w:ascii="Times New Roman" w:hAnsi="Times New Roman"/>
                      <w:i/>
                      <w:iCs/>
                      <w:sz w:val="21"/>
                      <w:u w:val="single"/>
                    </w:rPr>
                  </w:pPr>
                  <w:r>
                    <w:rPr>
                      <w:rFonts w:hint="eastAsia" w:ascii="Times New Roman" w:hAnsi="Times New Roman"/>
                      <w:i/>
                      <w:iCs/>
                      <w:sz w:val="21"/>
                      <w:u w:val="single"/>
                    </w:rPr>
                    <w:t>1</w:t>
                  </w:r>
                </w:p>
              </w:tc>
              <w:tc>
                <w:tcPr>
                  <w:tcW w:w="1346" w:type="dxa"/>
                  <w:vAlign w:val="top"/>
                </w:tcPr>
                <w:p>
                  <w:pPr>
                    <w:pStyle w:val="41"/>
                    <w:adjustRightInd/>
                    <w:snapToGrid/>
                    <w:spacing w:line="240" w:lineRule="auto"/>
                    <w:ind w:left="0" w:right="0"/>
                    <w:rPr>
                      <w:rFonts w:ascii="Times New Roman" w:hAnsi="Times New Roman"/>
                      <w:i/>
                      <w:iCs/>
                      <w:sz w:val="21"/>
                      <w:u w:val="single"/>
                    </w:rPr>
                  </w:pPr>
                  <w:r>
                    <w:rPr>
                      <w:rFonts w:hint="eastAsia" w:ascii="Times New Roman" w:hAnsi="Times New Roman"/>
                      <w:i/>
                      <w:iCs/>
                      <w:sz w:val="21"/>
                      <w:u w:val="single"/>
                    </w:rPr>
                    <w:t>SANY2115</w:t>
                  </w:r>
                </w:p>
              </w:tc>
              <w:tc>
                <w:tcPr>
                  <w:tcW w:w="1428" w:type="dxa"/>
                  <w:vAlign w:val="top"/>
                </w:tcPr>
                <w:p>
                  <w:pPr>
                    <w:pStyle w:val="41"/>
                    <w:adjustRightInd/>
                    <w:snapToGrid/>
                    <w:spacing w:line="240" w:lineRule="auto"/>
                    <w:ind w:left="0" w:right="0"/>
                    <w:rPr>
                      <w:rFonts w:ascii="Times New Roman" w:hAnsi="Times New Roman"/>
                      <w:i/>
                      <w:iCs/>
                      <w:sz w:val="21"/>
                      <w:u w:val="single"/>
                    </w:rPr>
                  </w:pPr>
                  <w:r>
                    <w:rPr>
                      <w:rFonts w:hint="eastAsia" w:ascii="Times New Roman" w:hAnsi="Times New Roman"/>
                      <w:i/>
                      <w:iCs/>
                      <w:sz w:val="21"/>
                      <w:u w:val="single"/>
                    </w:rPr>
                    <w:t>剪断</w:t>
                  </w:r>
                </w:p>
              </w:tc>
            </w:tr>
            <w:tr>
              <w:trPr>
                <w:trHeight w:val="308" w:hRule="atLeast"/>
                <w:jc w:val="center"/>
              </w:trPr>
              <w:tc>
                <w:tcPr>
                  <w:tcW w:w="634" w:type="dxa"/>
                  <w:vAlign w:val="center"/>
                </w:tcPr>
                <w:p>
                  <w:pPr>
                    <w:pStyle w:val="41"/>
                    <w:adjustRightInd/>
                    <w:snapToGrid/>
                    <w:spacing w:line="240" w:lineRule="auto"/>
                    <w:ind w:left="0" w:right="0"/>
                    <w:rPr>
                      <w:rFonts w:ascii="Times New Roman" w:hAnsi="Times New Roman"/>
                      <w:i/>
                      <w:iCs/>
                      <w:sz w:val="21"/>
                      <w:u w:val="single"/>
                    </w:rPr>
                  </w:pPr>
                  <w:r>
                    <w:rPr>
                      <w:rFonts w:hint="eastAsia" w:ascii="Times New Roman" w:hAnsi="Times New Roman"/>
                      <w:i/>
                      <w:iCs/>
                      <w:sz w:val="21"/>
                      <w:u w:val="single"/>
                    </w:rPr>
                    <w:t>2</w:t>
                  </w:r>
                </w:p>
              </w:tc>
              <w:tc>
                <w:tcPr>
                  <w:tcW w:w="2596" w:type="dxa"/>
                  <w:vAlign w:val="top"/>
                </w:tcPr>
                <w:p>
                  <w:pPr>
                    <w:pStyle w:val="41"/>
                    <w:adjustRightInd/>
                    <w:snapToGrid/>
                    <w:spacing w:line="240" w:lineRule="auto"/>
                    <w:ind w:left="0" w:right="0"/>
                    <w:rPr>
                      <w:rFonts w:ascii="Times New Roman" w:hAnsi="Times New Roman"/>
                      <w:i/>
                      <w:iCs/>
                      <w:sz w:val="21"/>
                      <w:u w:val="single"/>
                    </w:rPr>
                  </w:pPr>
                  <w:r>
                    <w:rPr>
                      <w:rFonts w:hint="eastAsia" w:ascii="Times New Roman" w:hAnsi="Times New Roman"/>
                      <w:i/>
                      <w:iCs/>
                      <w:sz w:val="21"/>
                      <w:u w:val="single"/>
                    </w:rPr>
                    <w:t>重型鹰嘴剪</w:t>
                  </w:r>
                </w:p>
              </w:tc>
              <w:tc>
                <w:tcPr>
                  <w:tcW w:w="1201" w:type="dxa"/>
                  <w:vAlign w:val="center"/>
                </w:tcPr>
                <w:p>
                  <w:pPr>
                    <w:pStyle w:val="41"/>
                    <w:adjustRightInd/>
                    <w:snapToGrid/>
                    <w:spacing w:line="240" w:lineRule="auto"/>
                    <w:ind w:left="0" w:right="0"/>
                    <w:rPr>
                      <w:rFonts w:ascii="Times New Roman" w:hAnsi="Times New Roman"/>
                      <w:i/>
                      <w:iCs/>
                      <w:sz w:val="21"/>
                      <w:u w:val="single"/>
                    </w:rPr>
                  </w:pPr>
                  <w:r>
                    <w:rPr>
                      <w:rFonts w:hint="eastAsia" w:ascii="Times New Roman" w:hAnsi="Times New Roman"/>
                      <w:i/>
                      <w:iCs/>
                      <w:sz w:val="21"/>
                      <w:u w:val="single"/>
                    </w:rPr>
                    <w:t>台</w:t>
                  </w:r>
                </w:p>
              </w:tc>
              <w:tc>
                <w:tcPr>
                  <w:tcW w:w="833" w:type="dxa"/>
                  <w:vAlign w:val="top"/>
                </w:tcPr>
                <w:p>
                  <w:pPr>
                    <w:jc w:val="center"/>
                    <w:rPr>
                      <w:i/>
                      <w:iCs/>
                      <w:szCs w:val="21"/>
                      <w:u w:val="single"/>
                    </w:rPr>
                  </w:pPr>
                  <w:r>
                    <w:rPr>
                      <w:rFonts w:hint="eastAsia"/>
                      <w:i/>
                      <w:iCs/>
                      <w:szCs w:val="21"/>
                      <w:u w:val="single"/>
                    </w:rPr>
                    <w:t>1</w:t>
                  </w:r>
                </w:p>
              </w:tc>
              <w:tc>
                <w:tcPr>
                  <w:tcW w:w="1346" w:type="dxa"/>
                  <w:vAlign w:val="top"/>
                </w:tcPr>
                <w:p>
                  <w:pPr>
                    <w:jc w:val="center"/>
                    <w:rPr>
                      <w:i/>
                      <w:iCs/>
                      <w:szCs w:val="21"/>
                      <w:u w:val="single"/>
                    </w:rPr>
                  </w:pPr>
                  <w:r>
                    <w:rPr>
                      <w:rFonts w:hint="eastAsia"/>
                      <w:i/>
                      <w:iCs/>
                      <w:szCs w:val="21"/>
                      <w:u w:val="single"/>
                    </w:rPr>
                    <w:t>YZJ5T</w:t>
                  </w:r>
                </w:p>
              </w:tc>
              <w:tc>
                <w:tcPr>
                  <w:tcW w:w="1428" w:type="dxa"/>
                  <w:vAlign w:val="top"/>
                </w:tcPr>
                <w:p>
                  <w:pPr>
                    <w:jc w:val="center"/>
                    <w:rPr>
                      <w:i/>
                      <w:iCs/>
                      <w:szCs w:val="21"/>
                      <w:u w:val="single"/>
                    </w:rPr>
                  </w:pPr>
                  <w:r>
                    <w:rPr>
                      <w:rFonts w:hint="eastAsia"/>
                      <w:i/>
                      <w:iCs/>
                      <w:szCs w:val="21"/>
                      <w:u w:val="single"/>
                    </w:rPr>
                    <w:t>剪断</w:t>
                  </w:r>
                </w:p>
              </w:tc>
            </w:tr>
            <w:tr>
              <w:trPr>
                <w:trHeight w:val="308" w:hRule="atLeast"/>
                <w:jc w:val="center"/>
              </w:trPr>
              <w:tc>
                <w:tcPr>
                  <w:tcW w:w="634" w:type="dxa"/>
                  <w:vAlign w:val="center"/>
                </w:tcPr>
                <w:p>
                  <w:pPr>
                    <w:pStyle w:val="41"/>
                    <w:adjustRightInd/>
                    <w:snapToGrid/>
                    <w:spacing w:line="240" w:lineRule="auto"/>
                    <w:ind w:left="0" w:right="0"/>
                    <w:rPr>
                      <w:rFonts w:ascii="Times New Roman" w:hAnsi="Times New Roman"/>
                      <w:i/>
                      <w:iCs/>
                      <w:sz w:val="21"/>
                      <w:u w:val="single"/>
                    </w:rPr>
                  </w:pPr>
                  <w:r>
                    <w:rPr>
                      <w:rFonts w:hint="eastAsia" w:ascii="Times New Roman" w:hAnsi="Times New Roman"/>
                      <w:i/>
                      <w:iCs/>
                      <w:sz w:val="21"/>
                      <w:u w:val="single"/>
                    </w:rPr>
                    <w:t>3</w:t>
                  </w:r>
                </w:p>
              </w:tc>
              <w:tc>
                <w:tcPr>
                  <w:tcW w:w="2596" w:type="dxa"/>
                  <w:vAlign w:val="top"/>
                </w:tcPr>
                <w:p>
                  <w:pPr>
                    <w:pStyle w:val="41"/>
                    <w:adjustRightInd/>
                    <w:snapToGrid/>
                    <w:spacing w:line="240" w:lineRule="auto"/>
                    <w:ind w:left="0" w:right="0"/>
                    <w:rPr>
                      <w:rFonts w:ascii="Times New Roman" w:hAnsi="Times New Roman"/>
                      <w:i/>
                      <w:iCs/>
                      <w:sz w:val="21"/>
                      <w:u w:val="single"/>
                    </w:rPr>
                  </w:pPr>
                  <w:r>
                    <w:rPr>
                      <w:rFonts w:hint="eastAsia" w:ascii="Times New Roman" w:hAnsi="Times New Roman"/>
                      <w:i/>
                      <w:iCs/>
                      <w:sz w:val="21"/>
                      <w:u w:val="single"/>
                    </w:rPr>
                    <w:t>抽油机</w:t>
                  </w:r>
                </w:p>
              </w:tc>
              <w:tc>
                <w:tcPr>
                  <w:tcW w:w="1201" w:type="dxa"/>
                  <w:vAlign w:val="center"/>
                </w:tcPr>
                <w:p>
                  <w:pPr>
                    <w:pStyle w:val="41"/>
                    <w:adjustRightInd/>
                    <w:snapToGrid/>
                    <w:spacing w:line="240" w:lineRule="auto"/>
                    <w:ind w:left="0" w:right="0"/>
                    <w:rPr>
                      <w:rFonts w:ascii="Times New Roman" w:hAnsi="Times New Roman"/>
                      <w:i/>
                      <w:iCs/>
                      <w:sz w:val="21"/>
                      <w:u w:val="single"/>
                    </w:rPr>
                  </w:pPr>
                  <w:r>
                    <w:rPr>
                      <w:rFonts w:hint="eastAsia" w:ascii="Times New Roman" w:hAnsi="Times New Roman"/>
                      <w:i/>
                      <w:iCs/>
                      <w:sz w:val="21"/>
                      <w:u w:val="single"/>
                    </w:rPr>
                    <w:t>台</w:t>
                  </w:r>
                </w:p>
              </w:tc>
              <w:tc>
                <w:tcPr>
                  <w:tcW w:w="833" w:type="dxa"/>
                  <w:vAlign w:val="top"/>
                </w:tcPr>
                <w:p>
                  <w:pPr>
                    <w:jc w:val="center"/>
                    <w:rPr>
                      <w:i/>
                      <w:iCs/>
                      <w:szCs w:val="21"/>
                      <w:u w:val="single"/>
                    </w:rPr>
                  </w:pPr>
                  <w:r>
                    <w:rPr>
                      <w:rFonts w:hint="eastAsia"/>
                      <w:i/>
                      <w:iCs/>
                      <w:szCs w:val="21"/>
                      <w:u w:val="single"/>
                    </w:rPr>
                    <w:t>3</w:t>
                  </w:r>
                </w:p>
              </w:tc>
              <w:tc>
                <w:tcPr>
                  <w:tcW w:w="1346" w:type="dxa"/>
                  <w:vAlign w:val="top"/>
                </w:tcPr>
                <w:p>
                  <w:pPr>
                    <w:jc w:val="center"/>
                    <w:rPr>
                      <w:i/>
                      <w:iCs/>
                      <w:szCs w:val="21"/>
                      <w:u w:val="single"/>
                    </w:rPr>
                  </w:pPr>
                  <w:r>
                    <w:rPr>
                      <w:rFonts w:hint="eastAsia"/>
                      <w:i/>
                      <w:iCs/>
                      <w:szCs w:val="21"/>
                      <w:u w:val="single"/>
                    </w:rPr>
                    <w:t>12V自吸泵</w:t>
                  </w:r>
                </w:p>
              </w:tc>
              <w:tc>
                <w:tcPr>
                  <w:tcW w:w="1428" w:type="dxa"/>
                  <w:vAlign w:val="top"/>
                </w:tcPr>
                <w:p>
                  <w:pPr>
                    <w:jc w:val="center"/>
                    <w:rPr>
                      <w:i/>
                      <w:iCs/>
                      <w:szCs w:val="21"/>
                      <w:u w:val="single"/>
                    </w:rPr>
                  </w:pPr>
                  <w:r>
                    <w:rPr>
                      <w:rFonts w:hint="eastAsia"/>
                      <w:i/>
                      <w:iCs/>
                      <w:szCs w:val="21"/>
                      <w:u w:val="single"/>
                    </w:rPr>
                    <w:t>抽取废油液</w:t>
                  </w:r>
                </w:p>
              </w:tc>
            </w:tr>
            <w:tr>
              <w:trPr>
                <w:trHeight w:val="308" w:hRule="atLeast"/>
                <w:jc w:val="center"/>
              </w:trPr>
              <w:tc>
                <w:tcPr>
                  <w:tcW w:w="634" w:type="dxa"/>
                  <w:vAlign w:val="center"/>
                </w:tcPr>
                <w:p>
                  <w:pPr>
                    <w:pStyle w:val="41"/>
                    <w:adjustRightInd/>
                    <w:snapToGrid/>
                    <w:spacing w:line="240" w:lineRule="auto"/>
                    <w:ind w:left="0" w:right="0"/>
                    <w:rPr>
                      <w:rFonts w:ascii="Times New Roman" w:hAnsi="Times New Roman"/>
                      <w:i/>
                      <w:iCs/>
                      <w:sz w:val="21"/>
                      <w:u w:val="single"/>
                    </w:rPr>
                  </w:pPr>
                  <w:r>
                    <w:rPr>
                      <w:rFonts w:hint="eastAsia" w:ascii="Times New Roman" w:hAnsi="Times New Roman"/>
                      <w:i/>
                      <w:iCs/>
                      <w:sz w:val="21"/>
                      <w:u w:val="single"/>
                    </w:rPr>
                    <w:t>4</w:t>
                  </w:r>
                </w:p>
              </w:tc>
              <w:tc>
                <w:tcPr>
                  <w:tcW w:w="2596" w:type="dxa"/>
                  <w:vAlign w:val="top"/>
                </w:tcPr>
                <w:p>
                  <w:pPr>
                    <w:pStyle w:val="41"/>
                    <w:adjustRightInd/>
                    <w:snapToGrid/>
                    <w:spacing w:line="240" w:lineRule="auto"/>
                    <w:ind w:left="0" w:right="0"/>
                    <w:rPr>
                      <w:rFonts w:ascii="Times New Roman" w:hAnsi="Times New Roman"/>
                      <w:i/>
                      <w:iCs/>
                      <w:sz w:val="21"/>
                      <w:u w:val="single"/>
                    </w:rPr>
                  </w:pPr>
                  <w:r>
                    <w:rPr>
                      <w:rFonts w:hint="eastAsia" w:ascii="Times New Roman" w:hAnsi="Times New Roman"/>
                      <w:i/>
                      <w:iCs/>
                      <w:sz w:val="21"/>
                      <w:u w:val="single"/>
                    </w:rPr>
                    <w:t>集油桶</w:t>
                  </w:r>
                </w:p>
              </w:tc>
              <w:tc>
                <w:tcPr>
                  <w:tcW w:w="1201" w:type="dxa"/>
                  <w:vAlign w:val="center"/>
                </w:tcPr>
                <w:p>
                  <w:pPr>
                    <w:pStyle w:val="41"/>
                    <w:adjustRightInd/>
                    <w:snapToGrid/>
                    <w:spacing w:line="240" w:lineRule="auto"/>
                    <w:ind w:left="0" w:right="0"/>
                    <w:rPr>
                      <w:rFonts w:ascii="Times New Roman" w:hAnsi="Times New Roman"/>
                      <w:i/>
                      <w:iCs/>
                      <w:sz w:val="21"/>
                      <w:u w:val="single"/>
                    </w:rPr>
                  </w:pPr>
                  <w:r>
                    <w:rPr>
                      <w:rFonts w:hint="eastAsia" w:ascii="Times New Roman" w:hAnsi="Times New Roman"/>
                      <w:i/>
                      <w:iCs/>
                      <w:sz w:val="21"/>
                      <w:u w:val="single"/>
                    </w:rPr>
                    <w:t>个</w:t>
                  </w:r>
                </w:p>
              </w:tc>
              <w:tc>
                <w:tcPr>
                  <w:tcW w:w="833" w:type="dxa"/>
                  <w:vAlign w:val="top"/>
                </w:tcPr>
                <w:p>
                  <w:pPr>
                    <w:jc w:val="center"/>
                    <w:rPr>
                      <w:i/>
                      <w:iCs/>
                      <w:szCs w:val="21"/>
                      <w:u w:val="single"/>
                    </w:rPr>
                  </w:pPr>
                  <w:r>
                    <w:rPr>
                      <w:rFonts w:hint="eastAsia"/>
                      <w:i/>
                      <w:iCs/>
                      <w:szCs w:val="21"/>
                      <w:u w:val="single"/>
                    </w:rPr>
                    <w:t>3</w:t>
                  </w:r>
                </w:p>
              </w:tc>
              <w:tc>
                <w:tcPr>
                  <w:tcW w:w="1346" w:type="dxa"/>
                  <w:vAlign w:val="top"/>
                </w:tcPr>
                <w:p>
                  <w:pPr>
                    <w:jc w:val="center"/>
                    <w:rPr>
                      <w:i/>
                      <w:iCs/>
                      <w:szCs w:val="21"/>
                      <w:u w:val="single"/>
                    </w:rPr>
                  </w:pPr>
                  <w:r>
                    <w:rPr>
                      <w:rFonts w:hint="eastAsia"/>
                      <w:i/>
                      <w:iCs/>
                      <w:szCs w:val="21"/>
                      <w:u w:val="single"/>
                    </w:rPr>
                    <w:t>500L</w:t>
                  </w:r>
                </w:p>
              </w:tc>
              <w:tc>
                <w:tcPr>
                  <w:tcW w:w="1428" w:type="dxa"/>
                  <w:vAlign w:val="top"/>
                </w:tcPr>
                <w:p>
                  <w:pPr>
                    <w:jc w:val="center"/>
                    <w:rPr>
                      <w:i/>
                      <w:iCs/>
                      <w:szCs w:val="21"/>
                      <w:u w:val="single"/>
                    </w:rPr>
                  </w:pPr>
                  <w:r>
                    <w:rPr>
                      <w:rFonts w:hint="eastAsia"/>
                      <w:i/>
                      <w:iCs/>
                      <w:szCs w:val="21"/>
                      <w:u w:val="single"/>
                    </w:rPr>
                    <w:t>临时存储</w:t>
                  </w:r>
                </w:p>
              </w:tc>
            </w:tr>
            <w:tr>
              <w:trPr>
                <w:trHeight w:val="308" w:hRule="atLeast"/>
                <w:jc w:val="center"/>
              </w:trPr>
              <w:tc>
                <w:tcPr>
                  <w:tcW w:w="634" w:type="dxa"/>
                  <w:vAlign w:val="center"/>
                </w:tcPr>
                <w:p>
                  <w:pPr>
                    <w:pStyle w:val="41"/>
                    <w:adjustRightInd/>
                    <w:snapToGrid/>
                    <w:spacing w:line="240" w:lineRule="auto"/>
                    <w:ind w:left="0" w:right="0"/>
                    <w:rPr>
                      <w:rFonts w:ascii="Times New Roman" w:hAnsi="Times New Roman"/>
                      <w:i/>
                      <w:iCs/>
                      <w:sz w:val="21"/>
                      <w:u w:val="single"/>
                    </w:rPr>
                  </w:pPr>
                  <w:r>
                    <w:rPr>
                      <w:rFonts w:hint="eastAsia" w:ascii="Times New Roman" w:hAnsi="Times New Roman"/>
                      <w:i/>
                      <w:iCs/>
                      <w:sz w:val="21"/>
                      <w:u w:val="single"/>
                    </w:rPr>
                    <w:t xml:space="preserve">5 </w:t>
                  </w:r>
                </w:p>
              </w:tc>
              <w:tc>
                <w:tcPr>
                  <w:tcW w:w="2596" w:type="dxa"/>
                  <w:vAlign w:val="top"/>
                </w:tcPr>
                <w:p>
                  <w:pPr>
                    <w:pStyle w:val="41"/>
                    <w:adjustRightInd/>
                    <w:snapToGrid/>
                    <w:spacing w:line="240" w:lineRule="auto"/>
                    <w:ind w:left="0" w:right="0"/>
                    <w:jc w:val="both"/>
                    <w:rPr>
                      <w:rFonts w:ascii="Times New Roman" w:hAnsi="Times New Roman"/>
                      <w:i/>
                      <w:iCs/>
                      <w:sz w:val="21"/>
                      <w:u w:val="single"/>
                    </w:rPr>
                  </w:pPr>
                  <w:r>
                    <w:rPr>
                      <w:rFonts w:hint="eastAsia" w:ascii="Times New Roman" w:hAnsi="Times New Roman"/>
                      <w:i/>
                      <w:iCs/>
                      <w:sz w:val="21"/>
                      <w:u w:val="single"/>
                    </w:rPr>
                    <w:t>扳手、套筒、螺丝刀、钳</w:t>
                  </w:r>
                </w:p>
              </w:tc>
              <w:tc>
                <w:tcPr>
                  <w:tcW w:w="1201" w:type="dxa"/>
                  <w:vAlign w:val="center"/>
                </w:tcPr>
                <w:p>
                  <w:pPr>
                    <w:pStyle w:val="41"/>
                    <w:adjustRightInd/>
                    <w:snapToGrid/>
                    <w:spacing w:line="240" w:lineRule="auto"/>
                    <w:ind w:left="0" w:right="0"/>
                    <w:rPr>
                      <w:rFonts w:ascii="Times New Roman" w:hAnsi="Times New Roman"/>
                      <w:i/>
                      <w:iCs/>
                      <w:sz w:val="21"/>
                      <w:u w:val="single"/>
                    </w:rPr>
                  </w:pPr>
                  <w:r>
                    <w:rPr>
                      <w:rFonts w:hint="eastAsia" w:ascii="Times New Roman" w:hAnsi="Times New Roman"/>
                      <w:i/>
                      <w:iCs/>
                      <w:sz w:val="21"/>
                      <w:u w:val="single"/>
                    </w:rPr>
                    <w:t>套</w:t>
                  </w:r>
                </w:p>
              </w:tc>
              <w:tc>
                <w:tcPr>
                  <w:tcW w:w="833" w:type="dxa"/>
                  <w:vAlign w:val="top"/>
                </w:tcPr>
                <w:p>
                  <w:pPr>
                    <w:jc w:val="center"/>
                    <w:rPr>
                      <w:i/>
                      <w:iCs/>
                      <w:szCs w:val="21"/>
                      <w:u w:val="single"/>
                    </w:rPr>
                  </w:pPr>
                  <w:r>
                    <w:rPr>
                      <w:rFonts w:hint="eastAsia"/>
                      <w:i/>
                      <w:iCs/>
                      <w:szCs w:val="21"/>
                      <w:u w:val="single"/>
                    </w:rPr>
                    <w:t>1</w:t>
                  </w:r>
                </w:p>
              </w:tc>
              <w:tc>
                <w:tcPr>
                  <w:tcW w:w="1346" w:type="dxa"/>
                  <w:vAlign w:val="top"/>
                </w:tcPr>
                <w:p>
                  <w:pPr>
                    <w:jc w:val="center"/>
                    <w:rPr>
                      <w:i/>
                      <w:iCs/>
                      <w:szCs w:val="21"/>
                      <w:u w:val="single"/>
                    </w:rPr>
                  </w:pPr>
                </w:p>
              </w:tc>
              <w:tc>
                <w:tcPr>
                  <w:tcW w:w="1428" w:type="dxa"/>
                  <w:vAlign w:val="top"/>
                </w:tcPr>
                <w:p>
                  <w:pPr>
                    <w:jc w:val="center"/>
                    <w:rPr>
                      <w:i/>
                      <w:iCs/>
                      <w:szCs w:val="21"/>
                      <w:u w:val="single"/>
                    </w:rPr>
                  </w:pPr>
                  <w:r>
                    <w:rPr>
                      <w:rFonts w:hint="eastAsia"/>
                      <w:i/>
                      <w:iCs/>
                      <w:szCs w:val="21"/>
                      <w:u w:val="single"/>
                    </w:rPr>
                    <w:t>小件拆解</w:t>
                  </w:r>
                </w:p>
              </w:tc>
            </w:tr>
            <w:tr>
              <w:trPr>
                <w:trHeight w:val="308" w:hRule="atLeast"/>
                <w:jc w:val="center"/>
              </w:trPr>
              <w:tc>
                <w:tcPr>
                  <w:tcW w:w="634" w:type="dxa"/>
                  <w:vAlign w:val="center"/>
                </w:tcPr>
                <w:p>
                  <w:pPr>
                    <w:pStyle w:val="41"/>
                    <w:adjustRightInd/>
                    <w:snapToGrid/>
                    <w:spacing w:line="240" w:lineRule="auto"/>
                    <w:ind w:left="0" w:right="0"/>
                    <w:rPr>
                      <w:rFonts w:ascii="Times New Roman" w:hAnsi="Times New Roman"/>
                      <w:i/>
                      <w:iCs/>
                      <w:sz w:val="21"/>
                      <w:u w:val="single"/>
                    </w:rPr>
                  </w:pPr>
                  <w:r>
                    <w:rPr>
                      <w:rFonts w:hint="eastAsia" w:ascii="Times New Roman" w:hAnsi="Times New Roman"/>
                      <w:i/>
                      <w:iCs/>
                      <w:sz w:val="21"/>
                      <w:u w:val="single"/>
                    </w:rPr>
                    <w:t>6</w:t>
                  </w:r>
                </w:p>
              </w:tc>
              <w:tc>
                <w:tcPr>
                  <w:tcW w:w="2596" w:type="dxa"/>
                  <w:vAlign w:val="top"/>
                </w:tcPr>
                <w:p>
                  <w:pPr>
                    <w:pStyle w:val="41"/>
                    <w:adjustRightInd/>
                    <w:snapToGrid/>
                    <w:spacing w:line="240" w:lineRule="auto"/>
                    <w:ind w:left="0" w:right="0"/>
                    <w:rPr>
                      <w:rFonts w:ascii="Times New Roman" w:hAnsi="Times New Roman"/>
                      <w:i/>
                      <w:iCs/>
                      <w:sz w:val="21"/>
                      <w:u w:val="single"/>
                    </w:rPr>
                  </w:pPr>
                  <w:r>
                    <w:rPr>
                      <w:rFonts w:hint="eastAsia" w:ascii="Times New Roman" w:hAnsi="Times New Roman"/>
                      <w:i/>
                      <w:iCs/>
                      <w:sz w:val="21"/>
                      <w:u w:val="single"/>
                    </w:rPr>
                    <w:t>叉车</w:t>
                  </w:r>
                </w:p>
              </w:tc>
              <w:tc>
                <w:tcPr>
                  <w:tcW w:w="1201" w:type="dxa"/>
                  <w:vAlign w:val="center"/>
                </w:tcPr>
                <w:p>
                  <w:pPr>
                    <w:pStyle w:val="41"/>
                    <w:adjustRightInd/>
                    <w:snapToGrid/>
                    <w:spacing w:line="240" w:lineRule="auto"/>
                    <w:ind w:left="0" w:right="0"/>
                    <w:rPr>
                      <w:rFonts w:ascii="Times New Roman" w:hAnsi="Times New Roman"/>
                      <w:i/>
                      <w:iCs/>
                      <w:sz w:val="21"/>
                      <w:u w:val="single"/>
                    </w:rPr>
                  </w:pPr>
                  <w:r>
                    <w:rPr>
                      <w:rFonts w:hint="eastAsia" w:ascii="Times New Roman" w:hAnsi="Times New Roman"/>
                      <w:i/>
                      <w:iCs/>
                      <w:sz w:val="21"/>
                      <w:u w:val="single"/>
                    </w:rPr>
                    <w:t>辆</w:t>
                  </w:r>
                </w:p>
              </w:tc>
              <w:tc>
                <w:tcPr>
                  <w:tcW w:w="833" w:type="dxa"/>
                  <w:vAlign w:val="top"/>
                </w:tcPr>
                <w:p>
                  <w:pPr>
                    <w:jc w:val="center"/>
                    <w:rPr>
                      <w:i/>
                      <w:iCs/>
                      <w:szCs w:val="21"/>
                      <w:u w:val="single"/>
                    </w:rPr>
                  </w:pPr>
                  <w:r>
                    <w:rPr>
                      <w:rFonts w:hint="eastAsia"/>
                      <w:i/>
                      <w:iCs/>
                      <w:szCs w:val="21"/>
                      <w:u w:val="single"/>
                    </w:rPr>
                    <w:t>1</w:t>
                  </w:r>
                </w:p>
              </w:tc>
              <w:tc>
                <w:tcPr>
                  <w:tcW w:w="1346" w:type="dxa"/>
                  <w:vAlign w:val="top"/>
                </w:tcPr>
                <w:p>
                  <w:pPr>
                    <w:jc w:val="center"/>
                    <w:rPr>
                      <w:i/>
                      <w:iCs/>
                      <w:szCs w:val="21"/>
                      <w:u w:val="single"/>
                    </w:rPr>
                  </w:pPr>
                  <w:r>
                    <w:rPr>
                      <w:rFonts w:hint="eastAsia"/>
                      <w:i/>
                      <w:iCs/>
                      <w:szCs w:val="21"/>
                      <w:u w:val="single"/>
                    </w:rPr>
                    <w:t>3.5T</w:t>
                  </w:r>
                </w:p>
              </w:tc>
              <w:tc>
                <w:tcPr>
                  <w:tcW w:w="1428" w:type="dxa"/>
                  <w:vAlign w:val="top"/>
                </w:tcPr>
                <w:p>
                  <w:pPr>
                    <w:jc w:val="center"/>
                    <w:rPr>
                      <w:i/>
                      <w:iCs/>
                      <w:szCs w:val="21"/>
                      <w:u w:val="single"/>
                    </w:rPr>
                  </w:pPr>
                  <w:r>
                    <w:rPr>
                      <w:rFonts w:hint="eastAsia"/>
                      <w:i/>
                      <w:iCs/>
                      <w:szCs w:val="21"/>
                      <w:u w:val="single"/>
                    </w:rPr>
                    <w:t>场内搬运</w:t>
                  </w:r>
                </w:p>
              </w:tc>
            </w:tr>
            <w:tr>
              <w:trPr>
                <w:trHeight w:val="308" w:hRule="atLeast"/>
                <w:jc w:val="center"/>
              </w:trPr>
              <w:tc>
                <w:tcPr>
                  <w:tcW w:w="634" w:type="dxa"/>
                  <w:vAlign w:val="center"/>
                </w:tcPr>
                <w:p>
                  <w:pPr>
                    <w:pStyle w:val="41"/>
                    <w:adjustRightInd/>
                    <w:snapToGrid/>
                    <w:spacing w:line="240" w:lineRule="auto"/>
                    <w:ind w:left="0" w:right="0"/>
                    <w:rPr>
                      <w:rFonts w:ascii="Times New Roman" w:hAnsi="Times New Roman"/>
                      <w:i/>
                      <w:iCs/>
                      <w:sz w:val="21"/>
                      <w:u w:val="single"/>
                    </w:rPr>
                  </w:pPr>
                  <w:r>
                    <w:rPr>
                      <w:rFonts w:hint="eastAsia" w:ascii="Times New Roman" w:hAnsi="Times New Roman"/>
                      <w:i/>
                      <w:iCs/>
                      <w:sz w:val="21"/>
                      <w:u w:val="single"/>
                    </w:rPr>
                    <w:t>7</w:t>
                  </w:r>
                </w:p>
              </w:tc>
              <w:tc>
                <w:tcPr>
                  <w:tcW w:w="2596" w:type="dxa"/>
                  <w:vAlign w:val="top"/>
                </w:tcPr>
                <w:p>
                  <w:pPr>
                    <w:pStyle w:val="41"/>
                    <w:adjustRightInd/>
                    <w:snapToGrid/>
                    <w:spacing w:line="240" w:lineRule="auto"/>
                    <w:ind w:left="0" w:right="0"/>
                    <w:rPr>
                      <w:rFonts w:ascii="Times New Roman" w:hAnsi="Times New Roman"/>
                      <w:i/>
                      <w:iCs/>
                      <w:sz w:val="21"/>
                      <w:u w:val="single"/>
                    </w:rPr>
                  </w:pPr>
                  <w:r>
                    <w:rPr>
                      <w:rFonts w:hint="eastAsia" w:ascii="Times New Roman" w:hAnsi="Times New Roman"/>
                      <w:i/>
                      <w:iCs/>
                      <w:sz w:val="21"/>
                      <w:u w:val="single"/>
                    </w:rPr>
                    <w:t>铲车</w:t>
                  </w:r>
                </w:p>
              </w:tc>
              <w:tc>
                <w:tcPr>
                  <w:tcW w:w="1201" w:type="dxa"/>
                  <w:vAlign w:val="center"/>
                </w:tcPr>
                <w:p>
                  <w:pPr>
                    <w:pStyle w:val="41"/>
                    <w:adjustRightInd/>
                    <w:snapToGrid/>
                    <w:spacing w:line="240" w:lineRule="auto"/>
                    <w:ind w:left="0" w:right="0"/>
                    <w:rPr>
                      <w:rFonts w:ascii="Times New Roman" w:hAnsi="Times New Roman"/>
                      <w:i/>
                      <w:iCs/>
                      <w:sz w:val="21"/>
                      <w:u w:val="single"/>
                    </w:rPr>
                  </w:pPr>
                  <w:r>
                    <w:rPr>
                      <w:rFonts w:hint="eastAsia" w:ascii="Times New Roman" w:hAnsi="Times New Roman"/>
                      <w:i/>
                      <w:iCs/>
                      <w:sz w:val="21"/>
                      <w:u w:val="single"/>
                    </w:rPr>
                    <w:t>辆</w:t>
                  </w:r>
                </w:p>
              </w:tc>
              <w:tc>
                <w:tcPr>
                  <w:tcW w:w="833" w:type="dxa"/>
                  <w:vAlign w:val="top"/>
                </w:tcPr>
                <w:p>
                  <w:pPr>
                    <w:jc w:val="center"/>
                    <w:rPr>
                      <w:i/>
                      <w:iCs/>
                      <w:szCs w:val="21"/>
                      <w:u w:val="single"/>
                    </w:rPr>
                  </w:pPr>
                  <w:r>
                    <w:rPr>
                      <w:rFonts w:hint="eastAsia"/>
                      <w:i/>
                      <w:iCs/>
                      <w:szCs w:val="21"/>
                      <w:u w:val="single"/>
                    </w:rPr>
                    <w:t>1</w:t>
                  </w:r>
                </w:p>
              </w:tc>
              <w:tc>
                <w:tcPr>
                  <w:tcW w:w="1346" w:type="dxa"/>
                  <w:vAlign w:val="top"/>
                </w:tcPr>
                <w:p>
                  <w:pPr>
                    <w:jc w:val="center"/>
                    <w:rPr>
                      <w:i/>
                      <w:iCs/>
                      <w:szCs w:val="21"/>
                      <w:u w:val="single"/>
                    </w:rPr>
                  </w:pPr>
                  <w:r>
                    <w:rPr>
                      <w:rFonts w:hint="eastAsia"/>
                      <w:i/>
                      <w:iCs/>
                      <w:szCs w:val="21"/>
                      <w:u w:val="single"/>
                    </w:rPr>
                    <w:t>3.5T</w:t>
                  </w:r>
                </w:p>
              </w:tc>
              <w:tc>
                <w:tcPr>
                  <w:tcW w:w="1428" w:type="dxa"/>
                  <w:vAlign w:val="top"/>
                </w:tcPr>
                <w:p>
                  <w:pPr>
                    <w:jc w:val="center"/>
                    <w:rPr>
                      <w:i/>
                      <w:iCs/>
                      <w:szCs w:val="21"/>
                      <w:u w:val="single"/>
                    </w:rPr>
                  </w:pPr>
                  <w:r>
                    <w:rPr>
                      <w:rFonts w:hint="eastAsia"/>
                      <w:i/>
                      <w:iCs/>
                      <w:szCs w:val="21"/>
                      <w:u w:val="single"/>
                    </w:rPr>
                    <w:t>场内搬运</w:t>
                  </w:r>
                </w:p>
              </w:tc>
            </w:tr>
            <w:tr>
              <w:trPr>
                <w:trHeight w:val="308" w:hRule="atLeast"/>
                <w:jc w:val="center"/>
              </w:trPr>
              <w:tc>
                <w:tcPr>
                  <w:tcW w:w="634" w:type="dxa"/>
                  <w:vAlign w:val="center"/>
                </w:tcPr>
                <w:p>
                  <w:pPr>
                    <w:pStyle w:val="41"/>
                    <w:adjustRightInd/>
                    <w:snapToGrid/>
                    <w:spacing w:line="240" w:lineRule="auto"/>
                    <w:ind w:left="0" w:right="0"/>
                    <w:rPr>
                      <w:rFonts w:ascii="Times New Roman" w:hAnsi="Times New Roman"/>
                      <w:i/>
                      <w:iCs/>
                      <w:sz w:val="21"/>
                      <w:u w:val="single"/>
                    </w:rPr>
                  </w:pPr>
                  <w:r>
                    <w:rPr>
                      <w:rFonts w:hint="eastAsia" w:ascii="Times New Roman" w:hAnsi="Times New Roman"/>
                      <w:i/>
                      <w:iCs/>
                      <w:sz w:val="21"/>
                      <w:u w:val="single"/>
                    </w:rPr>
                    <w:t>8</w:t>
                  </w:r>
                </w:p>
              </w:tc>
              <w:tc>
                <w:tcPr>
                  <w:tcW w:w="2596" w:type="dxa"/>
                  <w:vAlign w:val="top"/>
                </w:tcPr>
                <w:p>
                  <w:pPr>
                    <w:pStyle w:val="41"/>
                    <w:adjustRightInd/>
                    <w:snapToGrid/>
                    <w:spacing w:line="240" w:lineRule="auto"/>
                    <w:ind w:left="0" w:right="0"/>
                    <w:jc w:val="both"/>
                    <w:rPr>
                      <w:rFonts w:ascii="Times New Roman" w:hAnsi="Times New Roman"/>
                      <w:i/>
                      <w:iCs/>
                      <w:sz w:val="21"/>
                      <w:u w:val="single"/>
                    </w:rPr>
                  </w:pPr>
                  <w:r>
                    <w:rPr>
                      <w:rFonts w:hint="eastAsia" w:ascii="Times New Roman" w:hAnsi="Times New Roman"/>
                      <w:i/>
                      <w:iCs/>
                      <w:sz w:val="21"/>
                      <w:u w:val="single"/>
                    </w:rPr>
                    <w:t xml:space="preserve">         空压机</w:t>
                  </w:r>
                </w:p>
              </w:tc>
              <w:tc>
                <w:tcPr>
                  <w:tcW w:w="1201" w:type="dxa"/>
                  <w:vAlign w:val="center"/>
                </w:tcPr>
                <w:p>
                  <w:pPr>
                    <w:pStyle w:val="41"/>
                    <w:adjustRightInd/>
                    <w:snapToGrid/>
                    <w:spacing w:line="240" w:lineRule="auto"/>
                    <w:ind w:left="0" w:right="0"/>
                    <w:rPr>
                      <w:rFonts w:ascii="Times New Roman" w:hAnsi="Times New Roman"/>
                      <w:i/>
                      <w:iCs/>
                      <w:sz w:val="21"/>
                      <w:u w:val="single"/>
                    </w:rPr>
                  </w:pPr>
                  <w:r>
                    <w:rPr>
                      <w:rFonts w:hint="eastAsia" w:ascii="Times New Roman" w:hAnsi="Times New Roman"/>
                      <w:i/>
                      <w:iCs/>
                      <w:sz w:val="21"/>
                      <w:u w:val="single"/>
                    </w:rPr>
                    <w:t>台</w:t>
                  </w:r>
                </w:p>
              </w:tc>
              <w:tc>
                <w:tcPr>
                  <w:tcW w:w="833" w:type="dxa"/>
                  <w:vAlign w:val="top"/>
                </w:tcPr>
                <w:p>
                  <w:pPr>
                    <w:jc w:val="center"/>
                    <w:rPr>
                      <w:i/>
                      <w:iCs/>
                      <w:szCs w:val="21"/>
                      <w:u w:val="single"/>
                    </w:rPr>
                  </w:pPr>
                  <w:r>
                    <w:rPr>
                      <w:rFonts w:hint="eastAsia"/>
                      <w:i/>
                      <w:iCs/>
                      <w:szCs w:val="21"/>
                      <w:u w:val="single"/>
                    </w:rPr>
                    <w:t>1</w:t>
                  </w:r>
                </w:p>
              </w:tc>
              <w:tc>
                <w:tcPr>
                  <w:tcW w:w="1346" w:type="dxa"/>
                  <w:vAlign w:val="top"/>
                </w:tcPr>
                <w:p>
                  <w:pPr>
                    <w:jc w:val="center"/>
                    <w:rPr>
                      <w:i/>
                      <w:iCs/>
                      <w:szCs w:val="21"/>
                      <w:u w:val="single"/>
                    </w:rPr>
                  </w:pPr>
                  <w:r>
                    <w:rPr>
                      <w:rFonts w:hint="eastAsia"/>
                      <w:i/>
                      <w:iCs/>
                      <w:szCs w:val="21"/>
                      <w:u w:val="single"/>
                    </w:rPr>
                    <w:t>PM-7.5</w:t>
                  </w:r>
                </w:p>
              </w:tc>
              <w:tc>
                <w:tcPr>
                  <w:tcW w:w="1428" w:type="dxa"/>
                  <w:vAlign w:val="top"/>
                </w:tcPr>
                <w:p>
                  <w:pPr>
                    <w:jc w:val="center"/>
                    <w:rPr>
                      <w:i/>
                      <w:iCs/>
                      <w:szCs w:val="21"/>
                      <w:u w:val="single"/>
                    </w:rPr>
                  </w:pPr>
                  <w:r>
                    <w:rPr>
                      <w:rFonts w:hint="eastAsia"/>
                      <w:i/>
                      <w:iCs/>
                      <w:szCs w:val="21"/>
                      <w:u w:val="single"/>
                    </w:rPr>
                    <w:t>气动工具</w:t>
                  </w:r>
                </w:p>
              </w:tc>
            </w:tr>
            <w:tr>
              <w:trPr>
                <w:trHeight w:val="308" w:hRule="atLeast"/>
                <w:jc w:val="center"/>
              </w:trPr>
              <w:tc>
                <w:tcPr>
                  <w:tcW w:w="634" w:type="dxa"/>
                  <w:vAlign w:val="center"/>
                </w:tcPr>
                <w:p>
                  <w:pPr>
                    <w:pStyle w:val="41"/>
                    <w:adjustRightInd/>
                    <w:snapToGrid/>
                    <w:spacing w:line="240" w:lineRule="auto"/>
                    <w:ind w:left="0" w:right="0"/>
                    <w:rPr>
                      <w:rFonts w:ascii="Times New Roman" w:hAnsi="Times New Roman"/>
                      <w:i/>
                      <w:iCs/>
                      <w:sz w:val="21"/>
                      <w:u w:val="single"/>
                    </w:rPr>
                  </w:pPr>
                  <w:r>
                    <w:rPr>
                      <w:rFonts w:hint="eastAsia" w:ascii="Times New Roman" w:hAnsi="Times New Roman"/>
                      <w:i/>
                      <w:iCs/>
                      <w:sz w:val="21"/>
                      <w:u w:val="single"/>
                    </w:rPr>
                    <w:t>9</w:t>
                  </w:r>
                </w:p>
              </w:tc>
              <w:tc>
                <w:tcPr>
                  <w:tcW w:w="2596" w:type="dxa"/>
                  <w:vAlign w:val="top"/>
                </w:tcPr>
                <w:p>
                  <w:pPr>
                    <w:pStyle w:val="41"/>
                    <w:adjustRightInd/>
                    <w:snapToGrid/>
                    <w:spacing w:line="240" w:lineRule="auto"/>
                    <w:ind w:left="0" w:right="0"/>
                    <w:rPr>
                      <w:rFonts w:ascii="Times New Roman" w:hAnsi="Times New Roman"/>
                      <w:i/>
                      <w:iCs/>
                      <w:sz w:val="21"/>
                      <w:u w:val="single"/>
                    </w:rPr>
                  </w:pPr>
                  <w:r>
                    <w:rPr>
                      <w:rFonts w:hint="eastAsia" w:ascii="Times New Roman" w:hAnsi="Times New Roman"/>
                      <w:i/>
                      <w:iCs/>
                      <w:sz w:val="21"/>
                      <w:u w:val="single"/>
                    </w:rPr>
                    <w:t>监控设备</w:t>
                  </w:r>
                </w:p>
              </w:tc>
              <w:tc>
                <w:tcPr>
                  <w:tcW w:w="1201" w:type="dxa"/>
                  <w:vAlign w:val="center"/>
                </w:tcPr>
                <w:p>
                  <w:pPr>
                    <w:pStyle w:val="41"/>
                    <w:adjustRightInd/>
                    <w:snapToGrid/>
                    <w:spacing w:line="240" w:lineRule="auto"/>
                    <w:ind w:left="0" w:right="0"/>
                    <w:rPr>
                      <w:rFonts w:ascii="Times New Roman" w:hAnsi="Times New Roman"/>
                      <w:i/>
                      <w:iCs/>
                      <w:sz w:val="21"/>
                      <w:u w:val="single"/>
                    </w:rPr>
                  </w:pPr>
                  <w:r>
                    <w:rPr>
                      <w:rFonts w:hint="eastAsia" w:ascii="Times New Roman" w:hAnsi="Times New Roman"/>
                      <w:i/>
                      <w:iCs/>
                      <w:sz w:val="21"/>
                      <w:u w:val="single"/>
                    </w:rPr>
                    <w:t>个</w:t>
                  </w:r>
                </w:p>
              </w:tc>
              <w:tc>
                <w:tcPr>
                  <w:tcW w:w="833" w:type="dxa"/>
                  <w:vAlign w:val="top"/>
                </w:tcPr>
                <w:p>
                  <w:pPr>
                    <w:jc w:val="center"/>
                    <w:rPr>
                      <w:i/>
                      <w:iCs/>
                      <w:szCs w:val="21"/>
                      <w:u w:val="single"/>
                    </w:rPr>
                  </w:pPr>
                  <w:r>
                    <w:rPr>
                      <w:rFonts w:hint="eastAsia"/>
                      <w:i/>
                      <w:iCs/>
                      <w:szCs w:val="21"/>
                      <w:u w:val="single"/>
                    </w:rPr>
                    <w:t>4</w:t>
                  </w:r>
                </w:p>
              </w:tc>
              <w:tc>
                <w:tcPr>
                  <w:tcW w:w="1346" w:type="dxa"/>
                  <w:vAlign w:val="top"/>
                </w:tcPr>
                <w:p>
                  <w:pPr>
                    <w:jc w:val="center"/>
                    <w:rPr>
                      <w:i/>
                      <w:iCs/>
                      <w:szCs w:val="21"/>
                      <w:u w:val="single"/>
                    </w:rPr>
                  </w:pPr>
                  <w:r>
                    <w:rPr>
                      <w:rFonts w:hint="eastAsia"/>
                      <w:i/>
                      <w:iCs/>
                      <w:szCs w:val="21"/>
                      <w:u w:val="single"/>
                    </w:rPr>
                    <w:t>/</w:t>
                  </w:r>
                </w:p>
              </w:tc>
              <w:tc>
                <w:tcPr>
                  <w:tcW w:w="1428" w:type="dxa"/>
                  <w:vAlign w:val="top"/>
                </w:tcPr>
                <w:p>
                  <w:pPr>
                    <w:jc w:val="center"/>
                    <w:rPr>
                      <w:i/>
                      <w:iCs/>
                      <w:szCs w:val="21"/>
                      <w:u w:val="single"/>
                    </w:rPr>
                  </w:pPr>
                  <w:r>
                    <w:rPr>
                      <w:rFonts w:hint="eastAsia"/>
                      <w:i/>
                      <w:iCs/>
                      <w:szCs w:val="21"/>
                      <w:u w:val="single"/>
                    </w:rPr>
                    <w:t>监控</w:t>
                  </w:r>
                </w:p>
              </w:tc>
            </w:tr>
            <w:tr>
              <w:trPr>
                <w:trHeight w:val="308" w:hRule="atLeast"/>
                <w:jc w:val="center"/>
              </w:trPr>
              <w:tc>
                <w:tcPr>
                  <w:tcW w:w="634" w:type="dxa"/>
                  <w:vAlign w:val="center"/>
                </w:tcPr>
                <w:p>
                  <w:pPr>
                    <w:pStyle w:val="41"/>
                    <w:adjustRightInd/>
                    <w:snapToGrid/>
                    <w:spacing w:line="240" w:lineRule="auto"/>
                    <w:ind w:left="0" w:right="0"/>
                    <w:rPr>
                      <w:rFonts w:ascii="Times New Roman" w:hAnsi="Times New Roman"/>
                      <w:i/>
                      <w:iCs/>
                      <w:sz w:val="21"/>
                      <w:u w:val="single"/>
                    </w:rPr>
                  </w:pPr>
                  <w:r>
                    <w:rPr>
                      <w:rFonts w:hint="eastAsia" w:ascii="Times New Roman" w:hAnsi="Times New Roman"/>
                      <w:i/>
                      <w:iCs/>
                      <w:sz w:val="21"/>
                      <w:u w:val="single"/>
                    </w:rPr>
                    <w:t>10</w:t>
                  </w:r>
                </w:p>
              </w:tc>
              <w:tc>
                <w:tcPr>
                  <w:tcW w:w="2596" w:type="dxa"/>
                  <w:vAlign w:val="top"/>
                </w:tcPr>
                <w:p>
                  <w:pPr>
                    <w:pStyle w:val="41"/>
                    <w:adjustRightInd/>
                    <w:snapToGrid/>
                    <w:spacing w:line="240" w:lineRule="auto"/>
                    <w:ind w:left="0" w:right="0"/>
                    <w:rPr>
                      <w:rFonts w:ascii="Times New Roman" w:hAnsi="Times New Roman"/>
                      <w:i/>
                      <w:iCs/>
                      <w:sz w:val="21"/>
                      <w:u w:val="single"/>
                    </w:rPr>
                  </w:pPr>
                  <w:r>
                    <w:rPr>
                      <w:rFonts w:hint="eastAsia" w:ascii="Times New Roman" w:hAnsi="Times New Roman"/>
                      <w:i/>
                      <w:iCs/>
                      <w:sz w:val="21"/>
                      <w:u w:val="single"/>
                    </w:rPr>
                    <w:t>电子磅</w:t>
                  </w:r>
                </w:p>
              </w:tc>
              <w:tc>
                <w:tcPr>
                  <w:tcW w:w="1201" w:type="dxa"/>
                  <w:vAlign w:val="center"/>
                </w:tcPr>
                <w:p>
                  <w:pPr>
                    <w:pStyle w:val="41"/>
                    <w:adjustRightInd/>
                    <w:snapToGrid/>
                    <w:spacing w:line="240" w:lineRule="auto"/>
                    <w:ind w:left="0" w:right="0"/>
                    <w:rPr>
                      <w:rFonts w:ascii="Times New Roman" w:hAnsi="Times New Roman"/>
                      <w:i/>
                      <w:iCs/>
                      <w:sz w:val="21"/>
                      <w:u w:val="single"/>
                    </w:rPr>
                  </w:pPr>
                  <w:r>
                    <w:rPr>
                      <w:rFonts w:hint="eastAsia" w:ascii="Times New Roman" w:hAnsi="Times New Roman"/>
                      <w:i/>
                      <w:iCs/>
                      <w:sz w:val="21"/>
                      <w:u w:val="single"/>
                    </w:rPr>
                    <w:t>台</w:t>
                  </w:r>
                </w:p>
              </w:tc>
              <w:tc>
                <w:tcPr>
                  <w:tcW w:w="833" w:type="dxa"/>
                  <w:vAlign w:val="top"/>
                </w:tcPr>
                <w:p>
                  <w:pPr>
                    <w:jc w:val="center"/>
                    <w:rPr>
                      <w:i/>
                      <w:iCs/>
                      <w:szCs w:val="21"/>
                      <w:u w:val="single"/>
                    </w:rPr>
                  </w:pPr>
                  <w:r>
                    <w:rPr>
                      <w:rFonts w:hint="eastAsia"/>
                      <w:i/>
                      <w:iCs/>
                      <w:szCs w:val="21"/>
                      <w:u w:val="single"/>
                    </w:rPr>
                    <w:t>1</w:t>
                  </w:r>
                </w:p>
              </w:tc>
              <w:tc>
                <w:tcPr>
                  <w:tcW w:w="1346" w:type="dxa"/>
                  <w:vAlign w:val="top"/>
                </w:tcPr>
                <w:p>
                  <w:pPr>
                    <w:jc w:val="center"/>
                    <w:rPr>
                      <w:i/>
                      <w:iCs/>
                      <w:szCs w:val="21"/>
                      <w:u w:val="single"/>
                    </w:rPr>
                  </w:pPr>
                  <w:r>
                    <w:rPr>
                      <w:rFonts w:hint="eastAsia"/>
                      <w:i/>
                      <w:iCs/>
                      <w:szCs w:val="21"/>
                      <w:u w:val="single"/>
                    </w:rPr>
                    <w:t>/</w:t>
                  </w:r>
                </w:p>
              </w:tc>
              <w:tc>
                <w:tcPr>
                  <w:tcW w:w="1428" w:type="dxa"/>
                  <w:vAlign w:val="top"/>
                </w:tcPr>
                <w:p>
                  <w:pPr>
                    <w:jc w:val="center"/>
                    <w:rPr>
                      <w:i/>
                      <w:iCs/>
                      <w:szCs w:val="21"/>
                      <w:u w:val="single"/>
                    </w:rPr>
                  </w:pPr>
                  <w:r>
                    <w:rPr>
                      <w:rFonts w:hint="eastAsia"/>
                      <w:i/>
                      <w:iCs/>
                      <w:szCs w:val="21"/>
                      <w:u w:val="single"/>
                    </w:rPr>
                    <w:t>称重</w:t>
                  </w:r>
                </w:p>
              </w:tc>
            </w:tr>
          </w:tbl>
          <w:p>
            <w:pPr>
              <w:spacing w:line="360" w:lineRule="auto"/>
              <w:ind w:firstLine="482" w:firstLineChars="200"/>
              <w:rPr>
                <w:b/>
                <w:sz w:val="24"/>
              </w:rPr>
            </w:pPr>
            <w:r>
              <w:rPr>
                <w:rFonts w:hint="eastAsia"/>
                <w:b/>
                <w:sz w:val="24"/>
              </w:rPr>
              <w:t>7、劳动定员及工作制度</w:t>
            </w:r>
          </w:p>
          <w:p>
            <w:pPr>
              <w:widowControl/>
              <w:spacing w:line="360" w:lineRule="auto"/>
              <w:ind w:firstLine="480" w:firstLineChars="200"/>
              <w:jc w:val="left"/>
              <w:rPr>
                <w:i/>
                <w:iCs/>
                <w:u w:val="single"/>
              </w:rPr>
            </w:pPr>
            <w:r>
              <w:rPr>
                <w:rFonts w:hint="eastAsia" w:ascii="宋体" w:hAnsi="宋体" w:cs="宋体"/>
                <w:i/>
                <w:iCs/>
                <w:kern w:val="0"/>
                <w:sz w:val="24"/>
                <w:u w:val="single"/>
              </w:rPr>
              <w:t>本项目劳动定员</w:t>
            </w:r>
            <w:r>
              <w:rPr>
                <w:i/>
                <w:iCs/>
                <w:kern w:val="0"/>
                <w:sz w:val="24"/>
                <w:u w:val="single"/>
              </w:rPr>
              <w:t>6</w:t>
            </w:r>
            <w:r>
              <w:rPr>
                <w:rFonts w:hint="eastAsia" w:ascii="宋体" w:hAnsi="宋体" w:cs="宋体"/>
                <w:i/>
                <w:iCs/>
                <w:kern w:val="0"/>
                <w:sz w:val="24"/>
                <w:u w:val="single"/>
              </w:rPr>
              <w:t>人。全年工作日</w:t>
            </w:r>
            <w:r>
              <w:rPr>
                <w:i/>
                <w:iCs/>
                <w:kern w:val="0"/>
                <w:sz w:val="24"/>
                <w:u w:val="single"/>
              </w:rPr>
              <w:t>180</w:t>
            </w:r>
            <w:r>
              <w:rPr>
                <w:rFonts w:hint="eastAsia" w:ascii="宋体" w:hAnsi="宋体" w:cs="宋体"/>
                <w:i/>
                <w:iCs/>
                <w:kern w:val="0"/>
                <w:sz w:val="24"/>
                <w:u w:val="single"/>
              </w:rPr>
              <w:t>天，每天工作</w:t>
            </w:r>
            <w:r>
              <w:rPr>
                <w:i/>
                <w:iCs/>
                <w:kern w:val="0"/>
                <w:sz w:val="24"/>
                <w:u w:val="single"/>
              </w:rPr>
              <w:t>8</w:t>
            </w:r>
            <w:r>
              <w:rPr>
                <w:rFonts w:hint="eastAsia" w:ascii="宋体" w:hAnsi="宋体" w:cs="宋体"/>
                <w:i/>
                <w:iCs/>
                <w:kern w:val="0"/>
                <w:sz w:val="24"/>
                <w:u w:val="single"/>
              </w:rPr>
              <w:t>小时。年拆解作业时长约为50天，其余均为收车审核阶段。</w:t>
            </w:r>
          </w:p>
          <w:p>
            <w:pPr>
              <w:spacing w:line="360" w:lineRule="auto"/>
              <w:ind w:firstLine="482" w:firstLineChars="200"/>
              <w:rPr>
                <w:b/>
                <w:sz w:val="24"/>
              </w:rPr>
            </w:pPr>
            <w:r>
              <w:rPr>
                <w:rFonts w:hint="eastAsia"/>
                <w:b/>
                <w:sz w:val="24"/>
              </w:rPr>
              <w:t>8、公用工程</w:t>
            </w:r>
          </w:p>
          <w:p>
            <w:pPr>
              <w:widowControl/>
              <w:spacing w:line="360" w:lineRule="auto"/>
              <w:ind w:firstLine="480" w:firstLineChars="200"/>
              <w:jc w:val="left"/>
              <w:rPr>
                <w:rFonts w:ascii="宋体" w:hAnsi="宋体" w:cs="宋体"/>
                <w:kern w:val="0"/>
                <w:sz w:val="24"/>
              </w:rPr>
            </w:pPr>
            <w:r>
              <w:rPr>
                <w:rFonts w:hint="eastAsia" w:ascii="宋体" w:hAnsi="宋体" w:cs="宋体"/>
                <w:kern w:val="0"/>
                <w:sz w:val="24"/>
              </w:rPr>
              <w:t>项目运行过程中用水主要为职工生活用水，由厂区深水井提供。</w:t>
            </w:r>
          </w:p>
          <w:p>
            <w:pPr>
              <w:spacing w:line="360" w:lineRule="auto"/>
              <w:ind w:firstLine="480" w:firstLineChars="200"/>
              <w:rPr>
                <w:rFonts w:ascii="宋体" w:hAnsi="宋体" w:cs="宋体"/>
                <w:kern w:val="0"/>
                <w:sz w:val="24"/>
              </w:rPr>
            </w:pPr>
            <w:r>
              <w:rPr>
                <w:rFonts w:hint="eastAsia" w:ascii="宋体" w:hAnsi="宋体" w:cs="宋体"/>
                <w:i/>
                <w:iCs/>
                <w:kern w:val="0"/>
                <w:sz w:val="24"/>
                <w:u w:val="single"/>
              </w:rPr>
              <w:t>项目无生产用水，设备及车辆不在厂区内清洗。本项目车间地面不清洗，地面如有油渍，采用抹布</w:t>
            </w:r>
            <w:r>
              <w:rPr>
                <w:i/>
                <w:iCs/>
                <w:kern w:val="0"/>
                <w:sz w:val="24"/>
                <w:u w:val="single"/>
              </w:rPr>
              <w:t>/</w:t>
            </w:r>
            <w:r>
              <w:rPr>
                <w:rFonts w:hint="eastAsia" w:ascii="宋体" w:hAnsi="宋体" w:cs="宋体"/>
                <w:i/>
                <w:iCs/>
                <w:kern w:val="0"/>
                <w:sz w:val="24"/>
                <w:u w:val="single"/>
              </w:rPr>
              <w:t>拖布擦干，使用后的废含油抹布</w:t>
            </w:r>
            <w:r>
              <w:rPr>
                <w:i/>
                <w:iCs/>
                <w:kern w:val="0"/>
                <w:sz w:val="24"/>
                <w:u w:val="single"/>
              </w:rPr>
              <w:t>/</w:t>
            </w:r>
            <w:r>
              <w:rPr>
                <w:rFonts w:hint="eastAsia" w:ascii="宋体" w:hAnsi="宋体" w:cs="宋体"/>
                <w:i/>
                <w:iCs/>
                <w:kern w:val="0"/>
                <w:sz w:val="24"/>
                <w:u w:val="single"/>
              </w:rPr>
              <w:t>拖布，集中收集，暂存于危废贮存间，由有资质单位处理。本项目无清洗废水。</w:t>
            </w:r>
          </w:p>
          <w:p>
            <w:pPr>
              <w:spacing w:line="360" w:lineRule="auto"/>
              <w:ind w:firstLine="480" w:firstLineChars="200"/>
              <w:rPr>
                <w:bCs/>
                <w:sz w:val="24"/>
              </w:rPr>
            </w:pPr>
            <w:r>
              <w:rPr>
                <w:rFonts w:hint="eastAsia"/>
                <w:bCs/>
                <w:sz w:val="24"/>
              </w:rPr>
              <w:t>（1）给水</w:t>
            </w:r>
          </w:p>
          <w:p>
            <w:pPr>
              <w:widowControl/>
              <w:spacing w:line="360" w:lineRule="auto"/>
              <w:ind w:firstLine="480" w:firstLineChars="200"/>
              <w:jc w:val="left"/>
              <w:rPr>
                <w:sz w:val="24"/>
              </w:rPr>
            </w:pPr>
            <w:r>
              <w:rPr>
                <w:rFonts w:hint="eastAsia" w:ascii="宋体" w:hAnsi="宋体" w:cs="宋体"/>
                <w:kern w:val="0"/>
                <w:sz w:val="24"/>
              </w:rPr>
              <w:t xml:space="preserve">企业劳动定员为6人，全年工作 </w:t>
            </w:r>
            <w:r>
              <w:rPr>
                <w:rFonts w:hint="eastAsia"/>
                <w:kern w:val="0"/>
                <w:sz w:val="24"/>
              </w:rPr>
              <w:t>180</w:t>
            </w:r>
            <w:r>
              <w:rPr>
                <w:kern w:val="0"/>
                <w:sz w:val="24"/>
              </w:rPr>
              <w:t xml:space="preserve"> </w:t>
            </w:r>
            <w:r>
              <w:rPr>
                <w:rFonts w:hint="eastAsia" w:ascii="宋体" w:hAnsi="宋体" w:cs="宋体"/>
                <w:kern w:val="0"/>
                <w:sz w:val="24"/>
              </w:rPr>
              <w:t>天，每班工作</w:t>
            </w:r>
            <w:r>
              <w:rPr>
                <w:kern w:val="0"/>
                <w:sz w:val="24"/>
              </w:rPr>
              <w:t>8h</w:t>
            </w:r>
            <w:r>
              <w:rPr>
                <w:rFonts w:hint="eastAsia" w:ascii="宋体" w:hAnsi="宋体" w:cs="宋体"/>
                <w:kern w:val="0"/>
                <w:sz w:val="24"/>
              </w:rPr>
              <w:t>，</w:t>
            </w:r>
            <w:r>
              <w:rPr>
                <w:kern w:val="0"/>
                <w:sz w:val="24"/>
              </w:rPr>
              <w:t>1</w:t>
            </w:r>
            <w:r>
              <w:rPr>
                <w:rFonts w:hint="eastAsia" w:ascii="宋体" w:hAnsi="宋体" w:cs="宋体"/>
                <w:kern w:val="0"/>
                <w:sz w:val="24"/>
              </w:rPr>
              <w:t>班制。用水量按5</w:t>
            </w:r>
            <w:r>
              <w:rPr>
                <w:kern w:val="0"/>
                <w:sz w:val="24"/>
              </w:rPr>
              <w:t xml:space="preserve">0L/ </w:t>
            </w:r>
            <w:r>
              <w:rPr>
                <w:rFonts w:hint="eastAsia" w:ascii="宋体" w:hAnsi="宋体" w:cs="宋体"/>
                <w:kern w:val="0"/>
                <w:sz w:val="24"/>
              </w:rPr>
              <w:t>人</w:t>
            </w:r>
            <w:r>
              <w:rPr>
                <w:kern w:val="0"/>
                <w:sz w:val="24"/>
              </w:rPr>
              <w:t>·</w:t>
            </w:r>
            <w:r>
              <w:rPr>
                <w:rFonts w:hint="eastAsia" w:ascii="宋体" w:hAnsi="宋体" w:cs="宋体"/>
                <w:kern w:val="0"/>
                <w:sz w:val="24"/>
              </w:rPr>
              <w:t>天计，项目生活用水量为</w:t>
            </w:r>
            <w:r>
              <w:rPr>
                <w:rFonts w:hint="eastAsia"/>
                <w:kern w:val="0"/>
                <w:sz w:val="24"/>
              </w:rPr>
              <w:t>0.3</w:t>
            </w:r>
            <w:r>
              <w:rPr>
                <w:bCs/>
                <w:sz w:val="24"/>
              </w:rPr>
              <w:t>m</w:t>
            </w:r>
            <w:r>
              <w:rPr>
                <w:bCs/>
                <w:sz w:val="24"/>
                <w:vertAlign w:val="superscript"/>
              </w:rPr>
              <w:t>3</w:t>
            </w:r>
            <w:r>
              <w:rPr>
                <w:bCs/>
                <w:sz w:val="24"/>
              </w:rPr>
              <w:t>/d</w:t>
            </w:r>
            <w:r>
              <w:rPr>
                <w:kern w:val="0"/>
                <w:sz w:val="24"/>
              </w:rPr>
              <w:t>(</w:t>
            </w:r>
            <w:r>
              <w:rPr>
                <w:rFonts w:hint="eastAsia"/>
                <w:kern w:val="0"/>
                <w:sz w:val="24"/>
              </w:rPr>
              <w:t>54</w:t>
            </w:r>
            <w:r>
              <w:rPr>
                <w:kern w:val="0"/>
                <w:sz w:val="24"/>
              </w:rPr>
              <w:t>m</w:t>
            </w:r>
            <w:r>
              <w:rPr>
                <w:rFonts w:hint="eastAsia"/>
                <w:kern w:val="0"/>
                <w:sz w:val="24"/>
                <w:vertAlign w:val="superscript"/>
              </w:rPr>
              <w:t>3</w:t>
            </w:r>
            <w:r>
              <w:rPr>
                <w:kern w:val="0"/>
                <w:sz w:val="24"/>
              </w:rPr>
              <w:t>/a)</w:t>
            </w:r>
            <w:r>
              <w:rPr>
                <w:rFonts w:hint="eastAsia" w:ascii="宋体" w:hAnsi="宋体" w:cs="宋体"/>
                <w:kern w:val="0"/>
                <w:sz w:val="24"/>
              </w:rPr>
              <w:t>。</w:t>
            </w:r>
          </w:p>
          <w:p>
            <w:pPr>
              <w:spacing w:line="360" w:lineRule="auto"/>
              <w:ind w:firstLine="480" w:firstLineChars="200"/>
              <w:rPr>
                <w:bCs/>
                <w:sz w:val="24"/>
              </w:rPr>
            </w:pPr>
            <w:r>
              <w:rPr>
                <w:rFonts w:hint="eastAsia"/>
                <w:bCs/>
                <w:sz w:val="24"/>
              </w:rPr>
              <w:t>（2）排水</w:t>
            </w:r>
          </w:p>
          <w:p>
            <w:pPr>
              <w:spacing w:line="360" w:lineRule="auto"/>
              <w:ind w:firstLine="480" w:firstLineChars="200"/>
              <w:rPr>
                <w:bCs/>
                <w:i/>
                <w:iCs/>
                <w:sz w:val="24"/>
                <w:u w:val="single"/>
              </w:rPr>
            </w:pPr>
            <w:r>
              <w:rPr>
                <w:rFonts w:hint="eastAsia"/>
                <w:bCs/>
                <w:i/>
                <w:iCs/>
                <w:sz w:val="24"/>
                <w:u w:val="single"/>
              </w:rPr>
              <w:t>本项目产生的废水为生活污水，</w:t>
            </w:r>
            <w:r>
              <w:rPr>
                <w:bCs/>
                <w:i/>
                <w:iCs/>
                <w:sz w:val="24"/>
                <w:u w:val="single"/>
              </w:rPr>
              <w:t>生活污水产生量按用水量的</w:t>
            </w:r>
            <w:r>
              <w:rPr>
                <w:rFonts w:hint="eastAsia"/>
                <w:bCs/>
                <w:i/>
                <w:iCs/>
                <w:sz w:val="24"/>
                <w:u w:val="single"/>
              </w:rPr>
              <w:t>80</w:t>
            </w:r>
            <w:r>
              <w:rPr>
                <w:bCs/>
                <w:i/>
                <w:iCs/>
                <w:sz w:val="24"/>
                <w:u w:val="single"/>
              </w:rPr>
              <w:t>%计算，则生活污水</w:t>
            </w:r>
            <w:r>
              <w:rPr>
                <w:rFonts w:hint="eastAsia"/>
                <w:bCs/>
                <w:i/>
                <w:iCs/>
                <w:sz w:val="24"/>
                <w:u w:val="single"/>
              </w:rPr>
              <w:t>产生</w:t>
            </w:r>
            <w:r>
              <w:rPr>
                <w:bCs/>
                <w:i/>
                <w:iCs/>
                <w:sz w:val="24"/>
                <w:u w:val="single"/>
              </w:rPr>
              <w:t>量为</w:t>
            </w:r>
            <w:r>
              <w:rPr>
                <w:rFonts w:hint="eastAsia"/>
                <w:bCs/>
                <w:i/>
                <w:iCs/>
                <w:sz w:val="24"/>
                <w:u w:val="single"/>
              </w:rPr>
              <w:t>0.24</w:t>
            </w:r>
            <w:r>
              <w:rPr>
                <w:bCs/>
                <w:i/>
                <w:iCs/>
                <w:sz w:val="24"/>
                <w:u w:val="single"/>
              </w:rPr>
              <w:t>m</w:t>
            </w:r>
            <w:r>
              <w:rPr>
                <w:bCs/>
                <w:i/>
                <w:iCs/>
                <w:sz w:val="24"/>
                <w:u w:val="single"/>
                <w:vertAlign w:val="superscript"/>
              </w:rPr>
              <w:t>3</w:t>
            </w:r>
            <w:r>
              <w:rPr>
                <w:bCs/>
                <w:i/>
                <w:iCs/>
                <w:sz w:val="24"/>
                <w:u w:val="single"/>
              </w:rPr>
              <w:t>/d（</w:t>
            </w:r>
            <w:r>
              <w:rPr>
                <w:rFonts w:hint="eastAsia"/>
                <w:bCs/>
                <w:i/>
                <w:iCs/>
                <w:sz w:val="24"/>
                <w:u w:val="single"/>
              </w:rPr>
              <w:t>43.2</w:t>
            </w:r>
            <w:r>
              <w:rPr>
                <w:bCs/>
                <w:i/>
                <w:iCs/>
                <w:sz w:val="24"/>
                <w:u w:val="single"/>
              </w:rPr>
              <w:t>m</w:t>
            </w:r>
            <w:r>
              <w:rPr>
                <w:bCs/>
                <w:i/>
                <w:iCs/>
                <w:sz w:val="24"/>
                <w:u w:val="single"/>
                <w:vertAlign w:val="superscript"/>
              </w:rPr>
              <w:t>3</w:t>
            </w:r>
            <w:r>
              <w:rPr>
                <w:bCs/>
                <w:i/>
                <w:iCs/>
                <w:sz w:val="24"/>
                <w:u w:val="single"/>
              </w:rPr>
              <w:t>/a）</w:t>
            </w:r>
            <w:r>
              <w:rPr>
                <w:rFonts w:hint="eastAsia"/>
                <w:bCs/>
                <w:i/>
                <w:iCs/>
                <w:sz w:val="24"/>
                <w:u w:val="single"/>
              </w:rPr>
              <w:t>。</w:t>
            </w:r>
            <w:r>
              <w:rPr>
                <w:rFonts w:hint="eastAsia"/>
                <w:i/>
                <w:iCs/>
                <w:sz w:val="24"/>
                <w:u w:val="single"/>
              </w:rPr>
              <w:t>生活污水排入厂区防渗化粪池，定期由周边农户清掏作农肥。</w:t>
            </w:r>
          </w:p>
          <w:p>
            <w:pPr>
              <w:widowControl/>
              <w:spacing w:line="360" w:lineRule="auto"/>
              <w:ind w:firstLine="480" w:firstLineChars="200"/>
              <w:jc w:val="left"/>
              <w:rPr>
                <w:rFonts w:ascii="宋体" w:hAnsi="宋体" w:cs="宋体"/>
                <w:sz w:val="24"/>
              </w:rPr>
            </w:pPr>
            <w:r>
              <w:rPr>
                <w:rFonts w:hint="eastAsia" w:ascii="宋体" w:hAnsi="宋体" w:cs="宋体"/>
                <w:kern w:val="0"/>
                <w:sz w:val="24"/>
              </w:rPr>
              <w:t xml:space="preserve">（3）初期雨水 </w:t>
            </w:r>
          </w:p>
          <w:p>
            <w:pPr>
              <w:widowControl/>
              <w:spacing w:line="360" w:lineRule="auto"/>
              <w:ind w:firstLine="480" w:firstLineChars="200"/>
              <w:jc w:val="left"/>
              <w:rPr>
                <w:rFonts w:ascii="宋体" w:hAnsi="宋体" w:cs="宋体"/>
                <w:i/>
                <w:iCs/>
                <w:kern w:val="0"/>
                <w:sz w:val="24"/>
                <w:u w:val="single"/>
              </w:rPr>
            </w:pPr>
            <w:r>
              <w:rPr>
                <w:rFonts w:hint="eastAsia" w:ascii="宋体" w:hAnsi="宋体" w:cs="宋体"/>
                <w:i/>
                <w:iCs/>
                <w:kern w:val="0"/>
                <w:sz w:val="24"/>
                <w:u w:val="single"/>
              </w:rPr>
              <w:t>本项目不在厂房外部进行报废农机存储和拆解作业，无露天存储场地，只有进厂道路为露天场地。</w:t>
            </w:r>
            <w:r>
              <w:rPr>
                <w:rFonts w:ascii="宋体" w:hAnsi="宋体" w:cs="宋体"/>
                <w:i/>
                <w:iCs/>
                <w:kern w:val="0"/>
                <w:sz w:val="24"/>
                <w:u w:val="single"/>
              </w:rPr>
              <w:t>报废农机残留机油、柴油、齿轮油、防冻液、制动液等矿物油类物质会附着于车身、底盘、轮胎及拆解零部件表面。依据《报废机动车拆解企业污染控制技术规范》（HJ 348-2022）5.4 条要求，拆解企业必须落实雨污分流，作业及物料贮存区域初期雨水需单独收集处置</w:t>
            </w:r>
            <w:r>
              <w:rPr>
                <w:rFonts w:hint="eastAsia" w:ascii="宋体" w:hAnsi="宋体" w:cs="宋体"/>
                <w:i/>
                <w:iCs/>
                <w:kern w:val="0"/>
                <w:sz w:val="24"/>
                <w:u w:val="single"/>
              </w:rPr>
              <w:t>。</w:t>
            </w:r>
            <w:r>
              <w:rPr>
                <w:rFonts w:ascii="宋体" w:hAnsi="宋体" w:cs="宋体"/>
                <w:i/>
                <w:iCs/>
                <w:kern w:val="0"/>
                <w:sz w:val="24"/>
                <w:u w:val="single"/>
              </w:rPr>
              <w:t>报废农机</w:t>
            </w:r>
            <w:r>
              <w:rPr>
                <w:rFonts w:hint="eastAsia" w:ascii="宋体" w:hAnsi="宋体" w:cs="宋体"/>
                <w:i/>
                <w:iCs/>
                <w:kern w:val="0"/>
                <w:sz w:val="24"/>
                <w:u w:val="single"/>
              </w:rPr>
              <w:t>在厂房外卸车和等待进厂拆解的过程中，短时间露天存放，由于</w:t>
            </w:r>
            <w:r>
              <w:rPr>
                <w:rFonts w:ascii="宋体" w:hAnsi="宋体" w:cs="宋体"/>
                <w:i/>
                <w:iCs/>
                <w:kern w:val="0"/>
                <w:sz w:val="24"/>
                <w:u w:val="single"/>
              </w:rPr>
              <w:t>农机底盘、管路、外壳附着残留机油、润滑油</w:t>
            </w:r>
            <w:r>
              <w:rPr>
                <w:rFonts w:hint="eastAsia" w:ascii="宋体" w:hAnsi="宋体" w:cs="宋体"/>
                <w:i/>
                <w:iCs/>
                <w:kern w:val="0"/>
                <w:sz w:val="24"/>
                <w:u w:val="single"/>
              </w:rPr>
              <w:t>等</w:t>
            </w:r>
            <w:r>
              <w:rPr>
                <w:rFonts w:ascii="宋体" w:hAnsi="宋体" w:cs="宋体"/>
                <w:i/>
                <w:iCs/>
                <w:kern w:val="0"/>
                <w:sz w:val="24"/>
                <w:u w:val="single"/>
              </w:rPr>
              <w:t>油类</w:t>
            </w:r>
            <w:r>
              <w:rPr>
                <w:rFonts w:hint="eastAsia" w:ascii="宋体" w:hAnsi="宋体" w:cs="宋体"/>
                <w:i/>
                <w:iCs/>
                <w:kern w:val="0"/>
                <w:sz w:val="24"/>
                <w:u w:val="single"/>
              </w:rPr>
              <w:t>物质，为杜绝污染雨水外排和在场地内累积污染地下水土壤，项目采取“雨污分流”制度，防止污染雨水直排对区域环境造成不利影响，在厂房外设置收集池，对厂区初期雨水进行收集处理，处理后经罐车运至污水处理厂。当降雨时，雨水形成的地表径流对地面冲刷，使污染物汇集于降雨径流中，为防止降雨形成的初期雨水排放产生环境影响，对厂区内的初期雨水进行收集。</w:t>
            </w:r>
            <w:r>
              <w:rPr>
                <w:rFonts w:hint="eastAsia" w:ascii="宋体" w:hAnsi="宋体" w:cs="宋体"/>
                <w:i/>
                <w:iCs/>
                <w:color w:val="000000"/>
                <w:kern w:val="0"/>
                <w:sz w:val="24"/>
                <w:u w:val="single"/>
              </w:rPr>
              <w:t>以厂区占地面积计</w:t>
            </w:r>
            <w:r>
              <w:rPr>
                <w:rFonts w:hint="eastAsia" w:ascii="宋体" w:hAnsi="宋体" w:cs="宋体"/>
                <w:i/>
                <w:iCs/>
                <w:kern w:val="0"/>
                <w:sz w:val="24"/>
                <w:u w:val="single"/>
              </w:rPr>
              <w:t>。临时装卸区裸露地面雨水经导流水沟收集15min初期雨水至初期雨水池。项目采用历年最大暴雨的前15min雨量为一次最大初期雨水量。</w:t>
            </w:r>
          </w:p>
          <w:p>
            <w:pPr>
              <w:widowControl/>
              <w:spacing w:line="360" w:lineRule="auto"/>
              <w:ind w:firstLine="480" w:firstLineChars="200"/>
              <w:jc w:val="left"/>
              <w:rPr>
                <w:rFonts w:ascii="宋体" w:hAnsi="宋体" w:cs="宋体"/>
                <w:i/>
                <w:iCs/>
                <w:sz w:val="24"/>
                <w:u w:val="single"/>
              </w:rPr>
            </w:pPr>
            <w:r>
              <w:rPr>
                <w:rFonts w:hint="eastAsia" w:ascii="宋体" w:hAnsi="宋体" w:cs="宋体"/>
                <w:i/>
                <w:iCs/>
                <w:kern w:val="0"/>
                <w:sz w:val="24"/>
                <w:u w:val="single"/>
              </w:rPr>
              <w:t xml:space="preserve">W=10×δ×F </w:t>
            </w:r>
          </w:p>
          <w:p>
            <w:pPr>
              <w:widowControl/>
              <w:spacing w:line="360" w:lineRule="auto"/>
              <w:ind w:firstLine="480" w:firstLineChars="200"/>
              <w:jc w:val="left"/>
              <w:rPr>
                <w:rFonts w:ascii="宋体" w:hAnsi="宋体" w:cs="宋体"/>
                <w:i/>
                <w:iCs/>
                <w:sz w:val="24"/>
                <w:u w:val="single"/>
              </w:rPr>
            </w:pPr>
            <w:r>
              <w:rPr>
                <w:rFonts w:hint="eastAsia" w:ascii="宋体" w:hAnsi="宋体" w:cs="宋体"/>
                <w:i/>
                <w:iCs/>
                <w:kern w:val="0"/>
                <w:sz w:val="24"/>
                <w:u w:val="single"/>
              </w:rPr>
              <w:t xml:space="preserve">式中： </w:t>
            </w:r>
          </w:p>
          <w:p>
            <w:pPr>
              <w:widowControl/>
              <w:spacing w:line="360" w:lineRule="auto"/>
              <w:ind w:firstLine="480" w:firstLineChars="200"/>
              <w:jc w:val="left"/>
              <w:rPr>
                <w:rFonts w:ascii="宋体" w:hAnsi="宋体" w:cs="宋体"/>
                <w:i/>
                <w:iCs/>
                <w:sz w:val="24"/>
                <w:u w:val="single"/>
              </w:rPr>
            </w:pPr>
            <w:r>
              <w:rPr>
                <w:rFonts w:hint="eastAsia" w:ascii="宋体" w:hAnsi="宋体" w:cs="宋体"/>
                <w:i/>
                <w:iCs/>
                <w:kern w:val="0"/>
                <w:sz w:val="24"/>
                <w:u w:val="single"/>
              </w:rPr>
              <w:t>δ</w:t>
            </w:r>
            <w:r>
              <w:rPr>
                <w:rFonts w:hint="eastAsia" w:ascii="宋体" w:hAnsi="宋体" w:cs="宋体"/>
                <w:i/>
                <w:iCs/>
                <w:sz w:val="24"/>
                <w:u w:val="single"/>
              </w:rPr>
              <w:t>径流厚度</w:t>
            </w:r>
            <w:r>
              <w:rPr>
                <w:rFonts w:hint="eastAsia" w:ascii="宋体" w:hAnsi="宋体" w:cs="宋体"/>
                <w:i/>
                <w:iCs/>
                <w:kern w:val="0"/>
                <w:sz w:val="24"/>
                <w:u w:val="single"/>
              </w:rPr>
              <w:t xml:space="preserve"> ：</w:t>
            </w:r>
            <w:r>
              <w:rPr>
                <w:rFonts w:hint="eastAsia" w:ascii="宋体" w:hAnsi="宋体" w:cs="宋体"/>
                <w:i/>
                <w:iCs/>
                <w:sz w:val="24"/>
                <w:u w:val="single"/>
              </w:rPr>
              <w:t>地面径流厚度选取3.65mm；</w:t>
            </w:r>
          </w:p>
          <w:p>
            <w:pPr>
              <w:widowControl/>
              <w:spacing w:line="360" w:lineRule="auto"/>
              <w:ind w:firstLine="480" w:firstLineChars="200"/>
              <w:jc w:val="left"/>
              <w:rPr>
                <w:rFonts w:ascii="宋体" w:hAnsi="宋体" w:cs="宋体"/>
                <w:i/>
                <w:iCs/>
                <w:sz w:val="24"/>
                <w:u w:val="single"/>
              </w:rPr>
            </w:pPr>
            <w:r>
              <w:rPr>
                <w:rFonts w:hint="eastAsia" w:ascii="宋体" w:hAnsi="宋体" w:cs="宋体"/>
                <w:i/>
                <w:iCs/>
                <w:kern w:val="0"/>
                <w:sz w:val="24"/>
                <w:u w:val="single"/>
              </w:rPr>
              <w:t>F径流面积：</w:t>
            </w:r>
            <w:r>
              <w:rPr>
                <w:rFonts w:hint="eastAsia" w:ascii="宋体" w:hAnsi="宋体" w:cs="宋体"/>
                <w:i/>
                <w:iCs/>
                <w:sz w:val="24"/>
                <w:u w:val="single"/>
              </w:rPr>
              <w:t>地面</w:t>
            </w:r>
            <w:r>
              <w:rPr>
                <w:rFonts w:hint="eastAsia" w:ascii="宋体" w:hAnsi="宋体" w:cs="宋体"/>
                <w:i/>
                <w:iCs/>
                <w:kern w:val="0"/>
                <w:sz w:val="24"/>
                <w:u w:val="single"/>
              </w:rPr>
              <w:t>0.2hm</w:t>
            </w:r>
            <w:r>
              <w:rPr>
                <w:rFonts w:hint="eastAsia" w:ascii="宋体" w:hAnsi="宋体" w:cs="宋体"/>
                <w:i/>
                <w:iCs/>
                <w:kern w:val="0"/>
                <w:sz w:val="24"/>
                <w:u w:val="single"/>
                <w:vertAlign w:val="superscript"/>
              </w:rPr>
              <w:t>2</w:t>
            </w:r>
            <w:r>
              <w:rPr>
                <w:rFonts w:hint="eastAsia" w:ascii="宋体" w:hAnsi="宋体" w:cs="宋体"/>
                <w:i/>
                <w:iCs/>
                <w:kern w:val="0"/>
                <w:sz w:val="24"/>
                <w:u w:val="single"/>
              </w:rPr>
              <w:t xml:space="preserve">; </w:t>
            </w:r>
          </w:p>
          <w:p>
            <w:pPr>
              <w:widowControl/>
              <w:spacing w:line="360" w:lineRule="auto"/>
              <w:ind w:firstLine="480" w:firstLineChars="200"/>
              <w:jc w:val="left"/>
              <w:rPr>
                <w:rFonts w:ascii="宋体" w:hAnsi="宋体" w:cs="宋体"/>
                <w:i/>
                <w:iCs/>
                <w:sz w:val="24"/>
                <w:u w:val="single"/>
              </w:rPr>
            </w:pPr>
            <w:r>
              <w:rPr>
                <w:rFonts w:hint="eastAsia" w:ascii="宋体" w:hAnsi="宋体" w:cs="宋体"/>
                <w:i/>
                <w:iCs/>
                <w:kern w:val="0"/>
                <w:sz w:val="24"/>
                <w:u w:val="single"/>
              </w:rPr>
              <w:t>W：初期径流弃流量，m</w:t>
            </w:r>
            <w:r>
              <w:rPr>
                <w:rFonts w:hint="eastAsia" w:ascii="宋体" w:hAnsi="宋体" w:cs="宋体"/>
                <w:i/>
                <w:iCs/>
                <w:kern w:val="0"/>
                <w:sz w:val="24"/>
                <w:u w:val="single"/>
                <w:vertAlign w:val="superscript"/>
              </w:rPr>
              <w:t>3</w:t>
            </w:r>
            <w:r>
              <w:rPr>
                <w:rFonts w:hint="eastAsia" w:ascii="宋体" w:hAnsi="宋体" w:cs="宋体"/>
                <w:i/>
                <w:iCs/>
                <w:kern w:val="0"/>
                <w:sz w:val="24"/>
                <w:u w:val="single"/>
              </w:rPr>
              <w:t xml:space="preserve">。 </w:t>
            </w:r>
          </w:p>
          <w:p>
            <w:pPr>
              <w:widowControl/>
              <w:spacing w:line="360" w:lineRule="auto"/>
              <w:ind w:firstLine="480" w:firstLineChars="200"/>
              <w:jc w:val="left"/>
              <w:rPr>
                <w:rFonts w:eastAsia="黑体"/>
                <w:b/>
                <w:bCs/>
                <w:i/>
                <w:iCs/>
                <w:szCs w:val="21"/>
                <w:u w:val="single"/>
              </w:rPr>
            </w:pPr>
            <w:r>
              <w:rPr>
                <w:rFonts w:hint="eastAsia" w:ascii="宋体" w:hAnsi="宋体" w:cs="宋体"/>
                <w:i/>
                <w:iCs/>
                <w:kern w:val="0"/>
                <w:sz w:val="24"/>
                <w:u w:val="single"/>
              </w:rPr>
              <w:t>经计算，初期雨水径流量为7.3m</w:t>
            </w:r>
            <w:r>
              <w:rPr>
                <w:rFonts w:hint="eastAsia" w:ascii="宋体" w:hAnsi="宋体" w:cs="宋体"/>
                <w:i/>
                <w:iCs/>
                <w:kern w:val="0"/>
                <w:sz w:val="24"/>
                <w:u w:val="single"/>
                <w:vertAlign w:val="superscript"/>
              </w:rPr>
              <w:t>3</w:t>
            </w:r>
            <w:r>
              <w:rPr>
                <w:rFonts w:hint="eastAsia" w:ascii="宋体" w:hAnsi="宋体" w:cs="宋体"/>
                <w:i/>
                <w:iCs/>
                <w:kern w:val="0"/>
                <w:sz w:val="24"/>
                <w:u w:val="single"/>
              </w:rPr>
              <w:t>，经收集后排入污水收集池，容积为30m</w:t>
            </w:r>
            <w:r>
              <w:rPr>
                <w:rFonts w:hint="eastAsia" w:ascii="宋体" w:hAnsi="宋体" w:cs="宋体"/>
                <w:i/>
                <w:iCs/>
                <w:kern w:val="0"/>
                <w:sz w:val="24"/>
                <w:u w:val="single"/>
                <w:vertAlign w:val="superscript"/>
              </w:rPr>
              <w:t>3</w:t>
            </w:r>
            <w:r>
              <w:rPr>
                <w:rFonts w:hint="eastAsia" w:ascii="宋体" w:hAnsi="宋体" w:cs="宋体"/>
                <w:i/>
                <w:iCs/>
                <w:kern w:val="0"/>
                <w:sz w:val="24"/>
                <w:u w:val="single"/>
              </w:rPr>
              <w:t>。经隔油处理后利用罐车运至柳河县污水处理厂处理。</w:t>
            </w:r>
          </w:p>
          <w:p>
            <w:pPr>
              <w:spacing w:line="360" w:lineRule="auto"/>
              <w:ind w:firstLine="480" w:firstLineChars="200"/>
              <w:rPr>
                <w:bCs/>
                <w:sz w:val="24"/>
              </w:rPr>
            </w:pPr>
            <w:r>
              <w:rPr>
                <w:rFonts w:hint="eastAsia"/>
                <w:bCs/>
                <w:sz w:val="24"/>
              </w:rPr>
              <w:t>（4）供电</w:t>
            </w:r>
          </w:p>
          <w:p>
            <w:pPr>
              <w:spacing w:line="360" w:lineRule="auto"/>
              <w:ind w:firstLine="480" w:firstLineChars="200"/>
              <w:rPr>
                <w:bCs/>
                <w:sz w:val="24"/>
              </w:rPr>
            </w:pPr>
            <w:r>
              <w:rPr>
                <w:rFonts w:hint="eastAsia"/>
                <w:bCs/>
                <w:sz w:val="24"/>
              </w:rPr>
              <w:t>本项目供电由市政供电网统一供给，满足生产需要。</w:t>
            </w:r>
          </w:p>
          <w:p>
            <w:pPr>
              <w:spacing w:line="360" w:lineRule="auto"/>
              <w:ind w:firstLine="480" w:firstLineChars="200"/>
              <w:rPr>
                <w:bCs/>
                <w:sz w:val="24"/>
              </w:rPr>
            </w:pPr>
            <w:r>
              <w:rPr>
                <w:rFonts w:hint="eastAsia"/>
                <w:bCs/>
                <w:sz w:val="24"/>
              </w:rPr>
              <w:t>（5）供热</w:t>
            </w:r>
          </w:p>
          <w:p>
            <w:pPr>
              <w:widowControl/>
              <w:ind w:firstLine="480" w:firstLineChars="200"/>
              <w:jc w:val="left"/>
            </w:pPr>
            <w:r>
              <w:rPr>
                <w:rFonts w:hint="eastAsia" w:ascii="宋体" w:hAnsi="宋体" w:cs="宋体"/>
                <w:kern w:val="0"/>
                <w:sz w:val="24"/>
              </w:rPr>
              <w:t>本项目冬季不生产。</w:t>
            </w:r>
          </w:p>
          <w:p>
            <w:pPr>
              <w:spacing w:line="360" w:lineRule="auto"/>
              <w:ind w:firstLine="482" w:firstLineChars="200"/>
              <w:rPr>
                <w:b/>
                <w:sz w:val="24"/>
              </w:rPr>
            </w:pPr>
            <w:r>
              <w:rPr>
                <w:rFonts w:hint="eastAsia"/>
                <w:b/>
                <w:sz w:val="24"/>
              </w:rPr>
              <w:t>9、工程占地及厂区平面布置</w:t>
            </w:r>
          </w:p>
          <w:p>
            <w:pPr>
              <w:spacing w:line="360" w:lineRule="auto"/>
              <w:ind w:firstLine="480" w:firstLineChars="200"/>
              <w:rPr>
                <w:rFonts w:ascii="宋体" w:hAnsi="宋体" w:cs="宋体"/>
                <w:kern w:val="0"/>
                <w:sz w:val="24"/>
              </w:rPr>
            </w:pPr>
            <w:r>
              <w:rPr>
                <w:rFonts w:hint="eastAsia"/>
                <w:bCs/>
                <w:sz w:val="24"/>
              </w:rPr>
              <w:t>本项目农机拆解作业位于拆解车间内，厂房结构为轻型钢结构，厂房内地面已进行防渗。按照《报废农业机械回收拆解技术规范》（NY/T2900-2022），报废农业机械拆解作业场地应有独立的拆解区、产品及拆解后物料储存区、固体废物或危险废物料储存控制区等各功能。本项目企业厂区</w:t>
            </w:r>
            <w:r>
              <w:rPr>
                <w:rFonts w:hint="eastAsia" w:ascii="宋体" w:hAnsi="宋体" w:cs="宋体"/>
                <w:kern w:val="0"/>
                <w:sz w:val="24"/>
              </w:rPr>
              <w:t>内按功能分区划分为办公区与作业区，</w:t>
            </w:r>
            <w:r>
              <w:rPr>
                <w:rFonts w:hint="eastAsia"/>
                <w:bCs/>
                <w:sz w:val="24"/>
              </w:rPr>
              <w:t>厂内分为拆解车间、报废农机储存区、拆解物储存区、危险废物储存区及办公室。报废农机储存区位于东侧，用于存储待拆解农机；工具间位于厂房北部，拆解车间位于厂区南部；拆解物储存间位于厂区中部，用于分类存储固体废物。危险废物储存区位于拆解车间西侧。办公室位于北侧。平面布置图详见附图2。</w:t>
            </w:r>
            <w:r>
              <w:rPr>
                <w:rFonts w:hint="eastAsia" w:ascii="宋体" w:hAnsi="宋体" w:cs="宋体"/>
                <w:kern w:val="0"/>
                <w:sz w:val="24"/>
              </w:rPr>
              <w:t>各分区在划分过程中，充分考虑了报废农机具拆解流程安排，可以满足物料转运的便利性，能够达到设计生产、贮存能力要求，各种流线组织合理，各区域用道路隔开，布局较为科学，同时考虑了生产、办公环境。综上，项目厂区平面布置是合理的。</w:t>
            </w:r>
          </w:p>
          <w:p>
            <w:pPr>
              <w:spacing w:line="360" w:lineRule="auto"/>
              <w:ind w:firstLine="480" w:firstLineChars="200"/>
              <w:rPr>
                <w:bCs/>
                <w:sz w:val="24"/>
              </w:rPr>
            </w:pPr>
          </w:p>
        </w:tc>
      </w:tr>
      <w:tr>
        <w:trPr>
          <w:trHeight w:val="23" w:hRule="atLeast"/>
          <w:jc w:val="center"/>
        </w:trPr>
        <w:tc>
          <w:tcPr>
            <w:tcW w:w="858" w:type="dxa"/>
            <w:vAlign w:val="center"/>
          </w:tcPr>
          <w:p>
            <w:pPr>
              <w:pStyle w:val="21"/>
              <w:widowControl w:val="0"/>
              <w:spacing w:before="0" w:beforeAutospacing="0" w:after="0" w:afterAutospacing="0" w:line="360" w:lineRule="auto"/>
              <w:jc w:val="center"/>
              <w:rPr>
                <w:rFonts w:cs="宋体"/>
                <w:szCs w:val="24"/>
              </w:rPr>
            </w:pPr>
            <w:r>
              <w:rPr>
                <w:rFonts w:hint="eastAsia" w:cs="宋体"/>
                <w:szCs w:val="24"/>
              </w:rPr>
              <w:t>工</w:t>
            </w:r>
          </w:p>
          <w:p>
            <w:pPr>
              <w:pStyle w:val="21"/>
              <w:widowControl w:val="0"/>
              <w:spacing w:before="0" w:beforeAutospacing="0" w:after="0" w:afterAutospacing="0" w:line="360" w:lineRule="auto"/>
              <w:jc w:val="center"/>
              <w:rPr>
                <w:rFonts w:cs="宋体"/>
                <w:szCs w:val="24"/>
              </w:rPr>
            </w:pPr>
            <w:r>
              <w:rPr>
                <w:rFonts w:hint="eastAsia" w:cs="宋体"/>
                <w:szCs w:val="24"/>
              </w:rPr>
              <w:t>艺</w:t>
            </w:r>
          </w:p>
          <w:p>
            <w:pPr>
              <w:pStyle w:val="21"/>
              <w:widowControl w:val="0"/>
              <w:spacing w:before="0" w:beforeAutospacing="0" w:after="0" w:afterAutospacing="0" w:line="360" w:lineRule="auto"/>
              <w:jc w:val="center"/>
              <w:rPr>
                <w:rFonts w:cs="宋体"/>
                <w:szCs w:val="24"/>
              </w:rPr>
            </w:pPr>
            <w:r>
              <w:rPr>
                <w:rFonts w:hint="eastAsia" w:cs="宋体"/>
                <w:szCs w:val="24"/>
              </w:rPr>
              <w:t>流</w:t>
            </w:r>
          </w:p>
          <w:p>
            <w:pPr>
              <w:pStyle w:val="21"/>
              <w:widowControl w:val="0"/>
              <w:spacing w:before="0" w:beforeAutospacing="0" w:after="0" w:afterAutospacing="0" w:line="360" w:lineRule="auto"/>
              <w:jc w:val="center"/>
              <w:rPr>
                <w:rFonts w:cs="宋体"/>
                <w:szCs w:val="24"/>
              </w:rPr>
            </w:pPr>
            <w:r>
              <w:rPr>
                <w:rFonts w:hint="eastAsia" w:cs="宋体"/>
                <w:szCs w:val="24"/>
              </w:rPr>
              <w:t>程</w:t>
            </w:r>
          </w:p>
          <w:p>
            <w:pPr>
              <w:pStyle w:val="21"/>
              <w:widowControl w:val="0"/>
              <w:spacing w:before="0" w:beforeAutospacing="0" w:after="0" w:afterAutospacing="0" w:line="360" w:lineRule="auto"/>
              <w:jc w:val="center"/>
              <w:rPr>
                <w:rFonts w:cs="宋体"/>
                <w:szCs w:val="24"/>
              </w:rPr>
            </w:pPr>
            <w:r>
              <w:rPr>
                <w:rFonts w:hint="eastAsia" w:cs="宋体"/>
                <w:szCs w:val="24"/>
              </w:rPr>
              <w:t>和</w:t>
            </w:r>
          </w:p>
          <w:p>
            <w:pPr>
              <w:pStyle w:val="21"/>
              <w:widowControl w:val="0"/>
              <w:spacing w:before="0" w:beforeAutospacing="0" w:after="0" w:afterAutospacing="0" w:line="360" w:lineRule="auto"/>
              <w:jc w:val="center"/>
              <w:rPr>
                <w:rFonts w:cs="宋体"/>
                <w:szCs w:val="24"/>
              </w:rPr>
            </w:pPr>
            <w:r>
              <w:rPr>
                <w:rFonts w:hint="eastAsia" w:cs="宋体"/>
                <w:szCs w:val="24"/>
              </w:rPr>
              <w:t>产</w:t>
            </w:r>
          </w:p>
          <w:p>
            <w:pPr>
              <w:pStyle w:val="21"/>
              <w:widowControl w:val="0"/>
              <w:spacing w:before="0" w:beforeAutospacing="0" w:after="0" w:afterAutospacing="0" w:line="360" w:lineRule="auto"/>
              <w:jc w:val="center"/>
              <w:rPr>
                <w:rFonts w:cs="宋体"/>
                <w:szCs w:val="24"/>
              </w:rPr>
            </w:pPr>
            <w:r>
              <w:rPr>
                <w:rFonts w:hint="eastAsia" w:cs="宋体"/>
                <w:szCs w:val="24"/>
              </w:rPr>
              <w:t>排</w:t>
            </w:r>
          </w:p>
          <w:p>
            <w:pPr>
              <w:pStyle w:val="21"/>
              <w:widowControl w:val="0"/>
              <w:spacing w:before="0" w:beforeAutospacing="0" w:after="0" w:afterAutospacing="0" w:line="360" w:lineRule="auto"/>
              <w:jc w:val="center"/>
              <w:rPr>
                <w:rFonts w:cs="宋体"/>
                <w:szCs w:val="24"/>
              </w:rPr>
            </w:pPr>
            <w:r>
              <w:rPr>
                <w:rFonts w:hint="eastAsia" w:cs="宋体"/>
                <w:szCs w:val="24"/>
              </w:rPr>
              <w:t>污</w:t>
            </w:r>
          </w:p>
          <w:p>
            <w:pPr>
              <w:pStyle w:val="21"/>
              <w:widowControl w:val="0"/>
              <w:spacing w:before="0" w:beforeAutospacing="0" w:after="0" w:afterAutospacing="0" w:line="360" w:lineRule="auto"/>
              <w:jc w:val="center"/>
              <w:rPr>
                <w:rFonts w:cs="宋体"/>
                <w:szCs w:val="24"/>
              </w:rPr>
            </w:pPr>
            <w:r>
              <w:rPr>
                <w:rFonts w:hint="eastAsia" w:cs="宋体"/>
                <w:szCs w:val="24"/>
              </w:rPr>
              <w:t>环</w:t>
            </w:r>
          </w:p>
          <w:p>
            <w:pPr>
              <w:pStyle w:val="21"/>
              <w:widowControl w:val="0"/>
              <w:spacing w:before="0" w:beforeAutospacing="0" w:after="0" w:afterAutospacing="0" w:line="360" w:lineRule="auto"/>
              <w:jc w:val="center"/>
              <w:rPr>
                <w:rFonts w:cs="宋体"/>
                <w:szCs w:val="24"/>
              </w:rPr>
            </w:pPr>
            <w:r>
              <w:rPr>
                <w:rFonts w:hint="eastAsia" w:cs="宋体"/>
                <w:szCs w:val="24"/>
              </w:rPr>
              <w:t>节</w:t>
            </w:r>
          </w:p>
        </w:tc>
        <w:tc>
          <w:tcPr>
            <w:tcW w:w="8254" w:type="dxa"/>
            <w:vAlign w:val="top"/>
          </w:tcPr>
          <w:p>
            <w:pPr>
              <w:spacing w:line="360" w:lineRule="auto"/>
              <w:ind w:firstLine="482" w:firstLineChars="200"/>
              <w:rPr>
                <w:b/>
                <w:bCs/>
                <w:sz w:val="24"/>
              </w:rPr>
            </w:pPr>
            <w:r>
              <w:rPr>
                <w:rFonts w:hint="eastAsia"/>
                <w:b/>
                <w:bCs/>
                <w:sz w:val="24"/>
              </w:rPr>
              <w:t>运营期工艺流程</w:t>
            </w:r>
          </w:p>
          <w:p>
            <w:pPr>
              <w:widowControl/>
              <w:spacing w:line="360" w:lineRule="auto"/>
              <w:ind w:firstLine="480" w:firstLineChars="200"/>
              <w:jc w:val="left"/>
              <w:rPr>
                <w:i/>
                <w:iCs/>
                <w:sz w:val="24"/>
                <w:u w:val="single"/>
              </w:rPr>
            </w:pPr>
            <w:r>
              <w:rPr>
                <w:rFonts w:hint="eastAsia" w:ascii="宋体" w:hAnsi="宋体" w:cs="宋体"/>
                <w:bCs/>
                <w:i/>
                <w:iCs/>
                <w:sz w:val="24"/>
                <w:u w:val="single"/>
              </w:rPr>
              <w:t>本项目为农机拆解项目，一般而言，</w:t>
            </w:r>
            <w:r>
              <w:rPr>
                <w:rFonts w:hint="eastAsia" w:ascii="宋体" w:hAnsi="宋体" w:cs="宋体"/>
                <w:i/>
                <w:iCs/>
                <w:sz w:val="24"/>
                <w:u w:val="single"/>
              </w:rPr>
              <w:t>拆解工艺有“非破坏性拆解”、“准破坏性抵触”、“破坏性拆解”之分。绝大多数农机经长年使用报废后，零件的回收价值已不大；另一方面，本项目拆解工艺不考虑零件回收问题。根据农机各部分的具体结构情况及拆解操作的方便程度，</w:t>
            </w:r>
            <w:r>
              <w:rPr>
                <w:rFonts w:hint="eastAsia" w:ascii="宋体" w:hAnsi="宋体" w:cs="宋体"/>
                <w:i/>
                <w:iCs/>
                <w:kern w:val="0"/>
                <w:sz w:val="24"/>
                <w:u w:val="single"/>
              </w:rPr>
              <w:t>综合利用挖掘机进行破碎拆解，属于“破坏性拆解”。本项目农机拆解无切割、破碎、清洗、打包工序。</w:t>
            </w:r>
            <w:r>
              <w:rPr>
                <w:rFonts w:hint="eastAsia"/>
                <w:i/>
                <w:iCs/>
                <w:sz w:val="24"/>
                <w:u w:val="single"/>
              </w:rPr>
              <w:t xml:space="preserve"> 拆解后有剪断工序。</w:t>
            </w:r>
          </w:p>
          <w:p>
            <w:pPr>
              <w:spacing w:line="360" w:lineRule="auto"/>
              <w:ind w:firstLine="480" w:firstLineChars="200"/>
              <w:rPr>
                <w:i/>
                <w:iCs/>
                <w:sz w:val="24"/>
                <w:u w:val="single"/>
              </w:rPr>
            </w:pPr>
            <w:r>
              <w:rPr>
                <w:rFonts w:hint="eastAsia"/>
                <w:i/>
                <w:iCs/>
                <w:sz w:val="24"/>
                <w:u w:val="single"/>
              </w:rPr>
              <w:t>（1）农机入厂</w:t>
            </w:r>
          </w:p>
          <w:p>
            <w:pPr>
              <w:spacing w:line="360" w:lineRule="auto"/>
              <w:ind w:firstLine="480" w:firstLineChars="200"/>
              <w:rPr>
                <w:i/>
                <w:iCs/>
                <w:sz w:val="24"/>
                <w:u w:val="single"/>
              </w:rPr>
            </w:pPr>
            <w:r>
              <w:rPr>
                <w:rFonts w:hint="eastAsia"/>
                <w:i/>
                <w:iCs/>
                <w:sz w:val="24"/>
                <w:u w:val="single"/>
              </w:rPr>
              <w:t>用户报废农机入厂后，办理农机回收证明手续、双方与农机合影留证，以便用户按相关程序办理农机报废更新补贴手续。入场农机不需要清洗。</w:t>
            </w:r>
          </w:p>
          <w:p>
            <w:pPr>
              <w:spacing w:line="360" w:lineRule="auto"/>
              <w:ind w:firstLine="480" w:firstLineChars="200"/>
              <w:rPr>
                <w:i/>
                <w:iCs/>
                <w:sz w:val="24"/>
                <w:u w:val="single"/>
              </w:rPr>
            </w:pPr>
            <w:r>
              <w:rPr>
                <w:rFonts w:hint="eastAsia"/>
                <w:i/>
                <w:iCs/>
                <w:sz w:val="24"/>
                <w:u w:val="single"/>
              </w:rPr>
              <w:t>（2）拆解前预处理</w:t>
            </w:r>
          </w:p>
          <w:p>
            <w:pPr>
              <w:widowControl/>
              <w:spacing w:line="360" w:lineRule="auto"/>
              <w:ind w:firstLine="480" w:firstLineChars="200"/>
              <w:jc w:val="left"/>
              <w:rPr>
                <w:i/>
                <w:iCs/>
                <w:u w:val="single"/>
              </w:rPr>
            </w:pPr>
            <w:r>
              <w:rPr>
                <w:rFonts w:hint="eastAsia" w:ascii="宋体" w:hAnsi="宋体" w:cs="宋体"/>
                <w:i/>
                <w:iCs/>
                <w:color w:val="000000"/>
                <w:kern w:val="0"/>
                <w:sz w:val="24"/>
                <w:u w:val="single"/>
              </w:rPr>
              <w:t>预拆解主要内容为：</w:t>
            </w:r>
            <w:r>
              <w:rPr>
                <w:rFonts w:hint="eastAsia"/>
                <w:i/>
                <w:iCs/>
                <w:sz w:val="24"/>
                <w:u w:val="single"/>
              </w:rPr>
              <w:t>在正式拆解前，</w:t>
            </w:r>
            <w:r>
              <w:rPr>
                <w:rFonts w:hint="eastAsia" w:ascii="宋体" w:hAnsi="宋体" w:cs="宋体"/>
                <w:i/>
                <w:iCs/>
                <w:color w:val="000000"/>
                <w:kern w:val="0"/>
                <w:sz w:val="24"/>
                <w:u w:val="single"/>
              </w:rPr>
              <w:t>先对报废农业机械进行清洁处理，通过干式清洁去除机械外部的非原机所属的覆盖物；在拆解预处理时排空并分类收集农业机械内的废液，所有废液应排放干净，采用抽油机用于残存汽油、柴油的排放。倒入集油桶中</w:t>
            </w:r>
            <w:r>
              <w:rPr>
                <w:rFonts w:hint="eastAsia"/>
                <w:i/>
                <w:iCs/>
                <w:sz w:val="24"/>
                <w:u w:val="single"/>
              </w:rPr>
              <w:t>，废油液包括废润滑油、废防冻液等，采用真空废油抽取一体机，在油液排空区放置托盘，避免废油液泄漏渗入地下。</w:t>
            </w:r>
            <w:r>
              <w:rPr>
                <w:rFonts w:hint="eastAsia" w:ascii="宋体" w:hAnsi="宋体" w:cs="宋体"/>
                <w:i/>
                <w:iCs/>
                <w:color w:val="000000"/>
                <w:kern w:val="0"/>
                <w:sz w:val="24"/>
                <w:u w:val="single"/>
              </w:rPr>
              <w:t>拆除蓄电池、废玻璃等外围附属件。对于蓄电池等拆解物，本项目不进行进一步拆解或加工。</w:t>
            </w:r>
          </w:p>
          <w:p>
            <w:pPr>
              <w:widowControl/>
              <w:spacing w:line="360" w:lineRule="auto"/>
              <w:ind w:firstLine="480" w:firstLineChars="200"/>
              <w:jc w:val="left"/>
              <w:rPr>
                <w:i/>
                <w:iCs/>
                <w:u w:val="single"/>
              </w:rPr>
            </w:pPr>
            <w:r>
              <w:rPr>
                <w:rFonts w:hint="eastAsia" w:ascii="宋体" w:hAnsi="宋体" w:cs="宋体"/>
                <w:i/>
                <w:iCs/>
                <w:color w:val="000000"/>
                <w:kern w:val="0"/>
                <w:sz w:val="24"/>
                <w:u w:val="single"/>
              </w:rPr>
              <w:t>预拆解产生的废油液（主要包括废机油、剩余燃油、制动液、废防冻液）、废蓄电池等危险废物进行分类存储，分别装存于专用容器内，暂存于危废贮存库，定期交有资质单位处理。</w:t>
            </w:r>
          </w:p>
          <w:p>
            <w:pPr>
              <w:widowControl/>
              <w:spacing w:line="360" w:lineRule="auto"/>
              <w:ind w:firstLine="480" w:firstLineChars="200"/>
              <w:jc w:val="left"/>
              <w:rPr>
                <w:i/>
                <w:iCs/>
                <w:sz w:val="24"/>
                <w:u w:val="single"/>
              </w:rPr>
            </w:pPr>
            <w:r>
              <w:rPr>
                <w:rFonts w:hint="eastAsia" w:ascii="宋体" w:hAnsi="宋体" w:cs="宋体"/>
                <w:i/>
                <w:iCs/>
                <w:color w:val="000000"/>
                <w:kern w:val="0"/>
                <w:sz w:val="24"/>
                <w:u w:val="single"/>
              </w:rPr>
              <w:t>（3）解体拆解</w:t>
            </w:r>
          </w:p>
          <w:p>
            <w:pPr>
              <w:widowControl/>
              <w:spacing w:line="360" w:lineRule="auto"/>
              <w:ind w:firstLine="480" w:firstLineChars="200"/>
              <w:jc w:val="left"/>
              <w:rPr>
                <w:i/>
                <w:iCs/>
                <w:sz w:val="24"/>
                <w:u w:val="single"/>
              </w:rPr>
            </w:pPr>
            <w:r>
              <w:rPr>
                <w:rFonts w:hint="eastAsia" w:ascii="宋体" w:hAnsi="宋体" w:cs="宋体"/>
                <w:i/>
                <w:iCs/>
                <w:color w:val="000000"/>
                <w:kern w:val="0"/>
                <w:sz w:val="24"/>
                <w:u w:val="single"/>
              </w:rPr>
              <w:t>本项目解体拆解主要针对报废农机机体进行拆解，解体拆解流程如下：</w:t>
            </w:r>
          </w:p>
          <w:p>
            <w:pPr>
              <w:widowControl/>
              <w:spacing w:line="360" w:lineRule="auto"/>
              <w:ind w:firstLine="480" w:firstLineChars="200"/>
              <w:jc w:val="left"/>
              <w:rPr>
                <w:i/>
                <w:iCs/>
                <w:sz w:val="24"/>
                <w:u w:val="single"/>
              </w:rPr>
            </w:pPr>
            <w:r>
              <w:rPr>
                <w:rFonts w:hint="eastAsia" w:ascii="宋体" w:hAnsi="宋体" w:cs="宋体"/>
                <w:i/>
                <w:iCs/>
                <w:color w:val="000000"/>
                <w:kern w:val="0"/>
                <w:sz w:val="24"/>
                <w:u w:val="single"/>
              </w:rPr>
              <w:t xml:space="preserve">①拆下油箱； </w:t>
            </w:r>
          </w:p>
          <w:p>
            <w:pPr>
              <w:widowControl/>
              <w:spacing w:line="360" w:lineRule="auto"/>
              <w:ind w:firstLine="480" w:firstLineChars="200"/>
              <w:jc w:val="left"/>
              <w:rPr>
                <w:i/>
                <w:iCs/>
                <w:sz w:val="24"/>
                <w:u w:val="single"/>
              </w:rPr>
            </w:pPr>
            <w:r>
              <w:rPr>
                <w:rFonts w:hint="eastAsia" w:ascii="宋体" w:hAnsi="宋体" w:cs="宋体"/>
                <w:i/>
                <w:iCs/>
                <w:color w:val="000000"/>
                <w:kern w:val="0"/>
                <w:sz w:val="24"/>
                <w:u w:val="single"/>
              </w:rPr>
              <w:t xml:space="preserve">②拆除各类滤清器； </w:t>
            </w:r>
          </w:p>
          <w:p>
            <w:pPr>
              <w:widowControl/>
              <w:spacing w:line="360" w:lineRule="auto"/>
              <w:ind w:firstLine="480" w:firstLineChars="200"/>
              <w:jc w:val="left"/>
              <w:rPr>
                <w:i/>
                <w:iCs/>
                <w:sz w:val="24"/>
                <w:u w:val="single"/>
              </w:rPr>
            </w:pPr>
            <w:r>
              <w:rPr>
                <w:rFonts w:hint="eastAsia" w:ascii="宋体" w:hAnsi="宋体" w:cs="宋体"/>
                <w:i/>
                <w:iCs/>
                <w:color w:val="000000"/>
                <w:kern w:val="0"/>
                <w:sz w:val="24"/>
                <w:u w:val="single"/>
              </w:rPr>
              <w:t>③拆除玻璃；</w:t>
            </w:r>
          </w:p>
          <w:p>
            <w:pPr>
              <w:widowControl/>
              <w:spacing w:line="360" w:lineRule="auto"/>
              <w:ind w:firstLine="480" w:firstLineChars="200"/>
              <w:jc w:val="left"/>
              <w:rPr>
                <w:i/>
                <w:iCs/>
                <w:sz w:val="24"/>
                <w:u w:val="single"/>
              </w:rPr>
            </w:pPr>
            <w:r>
              <w:rPr>
                <w:rFonts w:hint="eastAsia" w:ascii="宋体" w:hAnsi="宋体" w:cs="宋体"/>
                <w:i/>
                <w:iCs/>
                <w:color w:val="000000"/>
                <w:kern w:val="0"/>
                <w:sz w:val="24"/>
                <w:u w:val="single"/>
              </w:rPr>
              <w:t xml:space="preserve">④拆除进、排气管、电气设备； </w:t>
            </w:r>
          </w:p>
          <w:p>
            <w:pPr>
              <w:widowControl/>
              <w:spacing w:line="360" w:lineRule="auto"/>
              <w:ind w:firstLine="480" w:firstLineChars="200"/>
              <w:jc w:val="left"/>
              <w:rPr>
                <w:i/>
                <w:iCs/>
                <w:sz w:val="24"/>
                <w:u w:val="single"/>
              </w:rPr>
            </w:pPr>
            <w:r>
              <w:rPr>
                <w:rFonts w:hint="eastAsia" w:ascii="宋体" w:hAnsi="宋体" w:cs="宋体"/>
                <w:i/>
                <w:iCs/>
                <w:color w:val="000000"/>
                <w:kern w:val="0"/>
                <w:sz w:val="24"/>
                <w:u w:val="single"/>
              </w:rPr>
              <w:t xml:space="preserve">⑤拆除车轮、轮胎履带等行走装置； </w:t>
            </w:r>
          </w:p>
          <w:p>
            <w:pPr>
              <w:widowControl/>
              <w:spacing w:line="360" w:lineRule="auto"/>
              <w:ind w:firstLine="480" w:firstLineChars="200"/>
              <w:jc w:val="left"/>
              <w:rPr>
                <w:i/>
                <w:iCs/>
                <w:sz w:val="24"/>
                <w:u w:val="single"/>
              </w:rPr>
            </w:pPr>
            <w:r>
              <w:rPr>
                <w:rFonts w:hint="eastAsia" w:ascii="宋体" w:hAnsi="宋体" w:cs="宋体"/>
                <w:i/>
                <w:iCs/>
                <w:color w:val="000000"/>
                <w:kern w:val="0"/>
                <w:sz w:val="24"/>
                <w:u w:val="single"/>
              </w:rPr>
              <w:t xml:space="preserve">⑥拆除含金属铜、铝、镁等能有效回收的部件； </w:t>
            </w:r>
          </w:p>
          <w:p>
            <w:pPr>
              <w:widowControl/>
              <w:spacing w:line="360" w:lineRule="auto"/>
              <w:ind w:firstLine="480" w:firstLineChars="200"/>
              <w:jc w:val="left"/>
              <w:rPr>
                <w:i/>
                <w:iCs/>
                <w:sz w:val="24"/>
                <w:u w:val="single"/>
              </w:rPr>
            </w:pPr>
            <w:r>
              <w:rPr>
                <w:rFonts w:hint="eastAsia" w:ascii="宋体" w:hAnsi="宋体" w:cs="宋体"/>
                <w:i/>
                <w:iCs/>
                <w:color w:val="000000"/>
                <w:kern w:val="0"/>
                <w:sz w:val="24"/>
                <w:u w:val="single"/>
              </w:rPr>
              <w:t xml:space="preserve">⑦拆除各种塑料件； </w:t>
            </w:r>
          </w:p>
          <w:p>
            <w:pPr>
              <w:widowControl/>
              <w:spacing w:line="360" w:lineRule="auto"/>
              <w:ind w:firstLine="480" w:firstLineChars="200"/>
              <w:jc w:val="left"/>
              <w:rPr>
                <w:i/>
                <w:iCs/>
                <w:sz w:val="24"/>
                <w:u w:val="single"/>
              </w:rPr>
            </w:pPr>
            <w:r>
              <w:rPr>
                <w:rFonts w:hint="eastAsia" w:ascii="宋体" w:hAnsi="宋体" w:cs="宋体"/>
                <w:i/>
                <w:iCs/>
                <w:color w:val="000000"/>
                <w:kern w:val="0"/>
                <w:sz w:val="24"/>
                <w:u w:val="single"/>
              </w:rPr>
              <w:t xml:space="preserve">⑧拆除橡胶制品部件； </w:t>
            </w:r>
          </w:p>
          <w:p>
            <w:pPr>
              <w:widowControl/>
              <w:spacing w:line="360" w:lineRule="auto"/>
              <w:ind w:firstLine="480" w:firstLineChars="200"/>
              <w:jc w:val="left"/>
              <w:rPr>
                <w:i/>
                <w:iCs/>
                <w:sz w:val="24"/>
                <w:u w:val="single"/>
              </w:rPr>
            </w:pPr>
            <w:r>
              <w:rPr>
                <w:rFonts w:hint="eastAsia" w:ascii="宋体" w:hAnsi="宋体" w:cs="宋体"/>
                <w:i/>
                <w:iCs/>
                <w:color w:val="000000"/>
                <w:kern w:val="0"/>
                <w:sz w:val="24"/>
                <w:u w:val="single"/>
              </w:rPr>
              <w:t xml:space="preserve">⑨拆解有关总成和其他零部件。 </w:t>
            </w:r>
          </w:p>
          <w:p>
            <w:pPr>
              <w:widowControl/>
              <w:spacing w:line="360" w:lineRule="auto"/>
              <w:ind w:firstLine="480" w:firstLineChars="200"/>
              <w:jc w:val="left"/>
              <w:rPr>
                <w:i/>
                <w:iCs/>
                <w:u w:val="single"/>
              </w:rPr>
            </w:pPr>
            <w:r>
              <w:rPr>
                <w:rFonts w:hint="eastAsia" w:ascii="宋体" w:hAnsi="宋体" w:cs="宋体"/>
                <w:i/>
                <w:iCs/>
                <w:color w:val="000000"/>
                <w:kern w:val="0"/>
                <w:sz w:val="24"/>
                <w:u w:val="single"/>
              </w:rPr>
              <w:t>拆解过程中对出现泄漏的地方，应采取适当的方式收集泄漏的液体或封住泄漏处，防止废液渗入地下。</w:t>
            </w:r>
          </w:p>
          <w:p>
            <w:pPr>
              <w:widowControl/>
              <w:spacing w:line="360" w:lineRule="auto"/>
              <w:ind w:firstLine="480" w:firstLineChars="200"/>
              <w:jc w:val="left"/>
              <w:rPr>
                <w:i/>
                <w:iCs/>
                <w:sz w:val="24"/>
                <w:u w:val="single"/>
              </w:rPr>
            </w:pPr>
            <w:r>
              <w:rPr>
                <w:rFonts w:hint="eastAsia" w:ascii="宋体" w:hAnsi="宋体" w:cs="宋体"/>
                <w:i/>
                <w:iCs/>
                <w:color w:val="000000"/>
                <w:kern w:val="0"/>
                <w:sz w:val="24"/>
                <w:u w:val="single"/>
              </w:rPr>
              <w:t>拆解产物包括毁形总成、废橡胶、废玻璃、钢铁、可用零部件、有色金属、废塑料、纤维、皮革等一般固体拆解物；以及废油箱、废尾气净化装置、废机油滤清器和电容器等危险废物。一般固体拆解物外售下游回收单位；危险废物分类暂存于危险废物贮存库，定期交有资质单位进行处理。</w:t>
            </w:r>
          </w:p>
          <w:p>
            <w:pPr>
              <w:spacing w:line="360" w:lineRule="auto"/>
              <w:ind w:firstLine="480" w:firstLineChars="200"/>
              <w:rPr>
                <w:i/>
                <w:iCs/>
                <w:sz w:val="24"/>
                <w:u w:val="single"/>
              </w:rPr>
            </w:pPr>
            <w:r>
              <w:rPr>
                <w:rFonts w:hint="eastAsia"/>
                <w:i/>
                <w:iCs/>
                <w:sz w:val="24"/>
                <w:u w:val="single"/>
              </w:rPr>
              <w:t>（4）总成拆除</w:t>
            </w:r>
          </w:p>
          <w:p>
            <w:pPr>
              <w:spacing w:line="360" w:lineRule="auto"/>
              <w:ind w:firstLine="480" w:firstLineChars="200"/>
              <w:rPr>
                <w:i/>
                <w:iCs/>
                <w:sz w:val="24"/>
                <w:u w:val="single"/>
              </w:rPr>
            </w:pPr>
            <w:r>
              <w:rPr>
                <w:rFonts w:hint="eastAsia"/>
                <w:i/>
                <w:iCs/>
                <w:sz w:val="24"/>
                <w:u w:val="single"/>
              </w:rPr>
              <w:t>拆下发动机及变速箱等总成，并按《报废农业机械回收拆解技术规范》对以上总成进行毁形（留证）、解体。从结构复杂性与操纵舒适性两方面来说，农业机械通常比汽车简单许多、操纵性能要求也低，故其总成数较少。本项目采用液压剪挖机和重型鹰嘴剪进行剪断处理。</w:t>
            </w:r>
          </w:p>
          <w:p>
            <w:pPr>
              <w:spacing w:line="360" w:lineRule="auto"/>
              <w:ind w:left="420" w:leftChars="200"/>
              <w:rPr>
                <w:i/>
                <w:iCs/>
                <w:sz w:val="24"/>
                <w:u w:val="single"/>
              </w:rPr>
            </w:pPr>
            <w:r>
              <w:rPr>
                <w:rFonts w:hint="eastAsia" w:ascii="宋体" w:hAnsi="宋体" w:cs="宋体"/>
                <w:i/>
                <w:iCs/>
                <w:kern w:val="0"/>
                <w:sz w:val="24"/>
                <w:u w:val="single"/>
              </w:rPr>
              <w:t>（5）机架解体</w:t>
            </w:r>
          </w:p>
          <w:p>
            <w:pPr>
              <w:widowControl/>
              <w:spacing w:line="360" w:lineRule="auto"/>
              <w:ind w:firstLine="480" w:firstLineChars="200"/>
              <w:jc w:val="left"/>
              <w:rPr>
                <w:rFonts w:ascii="宋体" w:hAnsi="宋体" w:cs="宋体"/>
                <w:i/>
                <w:iCs/>
                <w:color w:val="000000"/>
                <w:kern w:val="0"/>
                <w:sz w:val="24"/>
                <w:u w:val="single"/>
              </w:rPr>
            </w:pPr>
            <w:r>
              <w:rPr>
                <w:rFonts w:hint="eastAsia" w:ascii="宋体" w:hAnsi="宋体" w:cs="宋体"/>
                <w:i/>
                <w:iCs/>
                <w:color w:val="000000"/>
                <w:kern w:val="0"/>
                <w:sz w:val="24"/>
                <w:u w:val="single"/>
              </w:rPr>
              <w:t>对拆除总成后的整体机架进行解体，在拆解区进行，机架拆解以能对拆解物进行粗略归类为原则。视局部结构与可拆性的差异，用</w:t>
            </w:r>
            <w:r>
              <w:rPr>
                <w:rFonts w:hint="eastAsia"/>
                <w:i/>
                <w:iCs/>
                <w:sz w:val="24"/>
                <w:u w:val="single"/>
              </w:rPr>
              <w:t>重型鹰嘴剪</w:t>
            </w:r>
            <w:r>
              <w:rPr>
                <w:rFonts w:hint="eastAsia" w:ascii="宋体" w:hAnsi="宋体" w:cs="宋体"/>
                <w:i/>
                <w:iCs/>
                <w:color w:val="000000"/>
                <w:kern w:val="0"/>
                <w:sz w:val="24"/>
                <w:u w:val="single"/>
              </w:rPr>
              <w:t>、小型工具进行解体。</w:t>
            </w:r>
          </w:p>
          <w:p>
            <w:pPr>
              <w:widowControl/>
              <w:spacing w:line="360" w:lineRule="auto"/>
              <w:ind w:firstLine="480" w:firstLineChars="200"/>
              <w:rPr>
                <w:rFonts w:ascii="宋体" w:hAnsi="宋体" w:cs="宋体"/>
                <w:i/>
                <w:iCs/>
                <w:sz w:val="24"/>
                <w:u w:val="single"/>
              </w:rPr>
            </w:pPr>
            <w:r>
              <w:rPr>
                <w:rFonts w:hint="eastAsia" w:ascii="宋体" w:hAnsi="宋体" w:cs="宋体"/>
                <w:i/>
                <w:iCs/>
                <w:color w:val="000000"/>
                <w:kern w:val="0"/>
                <w:sz w:val="24"/>
                <w:u w:val="single"/>
              </w:rPr>
              <w:t xml:space="preserve">（6）拆解前存储 </w:t>
            </w:r>
          </w:p>
          <w:p>
            <w:pPr>
              <w:widowControl/>
              <w:spacing w:line="360" w:lineRule="auto"/>
              <w:ind w:firstLine="480" w:firstLineChars="200"/>
              <w:rPr>
                <w:rFonts w:ascii="宋体" w:hAnsi="宋体" w:cs="宋体"/>
                <w:i/>
                <w:iCs/>
                <w:sz w:val="24"/>
                <w:u w:val="single"/>
              </w:rPr>
            </w:pPr>
            <w:r>
              <w:rPr>
                <w:rFonts w:hint="eastAsia" w:ascii="宋体" w:hAnsi="宋体" w:cs="宋体"/>
                <w:i/>
                <w:iCs/>
                <w:color w:val="000000"/>
                <w:kern w:val="0"/>
                <w:sz w:val="24"/>
                <w:u w:val="single"/>
              </w:rPr>
              <w:t xml:space="preserve">①报废农业机械存储应与其他废弃物存储分开，应避免侧放、倒放。 </w:t>
            </w:r>
          </w:p>
          <w:p>
            <w:pPr>
              <w:widowControl/>
              <w:spacing w:line="360" w:lineRule="auto"/>
              <w:ind w:firstLine="480" w:firstLineChars="200"/>
              <w:rPr>
                <w:rFonts w:ascii="宋体" w:hAnsi="宋体" w:cs="宋体"/>
                <w:i/>
                <w:iCs/>
                <w:sz w:val="24"/>
                <w:u w:val="single"/>
              </w:rPr>
            </w:pPr>
            <w:r>
              <w:rPr>
                <w:rFonts w:hint="eastAsia" w:ascii="宋体" w:hAnsi="宋体" w:cs="宋体"/>
                <w:i/>
                <w:iCs/>
                <w:color w:val="000000"/>
                <w:kern w:val="0"/>
                <w:sz w:val="24"/>
                <w:u w:val="single"/>
              </w:rPr>
              <w:t xml:space="preserve">②如需要叠放，应做到堆放合理，方便装卸，保障人身财产安全。 </w:t>
            </w:r>
          </w:p>
          <w:p>
            <w:pPr>
              <w:widowControl/>
              <w:spacing w:line="360" w:lineRule="auto"/>
              <w:ind w:firstLine="480" w:firstLineChars="200"/>
              <w:rPr>
                <w:rFonts w:ascii="宋体" w:hAnsi="宋体" w:cs="宋体"/>
                <w:i/>
                <w:iCs/>
                <w:sz w:val="24"/>
                <w:u w:val="single"/>
              </w:rPr>
            </w:pPr>
            <w:r>
              <w:rPr>
                <w:rFonts w:hint="eastAsia" w:ascii="宋体" w:hAnsi="宋体" w:cs="宋体"/>
                <w:i/>
                <w:iCs/>
                <w:color w:val="000000"/>
                <w:kern w:val="0"/>
                <w:sz w:val="24"/>
                <w:u w:val="single"/>
              </w:rPr>
              <w:t xml:space="preserve">③回收报废农业机械后，应在6个月之内将其拆解完毕。 </w:t>
            </w:r>
          </w:p>
          <w:p>
            <w:pPr>
              <w:widowControl/>
              <w:spacing w:line="360" w:lineRule="auto"/>
              <w:ind w:firstLine="480" w:firstLineChars="200"/>
              <w:rPr>
                <w:rFonts w:ascii="宋体" w:hAnsi="宋体" w:cs="宋体"/>
                <w:i/>
                <w:iCs/>
                <w:sz w:val="24"/>
                <w:u w:val="single"/>
              </w:rPr>
            </w:pPr>
            <w:r>
              <w:rPr>
                <w:rFonts w:hint="eastAsia" w:ascii="宋体" w:hAnsi="宋体" w:cs="宋体"/>
                <w:i/>
                <w:iCs/>
                <w:color w:val="000000"/>
                <w:kern w:val="0"/>
                <w:sz w:val="24"/>
                <w:u w:val="single"/>
              </w:rPr>
              <w:t xml:space="preserve">（7）拆解后存储与处置 </w:t>
            </w:r>
          </w:p>
          <w:p>
            <w:pPr>
              <w:widowControl/>
              <w:spacing w:line="360" w:lineRule="auto"/>
              <w:ind w:firstLine="480" w:firstLineChars="200"/>
              <w:rPr>
                <w:rFonts w:ascii="宋体" w:hAnsi="宋体" w:cs="宋体"/>
                <w:i/>
                <w:iCs/>
                <w:sz w:val="24"/>
                <w:u w:val="single"/>
              </w:rPr>
            </w:pPr>
            <w:r>
              <w:rPr>
                <w:rFonts w:hint="eastAsia" w:ascii="宋体" w:hAnsi="宋体" w:cs="宋体"/>
                <w:i/>
                <w:iCs/>
                <w:color w:val="000000"/>
                <w:kern w:val="0"/>
                <w:sz w:val="24"/>
                <w:u w:val="single"/>
              </w:rPr>
              <w:t>报废农机拆解后的拆解物包括一般固体废物和危险废物，拆解物的拆解后存储与处置要求如下：</w:t>
            </w:r>
          </w:p>
          <w:p>
            <w:pPr>
              <w:widowControl/>
              <w:spacing w:line="360" w:lineRule="auto"/>
              <w:ind w:firstLine="480" w:firstLineChars="200"/>
              <w:rPr>
                <w:rFonts w:ascii="宋体" w:hAnsi="宋体" w:cs="宋体"/>
                <w:i/>
                <w:iCs/>
                <w:sz w:val="24"/>
                <w:u w:val="single"/>
              </w:rPr>
            </w:pPr>
            <w:r>
              <w:rPr>
                <w:rFonts w:hint="eastAsia" w:ascii="宋体" w:hAnsi="宋体" w:cs="宋体"/>
                <w:i/>
                <w:iCs/>
                <w:color w:val="000000"/>
                <w:kern w:val="0"/>
                <w:sz w:val="24"/>
                <w:u w:val="single"/>
              </w:rPr>
              <w:t>①废液应使用专用密闭容器存储，容器应具有防漏、防洒溅、防挥发属性，并交给合法的、有资质的废液回收处理企业。</w:t>
            </w:r>
          </w:p>
          <w:p>
            <w:pPr>
              <w:widowControl/>
              <w:spacing w:line="360" w:lineRule="auto"/>
              <w:ind w:firstLine="480" w:firstLineChars="200"/>
              <w:rPr>
                <w:rFonts w:ascii="宋体" w:hAnsi="宋体" w:cs="宋体"/>
                <w:i/>
                <w:iCs/>
                <w:sz w:val="24"/>
                <w:u w:val="single"/>
              </w:rPr>
            </w:pPr>
            <w:r>
              <w:rPr>
                <w:rFonts w:hint="eastAsia" w:ascii="宋体" w:hAnsi="宋体" w:cs="宋体"/>
                <w:i/>
                <w:iCs/>
                <w:color w:val="000000"/>
                <w:kern w:val="0"/>
                <w:sz w:val="24"/>
                <w:u w:val="single"/>
              </w:rPr>
              <w:t>②拆解后的所有的零部件、材料、废物，应进行分类存储和标识，废物不得焚烧、丢弃。</w:t>
            </w:r>
          </w:p>
          <w:p>
            <w:pPr>
              <w:widowControl/>
              <w:spacing w:line="360" w:lineRule="auto"/>
              <w:ind w:firstLine="480" w:firstLineChars="200"/>
              <w:rPr>
                <w:rFonts w:ascii="宋体" w:hAnsi="宋体" w:cs="宋体"/>
                <w:i/>
                <w:iCs/>
                <w:sz w:val="24"/>
                <w:u w:val="single"/>
              </w:rPr>
            </w:pPr>
            <w:r>
              <w:rPr>
                <w:rFonts w:hint="eastAsia" w:ascii="宋体" w:hAnsi="宋体" w:cs="宋体"/>
                <w:i/>
                <w:iCs/>
                <w:color w:val="000000"/>
                <w:kern w:val="0"/>
                <w:sz w:val="24"/>
                <w:u w:val="single"/>
              </w:rPr>
              <w:t>③拆解后一般固体废物的存储和处置应按照《一般工业固体废物贮存和填埋污染控制标准》（GB18599-2020）的规定执行。</w:t>
            </w:r>
          </w:p>
          <w:p>
            <w:pPr>
              <w:widowControl/>
              <w:spacing w:line="360" w:lineRule="auto"/>
              <w:ind w:firstLine="480" w:firstLineChars="200"/>
              <w:rPr>
                <w:rFonts w:ascii="宋体" w:hAnsi="宋体" w:cs="宋体"/>
                <w:i/>
                <w:iCs/>
                <w:sz w:val="24"/>
                <w:u w:val="single"/>
              </w:rPr>
            </w:pPr>
            <w:r>
              <w:rPr>
                <w:rFonts w:hint="eastAsia" w:ascii="宋体" w:hAnsi="宋体" w:cs="宋体"/>
                <w:i/>
                <w:iCs/>
                <w:color w:val="000000"/>
                <w:kern w:val="0"/>
                <w:sz w:val="24"/>
                <w:u w:val="single"/>
              </w:rPr>
              <w:t>④拆解后有毒有害的危险废物的存储和处置应按照《危险废物贮存污染控制标准》（GB18597-2023）规定执行，危险废物应交由具有相应资质的单位进行处置。</w:t>
            </w:r>
          </w:p>
          <w:p>
            <w:pPr>
              <w:widowControl/>
              <w:spacing w:line="360" w:lineRule="auto"/>
              <w:ind w:firstLine="480" w:firstLineChars="200"/>
              <w:rPr>
                <w:rFonts w:ascii="宋体" w:hAnsi="宋体" w:cs="宋体"/>
                <w:i/>
                <w:iCs/>
                <w:color w:val="000000"/>
                <w:kern w:val="0"/>
                <w:sz w:val="24"/>
                <w:u w:val="single"/>
              </w:rPr>
            </w:pPr>
            <w:r>
              <w:rPr>
                <w:rFonts w:hint="eastAsia" w:ascii="宋体" w:hAnsi="宋体" w:cs="宋体"/>
                <w:i/>
                <w:iCs/>
                <w:color w:val="000000"/>
                <w:kern w:val="0"/>
                <w:sz w:val="24"/>
                <w:u w:val="single"/>
              </w:rPr>
              <w:t>⑤拆</w:t>
            </w:r>
            <w:r>
              <w:rPr>
                <w:rFonts w:ascii="宋体" w:hAnsi="宋体" w:cs="宋体"/>
                <w:i/>
                <w:iCs/>
                <w:color w:val="000000"/>
                <w:kern w:val="0"/>
                <w:sz w:val="24"/>
                <w:u w:val="single"/>
              </w:rPr>
              <w:t>解产生的废钢铁经人工分拣后，送入卧式液压打包机挤压成型为规整包块，暂存后外售综合利用。</w:t>
            </w:r>
          </w:p>
          <w:p>
            <w:pPr>
              <w:widowControl/>
              <w:spacing w:line="360" w:lineRule="auto"/>
              <w:ind w:firstLine="480" w:firstLineChars="200"/>
              <w:rPr>
                <w:rFonts w:ascii="宋体" w:hAnsi="宋体" w:cs="宋体"/>
                <w:i/>
                <w:iCs/>
                <w:sz w:val="24"/>
                <w:u w:val="single"/>
              </w:rPr>
            </w:pPr>
            <w:r>
              <w:rPr>
                <w:rFonts w:hint="eastAsia" w:ascii="宋体" w:hAnsi="宋体" w:cs="宋体"/>
                <w:i/>
                <w:iCs/>
                <w:color w:val="000000"/>
                <w:kern w:val="0"/>
                <w:sz w:val="24"/>
                <w:u w:val="single"/>
              </w:rPr>
              <w:t>⑥本项目农机拆解工艺流程满足《报废农业机械回收拆解技术规范》</w:t>
            </w:r>
          </w:p>
          <w:p>
            <w:pPr>
              <w:widowControl/>
              <w:spacing w:line="360" w:lineRule="auto"/>
              <w:rPr>
                <w:rFonts w:ascii="宋体" w:hAnsi="宋体" w:cs="宋体"/>
                <w:i/>
                <w:iCs/>
                <w:color w:val="000000"/>
                <w:kern w:val="0"/>
                <w:sz w:val="24"/>
                <w:u w:val="single"/>
              </w:rPr>
            </w:pPr>
            <w:r>
              <w:rPr>
                <w:rFonts w:hint="eastAsia" w:ascii="宋体" w:hAnsi="宋体" w:cs="宋体"/>
                <w:i/>
                <w:iCs/>
                <w:color w:val="000000"/>
                <w:kern w:val="0"/>
                <w:sz w:val="24"/>
                <w:u w:val="single"/>
              </w:rPr>
              <w:t>（NY/T2900-2022）中相关要求。</w:t>
            </w:r>
          </w:p>
          <w:p>
            <w:pPr>
              <w:widowControl/>
              <w:spacing w:line="360" w:lineRule="auto"/>
              <w:ind w:firstLine="480" w:firstLineChars="200"/>
              <w:jc w:val="left"/>
              <w:rPr>
                <w:rFonts w:ascii="宋体" w:hAnsi="宋体" w:cs="宋体"/>
                <w:i/>
                <w:iCs/>
                <w:sz w:val="24"/>
                <w:u w:val="single"/>
              </w:rPr>
            </w:pPr>
            <w:r>
              <w:rPr>
                <w:rFonts w:hint="eastAsia" w:ascii="宋体" w:hAnsi="宋体" w:cs="宋体"/>
                <w:i/>
                <w:iCs/>
                <w:color w:val="000000"/>
                <w:kern w:val="0"/>
                <w:sz w:val="24"/>
                <w:u w:val="single"/>
              </w:rPr>
              <w:t xml:space="preserve">（8）拆解深度 </w:t>
            </w:r>
          </w:p>
          <w:p>
            <w:pPr>
              <w:widowControl/>
              <w:spacing w:line="360" w:lineRule="auto"/>
              <w:ind w:firstLine="480" w:firstLineChars="200"/>
              <w:jc w:val="left"/>
              <w:rPr>
                <w:rFonts w:ascii="宋体" w:hAnsi="宋体" w:cs="宋体"/>
                <w:i/>
                <w:iCs/>
                <w:sz w:val="24"/>
                <w:u w:val="single"/>
              </w:rPr>
            </w:pPr>
            <w:r>
              <w:rPr>
                <w:rFonts w:hint="eastAsia" w:ascii="宋体" w:hAnsi="宋体" w:cs="宋体"/>
                <w:i/>
                <w:iCs/>
                <w:color w:val="000000"/>
                <w:kern w:val="0"/>
                <w:sz w:val="24"/>
                <w:u w:val="single"/>
              </w:rPr>
              <w:t xml:space="preserve">本项目仅进行报废农机的拆解，各种配件不进行进一步的拆分和处置，具体如下： </w:t>
            </w:r>
          </w:p>
          <w:p>
            <w:pPr>
              <w:widowControl/>
              <w:spacing w:line="360" w:lineRule="auto"/>
              <w:ind w:firstLine="480" w:firstLineChars="200"/>
              <w:jc w:val="left"/>
              <w:rPr>
                <w:rFonts w:ascii="宋体" w:hAnsi="宋体" w:cs="宋体"/>
                <w:i/>
                <w:iCs/>
                <w:sz w:val="24"/>
                <w:u w:val="single"/>
              </w:rPr>
            </w:pPr>
            <w:r>
              <w:rPr>
                <w:rFonts w:hint="eastAsia" w:ascii="宋体" w:hAnsi="宋体" w:cs="宋体"/>
                <w:i/>
                <w:iCs/>
                <w:color w:val="000000"/>
                <w:kern w:val="0"/>
                <w:sz w:val="24"/>
                <w:u w:val="single"/>
              </w:rPr>
              <w:t>①发动机根据行业相关规定，从农机上拆除下来后，首先在发动机体上开一个至少5cm</w:t>
            </w:r>
            <w:r>
              <w:rPr>
                <w:rFonts w:hint="eastAsia" w:ascii="宋体" w:hAnsi="宋体" w:cs="宋体"/>
                <w:i/>
                <w:iCs/>
                <w:color w:val="000000"/>
                <w:kern w:val="0"/>
                <w:sz w:val="24"/>
                <w:u w:val="single"/>
                <w:vertAlign w:val="superscript"/>
              </w:rPr>
              <w:t>2</w:t>
            </w:r>
            <w:r>
              <w:rPr>
                <w:rFonts w:hint="eastAsia" w:ascii="宋体" w:hAnsi="宋体" w:cs="宋体"/>
                <w:i/>
                <w:iCs/>
                <w:color w:val="000000"/>
                <w:kern w:val="0"/>
                <w:sz w:val="24"/>
                <w:u w:val="single"/>
              </w:rPr>
              <w:t xml:space="preserve">的孔，保证其不能被再回收利用，最后进行剪切。 </w:t>
            </w:r>
          </w:p>
          <w:p>
            <w:pPr>
              <w:widowControl/>
              <w:spacing w:line="360" w:lineRule="auto"/>
              <w:ind w:firstLine="480" w:firstLineChars="200"/>
              <w:jc w:val="left"/>
              <w:rPr>
                <w:rFonts w:ascii="宋体" w:hAnsi="宋体" w:cs="宋体"/>
                <w:i/>
                <w:iCs/>
                <w:sz w:val="24"/>
                <w:u w:val="single"/>
              </w:rPr>
            </w:pPr>
            <w:r>
              <w:rPr>
                <w:rFonts w:hint="eastAsia" w:ascii="宋体" w:hAnsi="宋体" w:cs="宋体"/>
                <w:i/>
                <w:iCs/>
                <w:color w:val="000000"/>
                <w:kern w:val="0"/>
                <w:sz w:val="24"/>
                <w:u w:val="single"/>
              </w:rPr>
              <w:t xml:space="preserve">②变速器、离合器、传动轴和农机悬架等拆除后，用剪切的方式将其破坏为废钢。 </w:t>
            </w:r>
          </w:p>
          <w:p>
            <w:pPr>
              <w:widowControl/>
              <w:spacing w:line="360" w:lineRule="auto"/>
              <w:ind w:firstLine="480" w:firstLineChars="200"/>
              <w:jc w:val="left"/>
              <w:rPr>
                <w:rFonts w:ascii="宋体" w:hAnsi="宋体" w:cs="宋体"/>
                <w:i/>
                <w:iCs/>
                <w:color w:val="000000"/>
                <w:kern w:val="0"/>
                <w:sz w:val="24"/>
                <w:u w:val="single"/>
              </w:rPr>
            </w:pPr>
            <w:r>
              <w:rPr>
                <w:rFonts w:hint="eastAsia" w:ascii="宋体" w:hAnsi="宋体" w:cs="宋体"/>
                <w:i/>
                <w:iCs/>
                <w:color w:val="000000"/>
                <w:kern w:val="0"/>
                <w:sz w:val="24"/>
                <w:u w:val="single"/>
              </w:rPr>
              <w:t>③拆解下的油箱、水箱、油管等零部件不再进一步清洗。</w:t>
            </w:r>
          </w:p>
          <w:p>
            <w:pPr>
              <w:widowControl/>
              <w:spacing w:line="360" w:lineRule="auto"/>
              <w:ind w:firstLine="482" w:firstLineChars="200"/>
              <w:jc w:val="left"/>
              <w:rPr>
                <w:i/>
                <w:iCs/>
                <w:u w:val="single"/>
              </w:rPr>
            </w:pPr>
            <w:r>
              <w:rPr>
                <w:b/>
                <w:bCs/>
                <w:i/>
                <w:iCs/>
                <w:kern w:val="0"/>
                <w:sz w:val="24"/>
                <w:u w:val="single"/>
              </w:rPr>
              <w:t>2</w:t>
            </w:r>
            <w:r>
              <w:rPr>
                <w:rFonts w:hint="eastAsia" w:ascii="宋体" w:hAnsi="宋体" w:cs="宋体"/>
                <w:b/>
                <w:bCs/>
                <w:i/>
                <w:iCs/>
                <w:kern w:val="0"/>
                <w:sz w:val="24"/>
                <w:u w:val="single"/>
              </w:rPr>
              <w:t xml:space="preserve">、拆解工艺流程及排污节点 </w:t>
            </w:r>
          </w:p>
          <w:p>
            <w:pPr>
              <w:widowControl/>
              <w:spacing w:line="360" w:lineRule="auto"/>
              <w:jc w:val="left"/>
              <w:rPr>
                <w:i/>
                <w:iCs/>
                <w:sz w:val="24"/>
                <w:u w:val="single"/>
              </w:rPr>
            </w:pPr>
            <w:r>
              <w:rPr>
                <w:rFonts w:hint="eastAsia" w:ascii="Times New Roman" w:hAnsi="Times New Roman" w:eastAsia="宋体" w:cs="Times New Roman"/>
                <w:i/>
                <w:iCs/>
                <w:kern w:val="2"/>
                <w:sz w:val="24"/>
                <w:szCs w:val="24"/>
                <w:u w:val="single"/>
                <w:lang w:val="en-US" w:eastAsia="zh-CN" w:bidi="ar-SA"/>
              </w:rPr>
              <w:pict>
                <v:shape id="图片框 1026" o:spid="_x0000_s1027" type="#_x0000_t75" style="height:205.5pt;width:383.15pt;rotation:0f;" o:ole="f" fillcolor="#FFFFFF" filled="f" o:preferrelative="t" stroked="f" coordorigin="0,0" coordsize="21600,21600">
                  <v:fill on="f" color2="#FFFFFF" focus="0%"/>
                  <v:imagedata gain="65536f" blacklevel="0f" gamma="0" o:title="" r:id="rId6"/>
                  <o:lock v:ext="edit" position="f" selection="f" grouping="f" rotation="f" cropping="f" text="f" aspectratio="t"/>
                  <w10:wrap type="none"/>
                  <w10:anchorlock/>
                </v:shape>
              </w:pict>
            </w:r>
          </w:p>
          <w:p>
            <w:pPr>
              <w:jc w:val="center"/>
              <w:rPr>
                <w:rFonts w:ascii="宋体" w:hAnsi="宋体" w:cs="宋体"/>
                <w:b/>
                <w:i/>
                <w:iCs/>
                <w:sz w:val="24"/>
                <w:u w:val="single"/>
              </w:rPr>
            </w:pPr>
            <w:r>
              <w:rPr>
                <w:rFonts w:hint="eastAsia" w:ascii="宋体" w:hAnsi="宋体" w:cs="宋体"/>
                <w:b/>
                <w:i/>
                <w:iCs/>
                <w:sz w:val="24"/>
                <w:u w:val="single"/>
              </w:rPr>
              <w:t>图2-3  运营期生产工艺流程及排污节点图</w:t>
            </w:r>
          </w:p>
          <w:p>
            <w:pPr>
              <w:spacing w:line="360" w:lineRule="auto"/>
              <w:ind w:firstLine="480" w:firstLineChars="200"/>
              <w:rPr>
                <w:i/>
                <w:iCs/>
                <w:sz w:val="24"/>
                <w:u w:val="single"/>
              </w:rPr>
            </w:pPr>
            <w:r>
              <w:rPr>
                <w:rFonts w:hint="eastAsia"/>
                <w:i/>
                <w:iCs/>
                <w:sz w:val="24"/>
                <w:u w:val="single"/>
              </w:rPr>
              <w:t>根据以上分析可知，本项目运营期会产生一定废气、废水、</w:t>
            </w:r>
            <w:r>
              <w:rPr>
                <w:i/>
                <w:iCs/>
                <w:sz w:val="24"/>
                <w:u w:val="single"/>
              </w:rPr>
              <w:t>噪声和固废，具体见表</w:t>
            </w:r>
            <w:r>
              <w:rPr>
                <w:rFonts w:hint="eastAsia"/>
                <w:i/>
                <w:iCs/>
                <w:sz w:val="24"/>
                <w:u w:val="single"/>
              </w:rPr>
              <w:t>2-5。</w:t>
            </w:r>
          </w:p>
          <w:p>
            <w:pPr>
              <w:jc w:val="center"/>
              <w:rPr>
                <w:rFonts w:ascii="宋体" w:hAnsi="宋体" w:cs="宋体"/>
                <w:b/>
                <w:i/>
                <w:iCs/>
                <w:sz w:val="24"/>
                <w:u w:val="single"/>
              </w:rPr>
            </w:pPr>
            <w:r>
              <w:rPr>
                <w:rFonts w:hint="eastAsia" w:ascii="宋体" w:hAnsi="宋体" w:cs="宋体"/>
                <w:b/>
                <w:i/>
                <w:iCs/>
                <w:sz w:val="24"/>
                <w:u w:val="single"/>
              </w:rPr>
              <w:t>表2-5   运营期产生污染物及产污节点分析</w:t>
            </w:r>
          </w:p>
          <w:tbl>
            <w:tblPr>
              <w:tblW w:w="7840"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left w:w="108" w:type="dxa"/>
                <w:right w:w="108" w:type="dxa"/>
              </w:tblCellMar>
            </w:tblPr>
            <w:tblGrid>
              <w:gridCol w:w="1124"/>
              <w:gridCol w:w="1987"/>
              <w:gridCol w:w="2902"/>
              <w:gridCol w:w="1827"/>
            </w:tblGrid>
            <w:tr>
              <w:trPr>
                <w:trHeight w:val="344" w:hRule="atLeast"/>
                <w:jc w:val="center"/>
              </w:trPr>
              <w:tc>
                <w:tcPr>
                  <w:tcW w:w="1124" w:type="dxa"/>
                  <w:vAlign w:val="center"/>
                </w:tcPr>
                <w:p>
                  <w:pPr>
                    <w:adjustRightInd w:val="0"/>
                    <w:snapToGrid w:val="0"/>
                    <w:jc w:val="center"/>
                    <w:rPr>
                      <w:b/>
                      <w:i/>
                      <w:iCs/>
                      <w:szCs w:val="21"/>
                      <w:u w:val="single"/>
                    </w:rPr>
                  </w:pPr>
                  <w:r>
                    <w:rPr>
                      <w:rFonts w:hint="eastAsia"/>
                      <w:b/>
                      <w:i/>
                      <w:iCs/>
                      <w:szCs w:val="21"/>
                      <w:u w:val="single"/>
                    </w:rPr>
                    <w:t>污染类型</w:t>
                  </w:r>
                </w:p>
              </w:tc>
              <w:tc>
                <w:tcPr>
                  <w:tcW w:w="1987" w:type="dxa"/>
                  <w:vAlign w:val="center"/>
                </w:tcPr>
                <w:p>
                  <w:pPr>
                    <w:adjustRightInd w:val="0"/>
                    <w:snapToGrid w:val="0"/>
                    <w:jc w:val="center"/>
                    <w:rPr>
                      <w:b/>
                      <w:i/>
                      <w:iCs/>
                      <w:szCs w:val="21"/>
                      <w:u w:val="single"/>
                    </w:rPr>
                  </w:pPr>
                  <w:r>
                    <w:rPr>
                      <w:rFonts w:hint="eastAsia"/>
                      <w:b/>
                      <w:i/>
                      <w:iCs/>
                      <w:szCs w:val="21"/>
                      <w:u w:val="single"/>
                    </w:rPr>
                    <w:t>污染物</w:t>
                  </w:r>
                </w:p>
              </w:tc>
              <w:tc>
                <w:tcPr>
                  <w:tcW w:w="2902" w:type="dxa"/>
                  <w:vAlign w:val="center"/>
                </w:tcPr>
                <w:p>
                  <w:pPr>
                    <w:adjustRightInd w:val="0"/>
                    <w:snapToGrid w:val="0"/>
                    <w:jc w:val="center"/>
                    <w:rPr>
                      <w:b/>
                      <w:i/>
                      <w:iCs/>
                      <w:szCs w:val="21"/>
                      <w:u w:val="single"/>
                    </w:rPr>
                  </w:pPr>
                  <w:r>
                    <w:rPr>
                      <w:rFonts w:hint="eastAsia"/>
                      <w:b/>
                      <w:i/>
                      <w:iCs/>
                      <w:szCs w:val="21"/>
                      <w:u w:val="single"/>
                    </w:rPr>
                    <w:t>污染因子</w:t>
                  </w:r>
                </w:p>
              </w:tc>
              <w:tc>
                <w:tcPr>
                  <w:tcW w:w="1827" w:type="dxa"/>
                  <w:vAlign w:val="center"/>
                </w:tcPr>
                <w:p>
                  <w:pPr>
                    <w:adjustRightInd w:val="0"/>
                    <w:snapToGrid w:val="0"/>
                    <w:jc w:val="center"/>
                    <w:rPr>
                      <w:b/>
                      <w:i/>
                      <w:iCs/>
                      <w:szCs w:val="21"/>
                      <w:u w:val="single"/>
                    </w:rPr>
                  </w:pPr>
                  <w:r>
                    <w:rPr>
                      <w:rFonts w:hint="eastAsia"/>
                      <w:b/>
                      <w:i/>
                      <w:iCs/>
                      <w:szCs w:val="21"/>
                      <w:u w:val="single"/>
                    </w:rPr>
                    <w:t>产污节点</w:t>
                  </w:r>
                </w:p>
              </w:tc>
            </w:tr>
            <w:tr>
              <w:trPr>
                <w:trHeight w:val="308" w:hRule="atLeast"/>
                <w:jc w:val="center"/>
              </w:trPr>
              <w:tc>
                <w:tcPr>
                  <w:tcW w:w="1124" w:type="dxa"/>
                  <w:vMerge w:val="restart"/>
                  <w:vAlign w:val="center"/>
                </w:tcPr>
                <w:p>
                  <w:pPr>
                    <w:adjustRightInd w:val="0"/>
                    <w:snapToGrid w:val="0"/>
                    <w:jc w:val="center"/>
                    <w:rPr>
                      <w:bCs/>
                      <w:i/>
                      <w:iCs/>
                      <w:szCs w:val="21"/>
                      <w:u w:val="single"/>
                    </w:rPr>
                  </w:pPr>
                  <w:r>
                    <w:rPr>
                      <w:rFonts w:hint="eastAsia"/>
                      <w:bCs/>
                      <w:i/>
                      <w:iCs/>
                      <w:szCs w:val="21"/>
                      <w:u w:val="single"/>
                    </w:rPr>
                    <w:t>废气</w:t>
                  </w:r>
                </w:p>
              </w:tc>
              <w:tc>
                <w:tcPr>
                  <w:tcW w:w="1987" w:type="dxa"/>
                  <w:vAlign w:val="center"/>
                </w:tcPr>
                <w:p>
                  <w:pPr>
                    <w:widowControl/>
                    <w:adjustRightInd w:val="0"/>
                    <w:snapToGrid w:val="0"/>
                    <w:jc w:val="center"/>
                    <w:rPr>
                      <w:bCs/>
                      <w:i/>
                      <w:iCs/>
                      <w:szCs w:val="21"/>
                      <w:u w:val="single"/>
                    </w:rPr>
                  </w:pPr>
                  <w:r>
                    <w:rPr>
                      <w:rFonts w:hint="eastAsia"/>
                      <w:bCs/>
                      <w:i/>
                      <w:iCs/>
                      <w:szCs w:val="21"/>
                      <w:u w:val="single"/>
                    </w:rPr>
                    <w:t>废油液挥发废气</w:t>
                  </w:r>
                </w:p>
              </w:tc>
              <w:tc>
                <w:tcPr>
                  <w:tcW w:w="2902" w:type="dxa"/>
                  <w:vAlign w:val="center"/>
                </w:tcPr>
                <w:p>
                  <w:pPr>
                    <w:adjustRightInd w:val="0"/>
                    <w:snapToGrid w:val="0"/>
                    <w:jc w:val="center"/>
                    <w:rPr>
                      <w:bCs/>
                      <w:i/>
                      <w:iCs/>
                      <w:szCs w:val="21"/>
                      <w:u w:val="single"/>
                    </w:rPr>
                  </w:pPr>
                  <w:r>
                    <w:rPr>
                      <w:rFonts w:hint="eastAsia"/>
                      <w:bCs/>
                      <w:i/>
                      <w:iCs/>
                      <w:szCs w:val="21"/>
                      <w:u w:val="single"/>
                    </w:rPr>
                    <w:t>非甲烷总烃</w:t>
                  </w:r>
                </w:p>
              </w:tc>
              <w:tc>
                <w:tcPr>
                  <w:tcW w:w="1827" w:type="dxa"/>
                  <w:vAlign w:val="center"/>
                </w:tcPr>
                <w:p>
                  <w:pPr>
                    <w:adjustRightInd w:val="0"/>
                    <w:snapToGrid w:val="0"/>
                    <w:jc w:val="center"/>
                    <w:rPr>
                      <w:bCs/>
                      <w:i/>
                      <w:iCs/>
                      <w:szCs w:val="21"/>
                      <w:u w:val="single"/>
                    </w:rPr>
                  </w:pPr>
                  <w:r>
                    <w:rPr>
                      <w:rFonts w:hint="eastAsia"/>
                      <w:bCs/>
                      <w:i/>
                      <w:iCs/>
                      <w:szCs w:val="21"/>
                      <w:u w:val="single"/>
                    </w:rPr>
                    <w:t>放机油过程</w:t>
                  </w:r>
                </w:p>
              </w:tc>
            </w:tr>
            <w:tr>
              <w:trPr>
                <w:trHeight w:val="308" w:hRule="atLeast"/>
                <w:jc w:val="center"/>
              </w:trPr>
              <w:tc>
                <w:tcPr>
                  <w:tcW w:w="1124" w:type="dxa"/>
                  <w:vMerge w:val="continue"/>
                  <w:vAlign w:val="center"/>
                </w:tcPr>
                <w:p>
                  <w:pPr>
                    <w:adjustRightInd w:val="0"/>
                    <w:snapToGrid w:val="0"/>
                    <w:jc w:val="center"/>
                    <w:rPr>
                      <w:bCs/>
                      <w:i/>
                      <w:iCs/>
                      <w:szCs w:val="21"/>
                      <w:u w:val="single"/>
                    </w:rPr>
                  </w:pPr>
                </w:p>
              </w:tc>
              <w:tc>
                <w:tcPr>
                  <w:tcW w:w="1987" w:type="dxa"/>
                  <w:vAlign w:val="center"/>
                </w:tcPr>
                <w:p>
                  <w:pPr>
                    <w:widowControl/>
                    <w:adjustRightInd w:val="0"/>
                    <w:snapToGrid w:val="0"/>
                    <w:jc w:val="center"/>
                    <w:rPr>
                      <w:bCs/>
                      <w:i/>
                      <w:iCs/>
                      <w:szCs w:val="21"/>
                      <w:u w:val="single"/>
                    </w:rPr>
                  </w:pPr>
                  <w:r>
                    <w:rPr>
                      <w:rFonts w:hint="eastAsia"/>
                      <w:bCs/>
                      <w:i/>
                      <w:iCs/>
                      <w:szCs w:val="21"/>
                      <w:u w:val="single"/>
                    </w:rPr>
                    <w:t>剪断粉尘</w:t>
                  </w:r>
                </w:p>
              </w:tc>
              <w:tc>
                <w:tcPr>
                  <w:tcW w:w="2902" w:type="dxa"/>
                  <w:vAlign w:val="center"/>
                </w:tcPr>
                <w:p>
                  <w:pPr>
                    <w:adjustRightInd w:val="0"/>
                    <w:snapToGrid w:val="0"/>
                    <w:jc w:val="center"/>
                    <w:rPr>
                      <w:bCs/>
                      <w:i/>
                      <w:iCs/>
                      <w:szCs w:val="21"/>
                      <w:u w:val="single"/>
                    </w:rPr>
                  </w:pPr>
                  <w:r>
                    <w:rPr>
                      <w:rFonts w:hint="eastAsia"/>
                      <w:bCs/>
                      <w:i/>
                      <w:iCs/>
                      <w:szCs w:val="21"/>
                      <w:u w:val="single"/>
                    </w:rPr>
                    <w:t>颗粒物</w:t>
                  </w:r>
                </w:p>
              </w:tc>
              <w:tc>
                <w:tcPr>
                  <w:tcW w:w="1827" w:type="dxa"/>
                  <w:vAlign w:val="center"/>
                </w:tcPr>
                <w:p>
                  <w:pPr>
                    <w:adjustRightInd w:val="0"/>
                    <w:snapToGrid w:val="0"/>
                    <w:jc w:val="center"/>
                    <w:rPr>
                      <w:bCs/>
                      <w:i/>
                      <w:iCs/>
                      <w:szCs w:val="21"/>
                      <w:u w:val="single"/>
                    </w:rPr>
                  </w:pPr>
                  <w:r>
                    <w:rPr>
                      <w:rFonts w:hint="eastAsia"/>
                      <w:bCs/>
                      <w:i/>
                      <w:iCs/>
                      <w:szCs w:val="21"/>
                      <w:u w:val="single"/>
                    </w:rPr>
                    <w:t>剪断过程</w:t>
                  </w:r>
                </w:p>
              </w:tc>
            </w:tr>
            <w:tr>
              <w:trPr>
                <w:trHeight w:val="308" w:hRule="atLeast"/>
                <w:jc w:val="center"/>
              </w:trPr>
              <w:tc>
                <w:tcPr>
                  <w:tcW w:w="1124" w:type="dxa"/>
                  <w:vMerge w:val="continue"/>
                  <w:vAlign w:val="center"/>
                </w:tcPr>
                <w:p>
                  <w:pPr>
                    <w:adjustRightInd w:val="0"/>
                    <w:snapToGrid w:val="0"/>
                    <w:jc w:val="center"/>
                    <w:rPr>
                      <w:bCs/>
                      <w:i/>
                      <w:iCs/>
                      <w:szCs w:val="21"/>
                      <w:u w:val="single"/>
                    </w:rPr>
                  </w:pPr>
                </w:p>
              </w:tc>
              <w:tc>
                <w:tcPr>
                  <w:tcW w:w="1987" w:type="dxa"/>
                  <w:vAlign w:val="center"/>
                </w:tcPr>
                <w:p>
                  <w:pPr>
                    <w:widowControl/>
                    <w:adjustRightInd w:val="0"/>
                    <w:snapToGrid w:val="0"/>
                    <w:jc w:val="center"/>
                    <w:rPr>
                      <w:bCs/>
                      <w:i/>
                      <w:iCs/>
                      <w:szCs w:val="21"/>
                      <w:u w:val="single"/>
                    </w:rPr>
                  </w:pPr>
                  <w:r>
                    <w:rPr>
                      <w:rFonts w:hint="eastAsia"/>
                      <w:bCs/>
                      <w:i/>
                      <w:iCs/>
                      <w:szCs w:val="21"/>
                      <w:u w:val="single"/>
                    </w:rPr>
                    <w:t>危废暂存间废气</w:t>
                  </w:r>
                </w:p>
              </w:tc>
              <w:tc>
                <w:tcPr>
                  <w:tcW w:w="2902" w:type="dxa"/>
                  <w:vAlign w:val="center"/>
                </w:tcPr>
                <w:p>
                  <w:pPr>
                    <w:adjustRightInd w:val="0"/>
                    <w:snapToGrid w:val="0"/>
                    <w:jc w:val="center"/>
                    <w:rPr>
                      <w:bCs/>
                      <w:i/>
                      <w:iCs/>
                      <w:szCs w:val="21"/>
                      <w:u w:val="single"/>
                    </w:rPr>
                  </w:pPr>
                  <w:r>
                    <w:rPr>
                      <w:rFonts w:hint="eastAsia"/>
                      <w:bCs/>
                      <w:i/>
                      <w:iCs/>
                      <w:szCs w:val="21"/>
                      <w:u w:val="single"/>
                    </w:rPr>
                    <w:t>非甲烷总烃、硫酸雾</w:t>
                  </w:r>
                </w:p>
              </w:tc>
              <w:tc>
                <w:tcPr>
                  <w:tcW w:w="1827" w:type="dxa"/>
                  <w:vAlign w:val="center"/>
                </w:tcPr>
                <w:p>
                  <w:pPr>
                    <w:adjustRightInd w:val="0"/>
                    <w:snapToGrid w:val="0"/>
                    <w:jc w:val="center"/>
                    <w:rPr>
                      <w:bCs/>
                      <w:i/>
                      <w:iCs/>
                      <w:szCs w:val="21"/>
                      <w:u w:val="single"/>
                    </w:rPr>
                  </w:pPr>
                  <w:r>
                    <w:rPr>
                      <w:rFonts w:hint="eastAsia"/>
                      <w:bCs/>
                      <w:i/>
                      <w:iCs/>
                      <w:szCs w:val="21"/>
                      <w:u w:val="single"/>
                    </w:rPr>
                    <w:t>危险废物存储</w:t>
                  </w:r>
                </w:p>
              </w:tc>
            </w:tr>
            <w:tr>
              <w:trPr>
                <w:trHeight w:val="308" w:hRule="atLeast"/>
                <w:jc w:val="center"/>
              </w:trPr>
              <w:tc>
                <w:tcPr>
                  <w:tcW w:w="1124" w:type="dxa"/>
                  <w:vMerge w:val="restart"/>
                  <w:vAlign w:val="center"/>
                </w:tcPr>
                <w:p>
                  <w:pPr>
                    <w:adjustRightInd w:val="0"/>
                    <w:snapToGrid w:val="0"/>
                    <w:jc w:val="center"/>
                    <w:rPr>
                      <w:bCs/>
                      <w:i/>
                      <w:iCs/>
                      <w:szCs w:val="21"/>
                      <w:u w:val="single"/>
                    </w:rPr>
                  </w:pPr>
                  <w:r>
                    <w:rPr>
                      <w:rFonts w:hint="eastAsia"/>
                      <w:bCs/>
                      <w:i/>
                      <w:iCs/>
                      <w:szCs w:val="21"/>
                      <w:u w:val="single"/>
                    </w:rPr>
                    <w:t>废水</w:t>
                  </w:r>
                </w:p>
              </w:tc>
              <w:tc>
                <w:tcPr>
                  <w:tcW w:w="1987" w:type="dxa"/>
                  <w:vAlign w:val="center"/>
                </w:tcPr>
                <w:p>
                  <w:pPr>
                    <w:widowControl/>
                    <w:adjustRightInd w:val="0"/>
                    <w:snapToGrid w:val="0"/>
                    <w:jc w:val="center"/>
                    <w:rPr>
                      <w:bCs/>
                      <w:i/>
                      <w:iCs/>
                      <w:szCs w:val="21"/>
                      <w:u w:val="single"/>
                    </w:rPr>
                  </w:pPr>
                  <w:r>
                    <w:rPr>
                      <w:rFonts w:hint="eastAsia"/>
                      <w:bCs/>
                      <w:i/>
                      <w:iCs/>
                      <w:szCs w:val="21"/>
                      <w:u w:val="single"/>
                    </w:rPr>
                    <w:t>生活污水</w:t>
                  </w:r>
                </w:p>
              </w:tc>
              <w:tc>
                <w:tcPr>
                  <w:tcW w:w="2902" w:type="dxa"/>
                  <w:vAlign w:val="center"/>
                </w:tcPr>
                <w:p>
                  <w:pPr>
                    <w:adjustRightInd w:val="0"/>
                    <w:snapToGrid w:val="0"/>
                    <w:jc w:val="center"/>
                    <w:rPr>
                      <w:bCs/>
                      <w:i/>
                      <w:iCs/>
                      <w:szCs w:val="21"/>
                      <w:u w:val="single"/>
                    </w:rPr>
                  </w:pPr>
                  <w:r>
                    <w:rPr>
                      <w:rFonts w:hint="eastAsia"/>
                      <w:bCs/>
                      <w:i/>
                      <w:iCs/>
                      <w:szCs w:val="21"/>
                      <w:u w:val="single"/>
                    </w:rPr>
                    <w:t>COD、BOD</w:t>
                  </w:r>
                  <w:r>
                    <w:rPr>
                      <w:rFonts w:hint="eastAsia"/>
                      <w:bCs/>
                      <w:i/>
                      <w:iCs/>
                      <w:szCs w:val="21"/>
                      <w:u w:val="single"/>
                      <w:vertAlign w:val="subscript"/>
                    </w:rPr>
                    <w:t>5</w:t>
                  </w:r>
                  <w:r>
                    <w:rPr>
                      <w:rFonts w:hint="eastAsia"/>
                      <w:bCs/>
                      <w:i/>
                      <w:iCs/>
                      <w:szCs w:val="21"/>
                      <w:u w:val="single"/>
                    </w:rPr>
                    <w:t>、SS、氨氮</w:t>
                  </w:r>
                </w:p>
              </w:tc>
              <w:tc>
                <w:tcPr>
                  <w:tcW w:w="1827" w:type="dxa"/>
                  <w:vAlign w:val="center"/>
                </w:tcPr>
                <w:p>
                  <w:pPr>
                    <w:adjustRightInd w:val="0"/>
                    <w:snapToGrid w:val="0"/>
                    <w:jc w:val="center"/>
                    <w:rPr>
                      <w:bCs/>
                      <w:i/>
                      <w:iCs/>
                      <w:szCs w:val="21"/>
                      <w:u w:val="single"/>
                    </w:rPr>
                  </w:pPr>
                  <w:r>
                    <w:rPr>
                      <w:rFonts w:hint="eastAsia"/>
                      <w:bCs/>
                      <w:i/>
                      <w:iCs/>
                      <w:szCs w:val="21"/>
                      <w:u w:val="single"/>
                    </w:rPr>
                    <w:t>员工生活</w:t>
                  </w:r>
                </w:p>
              </w:tc>
            </w:tr>
            <w:tr>
              <w:trPr>
                <w:trHeight w:val="308" w:hRule="atLeast"/>
                <w:jc w:val="center"/>
              </w:trPr>
              <w:tc>
                <w:tcPr>
                  <w:tcW w:w="1124" w:type="dxa"/>
                  <w:vMerge w:val="continue"/>
                  <w:vAlign w:val="center"/>
                </w:tcPr>
                <w:p>
                  <w:pPr>
                    <w:adjustRightInd w:val="0"/>
                    <w:snapToGrid w:val="0"/>
                    <w:jc w:val="center"/>
                    <w:rPr>
                      <w:bCs/>
                      <w:i/>
                      <w:iCs/>
                      <w:szCs w:val="21"/>
                      <w:u w:val="single"/>
                    </w:rPr>
                  </w:pPr>
                </w:p>
              </w:tc>
              <w:tc>
                <w:tcPr>
                  <w:tcW w:w="1987" w:type="dxa"/>
                  <w:vAlign w:val="center"/>
                </w:tcPr>
                <w:p>
                  <w:pPr>
                    <w:widowControl/>
                    <w:adjustRightInd w:val="0"/>
                    <w:snapToGrid w:val="0"/>
                    <w:jc w:val="center"/>
                    <w:rPr>
                      <w:bCs/>
                      <w:i/>
                      <w:iCs/>
                      <w:szCs w:val="21"/>
                      <w:u w:val="single"/>
                    </w:rPr>
                  </w:pPr>
                  <w:r>
                    <w:rPr>
                      <w:rFonts w:hint="eastAsia"/>
                      <w:bCs/>
                      <w:i/>
                      <w:iCs/>
                      <w:szCs w:val="21"/>
                      <w:u w:val="single"/>
                    </w:rPr>
                    <w:t>初期雨水</w:t>
                  </w:r>
                </w:p>
              </w:tc>
              <w:tc>
                <w:tcPr>
                  <w:tcW w:w="2902" w:type="dxa"/>
                  <w:vAlign w:val="center"/>
                </w:tcPr>
                <w:p>
                  <w:pPr>
                    <w:adjustRightInd w:val="0"/>
                    <w:snapToGrid w:val="0"/>
                    <w:jc w:val="center"/>
                    <w:rPr>
                      <w:bCs/>
                      <w:i/>
                      <w:iCs/>
                      <w:szCs w:val="21"/>
                      <w:u w:val="single"/>
                    </w:rPr>
                  </w:pPr>
                  <w:r>
                    <w:rPr>
                      <w:rFonts w:hint="eastAsia"/>
                      <w:bCs/>
                      <w:i/>
                      <w:iCs/>
                      <w:szCs w:val="21"/>
                      <w:u w:val="single"/>
                    </w:rPr>
                    <w:t>SS、石油类</w:t>
                  </w:r>
                </w:p>
              </w:tc>
              <w:tc>
                <w:tcPr>
                  <w:tcW w:w="1827" w:type="dxa"/>
                  <w:vAlign w:val="center"/>
                </w:tcPr>
                <w:p>
                  <w:pPr>
                    <w:adjustRightInd w:val="0"/>
                    <w:snapToGrid w:val="0"/>
                    <w:jc w:val="center"/>
                    <w:rPr>
                      <w:bCs/>
                      <w:i/>
                      <w:iCs/>
                      <w:szCs w:val="21"/>
                      <w:u w:val="single"/>
                    </w:rPr>
                  </w:pPr>
                  <w:r>
                    <w:rPr>
                      <w:rFonts w:hint="eastAsia"/>
                      <w:bCs/>
                      <w:i/>
                      <w:iCs/>
                      <w:szCs w:val="21"/>
                      <w:u w:val="single"/>
                    </w:rPr>
                    <w:t>初期雨水</w:t>
                  </w:r>
                </w:p>
              </w:tc>
            </w:tr>
            <w:tr>
              <w:trPr>
                <w:trHeight w:val="308" w:hRule="atLeast"/>
                <w:jc w:val="center"/>
              </w:trPr>
              <w:tc>
                <w:tcPr>
                  <w:tcW w:w="1124" w:type="dxa"/>
                  <w:vAlign w:val="center"/>
                </w:tcPr>
                <w:p>
                  <w:pPr>
                    <w:adjustRightInd w:val="0"/>
                    <w:snapToGrid w:val="0"/>
                    <w:jc w:val="center"/>
                    <w:rPr>
                      <w:bCs/>
                      <w:i/>
                      <w:iCs/>
                      <w:szCs w:val="21"/>
                      <w:u w:val="single"/>
                    </w:rPr>
                  </w:pPr>
                  <w:r>
                    <w:rPr>
                      <w:rFonts w:hint="eastAsia"/>
                      <w:bCs/>
                      <w:i/>
                      <w:iCs/>
                      <w:szCs w:val="21"/>
                      <w:u w:val="single"/>
                    </w:rPr>
                    <w:t>噪声</w:t>
                  </w:r>
                </w:p>
              </w:tc>
              <w:tc>
                <w:tcPr>
                  <w:tcW w:w="1987" w:type="dxa"/>
                  <w:vAlign w:val="center"/>
                </w:tcPr>
                <w:p>
                  <w:pPr>
                    <w:widowControl/>
                    <w:adjustRightInd w:val="0"/>
                    <w:snapToGrid w:val="0"/>
                    <w:jc w:val="center"/>
                    <w:rPr>
                      <w:bCs/>
                      <w:i/>
                      <w:iCs/>
                      <w:szCs w:val="21"/>
                      <w:u w:val="single"/>
                    </w:rPr>
                  </w:pPr>
                  <w:r>
                    <w:rPr>
                      <w:rFonts w:hint="eastAsia"/>
                      <w:bCs/>
                      <w:i/>
                      <w:iCs/>
                      <w:szCs w:val="21"/>
                      <w:u w:val="single"/>
                    </w:rPr>
                    <w:t>生产噪声</w:t>
                  </w:r>
                </w:p>
              </w:tc>
              <w:tc>
                <w:tcPr>
                  <w:tcW w:w="2902" w:type="dxa"/>
                  <w:vAlign w:val="center"/>
                </w:tcPr>
                <w:p>
                  <w:pPr>
                    <w:adjustRightInd w:val="0"/>
                    <w:snapToGrid w:val="0"/>
                    <w:jc w:val="center"/>
                    <w:rPr>
                      <w:bCs/>
                      <w:i/>
                      <w:iCs/>
                      <w:szCs w:val="21"/>
                      <w:u w:val="single"/>
                    </w:rPr>
                  </w:pPr>
                  <w:r>
                    <w:rPr>
                      <w:bCs/>
                      <w:i/>
                      <w:iCs/>
                      <w:szCs w:val="21"/>
                      <w:u w:val="single"/>
                    </w:rPr>
                    <w:t>等效连续A声级</w:t>
                  </w:r>
                </w:p>
              </w:tc>
              <w:tc>
                <w:tcPr>
                  <w:tcW w:w="1827" w:type="dxa"/>
                  <w:vAlign w:val="center"/>
                </w:tcPr>
                <w:p>
                  <w:pPr>
                    <w:adjustRightInd w:val="0"/>
                    <w:snapToGrid w:val="0"/>
                    <w:jc w:val="center"/>
                    <w:rPr>
                      <w:bCs/>
                      <w:i/>
                      <w:iCs/>
                      <w:szCs w:val="21"/>
                      <w:u w:val="single"/>
                    </w:rPr>
                  </w:pPr>
                  <w:r>
                    <w:rPr>
                      <w:rFonts w:hint="eastAsia"/>
                      <w:bCs/>
                      <w:i/>
                      <w:iCs/>
                      <w:szCs w:val="21"/>
                      <w:u w:val="single"/>
                    </w:rPr>
                    <w:t>设备运行</w:t>
                  </w:r>
                </w:p>
              </w:tc>
            </w:tr>
            <w:tr>
              <w:trPr>
                <w:trHeight w:val="308" w:hRule="atLeast"/>
                <w:jc w:val="center"/>
              </w:trPr>
              <w:tc>
                <w:tcPr>
                  <w:tcW w:w="1124" w:type="dxa"/>
                  <w:vMerge w:val="restart"/>
                  <w:vAlign w:val="center"/>
                </w:tcPr>
                <w:p>
                  <w:pPr>
                    <w:adjustRightInd w:val="0"/>
                    <w:snapToGrid w:val="0"/>
                    <w:jc w:val="center"/>
                    <w:rPr>
                      <w:bCs/>
                      <w:i/>
                      <w:iCs/>
                      <w:szCs w:val="21"/>
                      <w:u w:val="single"/>
                    </w:rPr>
                  </w:pPr>
                  <w:r>
                    <w:rPr>
                      <w:rFonts w:hint="eastAsia"/>
                      <w:bCs/>
                      <w:i/>
                      <w:iCs/>
                      <w:szCs w:val="21"/>
                      <w:u w:val="single"/>
                    </w:rPr>
                    <w:t>固废</w:t>
                  </w:r>
                </w:p>
              </w:tc>
              <w:tc>
                <w:tcPr>
                  <w:tcW w:w="1987" w:type="dxa"/>
                  <w:vAlign w:val="center"/>
                </w:tcPr>
                <w:p>
                  <w:pPr>
                    <w:widowControl/>
                    <w:adjustRightInd w:val="0"/>
                    <w:snapToGrid w:val="0"/>
                    <w:jc w:val="center"/>
                    <w:rPr>
                      <w:bCs/>
                      <w:i/>
                      <w:iCs/>
                      <w:szCs w:val="21"/>
                      <w:u w:val="single"/>
                    </w:rPr>
                  </w:pPr>
                  <w:r>
                    <w:rPr>
                      <w:rFonts w:hint="eastAsia"/>
                      <w:bCs/>
                      <w:i/>
                      <w:iCs/>
                      <w:szCs w:val="21"/>
                      <w:u w:val="single"/>
                    </w:rPr>
                    <w:t>生活垃圾</w:t>
                  </w:r>
                </w:p>
              </w:tc>
              <w:tc>
                <w:tcPr>
                  <w:tcW w:w="2902" w:type="dxa"/>
                  <w:vAlign w:val="center"/>
                </w:tcPr>
                <w:p>
                  <w:pPr>
                    <w:adjustRightInd w:val="0"/>
                    <w:snapToGrid w:val="0"/>
                    <w:jc w:val="center"/>
                    <w:rPr>
                      <w:bCs/>
                      <w:i/>
                      <w:iCs/>
                      <w:szCs w:val="21"/>
                      <w:u w:val="single"/>
                    </w:rPr>
                  </w:pPr>
                  <w:r>
                    <w:rPr>
                      <w:rFonts w:hint="eastAsia"/>
                      <w:bCs/>
                      <w:i/>
                      <w:iCs/>
                      <w:szCs w:val="21"/>
                      <w:u w:val="single"/>
                    </w:rPr>
                    <w:t>生活垃圾</w:t>
                  </w:r>
                </w:p>
              </w:tc>
              <w:tc>
                <w:tcPr>
                  <w:tcW w:w="1827" w:type="dxa"/>
                  <w:vAlign w:val="center"/>
                </w:tcPr>
                <w:p>
                  <w:pPr>
                    <w:adjustRightInd w:val="0"/>
                    <w:snapToGrid w:val="0"/>
                    <w:jc w:val="center"/>
                    <w:rPr>
                      <w:bCs/>
                      <w:i/>
                      <w:iCs/>
                      <w:szCs w:val="21"/>
                      <w:u w:val="single"/>
                    </w:rPr>
                  </w:pPr>
                  <w:r>
                    <w:rPr>
                      <w:rFonts w:hint="eastAsia"/>
                      <w:bCs/>
                      <w:i/>
                      <w:iCs/>
                      <w:szCs w:val="21"/>
                      <w:u w:val="single"/>
                    </w:rPr>
                    <w:t>员工生活</w:t>
                  </w:r>
                </w:p>
              </w:tc>
            </w:tr>
            <w:tr>
              <w:trPr>
                <w:trHeight w:val="308" w:hRule="atLeast"/>
                <w:jc w:val="center"/>
              </w:trPr>
              <w:tc>
                <w:tcPr>
                  <w:tcW w:w="1124" w:type="dxa"/>
                  <w:vMerge w:val="continue"/>
                  <w:vAlign w:val="center"/>
                </w:tcPr>
                <w:p>
                  <w:pPr>
                    <w:adjustRightInd w:val="0"/>
                    <w:snapToGrid w:val="0"/>
                    <w:jc w:val="center"/>
                    <w:rPr>
                      <w:bCs/>
                      <w:i/>
                      <w:iCs/>
                      <w:szCs w:val="21"/>
                      <w:u w:val="single"/>
                    </w:rPr>
                  </w:pPr>
                </w:p>
              </w:tc>
              <w:tc>
                <w:tcPr>
                  <w:tcW w:w="1987" w:type="dxa"/>
                  <w:vAlign w:val="center"/>
                </w:tcPr>
                <w:p>
                  <w:pPr>
                    <w:widowControl/>
                    <w:adjustRightInd w:val="0"/>
                    <w:snapToGrid w:val="0"/>
                    <w:jc w:val="center"/>
                    <w:rPr>
                      <w:bCs/>
                      <w:i/>
                      <w:iCs/>
                      <w:szCs w:val="21"/>
                      <w:u w:val="single"/>
                    </w:rPr>
                  </w:pPr>
                  <w:r>
                    <w:rPr>
                      <w:rFonts w:hint="eastAsia"/>
                      <w:bCs/>
                      <w:i/>
                      <w:iCs/>
                      <w:szCs w:val="21"/>
                      <w:u w:val="single"/>
                    </w:rPr>
                    <w:t>一般废物</w:t>
                  </w:r>
                </w:p>
              </w:tc>
              <w:tc>
                <w:tcPr>
                  <w:tcW w:w="2902" w:type="dxa"/>
                  <w:vAlign w:val="center"/>
                </w:tcPr>
                <w:p>
                  <w:pPr>
                    <w:adjustRightInd w:val="0"/>
                    <w:snapToGrid w:val="0"/>
                    <w:jc w:val="center"/>
                    <w:rPr>
                      <w:bCs/>
                      <w:i/>
                      <w:iCs/>
                      <w:szCs w:val="21"/>
                      <w:u w:val="single"/>
                    </w:rPr>
                  </w:pPr>
                  <w:r>
                    <w:rPr>
                      <w:bCs/>
                      <w:i/>
                      <w:iCs/>
                      <w:szCs w:val="21"/>
                      <w:u w:val="single"/>
                    </w:rPr>
                    <w:t>钢铁、塑料、橡胶、玻璃等</w:t>
                  </w:r>
                </w:p>
              </w:tc>
              <w:tc>
                <w:tcPr>
                  <w:tcW w:w="1827" w:type="dxa"/>
                  <w:vAlign w:val="center"/>
                </w:tcPr>
                <w:p>
                  <w:pPr>
                    <w:adjustRightInd w:val="0"/>
                    <w:snapToGrid w:val="0"/>
                    <w:jc w:val="center"/>
                    <w:rPr>
                      <w:bCs/>
                      <w:i/>
                      <w:iCs/>
                      <w:szCs w:val="21"/>
                      <w:u w:val="single"/>
                    </w:rPr>
                  </w:pPr>
                  <w:r>
                    <w:rPr>
                      <w:rFonts w:hint="eastAsia"/>
                      <w:bCs/>
                      <w:i/>
                      <w:iCs/>
                      <w:szCs w:val="21"/>
                      <w:u w:val="single"/>
                    </w:rPr>
                    <w:t>拆解过程</w:t>
                  </w:r>
                </w:p>
              </w:tc>
            </w:tr>
            <w:tr>
              <w:trPr>
                <w:trHeight w:val="649" w:hRule="atLeast"/>
                <w:jc w:val="center"/>
              </w:trPr>
              <w:tc>
                <w:tcPr>
                  <w:tcW w:w="1124" w:type="dxa"/>
                  <w:vMerge w:val="continue"/>
                  <w:vAlign w:val="center"/>
                </w:tcPr>
                <w:p>
                  <w:pPr>
                    <w:adjustRightInd w:val="0"/>
                    <w:snapToGrid w:val="0"/>
                    <w:jc w:val="center"/>
                    <w:rPr>
                      <w:bCs/>
                      <w:i/>
                      <w:iCs/>
                      <w:szCs w:val="21"/>
                      <w:u w:val="single"/>
                    </w:rPr>
                  </w:pPr>
                </w:p>
              </w:tc>
              <w:tc>
                <w:tcPr>
                  <w:tcW w:w="1987" w:type="dxa"/>
                  <w:vMerge w:val="restart"/>
                  <w:vAlign w:val="center"/>
                </w:tcPr>
                <w:p>
                  <w:pPr>
                    <w:widowControl/>
                    <w:adjustRightInd w:val="0"/>
                    <w:snapToGrid w:val="0"/>
                    <w:jc w:val="center"/>
                    <w:rPr>
                      <w:bCs/>
                      <w:i/>
                      <w:iCs/>
                      <w:szCs w:val="21"/>
                      <w:u w:val="single"/>
                    </w:rPr>
                  </w:pPr>
                  <w:r>
                    <w:rPr>
                      <w:rFonts w:hint="eastAsia"/>
                      <w:bCs/>
                      <w:i/>
                      <w:iCs/>
                      <w:szCs w:val="21"/>
                      <w:u w:val="single"/>
                    </w:rPr>
                    <w:t>危险废物</w:t>
                  </w:r>
                </w:p>
              </w:tc>
              <w:tc>
                <w:tcPr>
                  <w:tcW w:w="2902" w:type="dxa"/>
                  <w:vAlign w:val="center"/>
                </w:tcPr>
                <w:p>
                  <w:pPr>
                    <w:widowControl/>
                    <w:adjustRightInd w:val="0"/>
                    <w:snapToGrid w:val="0"/>
                    <w:jc w:val="center"/>
                    <w:rPr>
                      <w:bCs/>
                      <w:i/>
                      <w:iCs/>
                      <w:szCs w:val="21"/>
                      <w:u w:val="single"/>
                    </w:rPr>
                  </w:pPr>
                  <w:r>
                    <w:rPr>
                      <w:rFonts w:hint="eastAsia"/>
                      <w:bCs/>
                      <w:i/>
                      <w:iCs/>
                      <w:szCs w:val="21"/>
                      <w:u w:val="single"/>
                    </w:rPr>
                    <w:t>废液压油、</w:t>
                  </w:r>
                  <w:r>
                    <w:rPr>
                      <w:bCs/>
                      <w:i/>
                      <w:iCs/>
                      <w:szCs w:val="21"/>
                      <w:u w:val="single"/>
                    </w:rPr>
                    <w:t>废油液、废铅酸蓄电池</w:t>
                  </w:r>
                  <w:r>
                    <w:rPr>
                      <w:rFonts w:hint="eastAsia"/>
                      <w:bCs/>
                      <w:i/>
                      <w:iCs/>
                      <w:szCs w:val="21"/>
                      <w:u w:val="single"/>
                    </w:rPr>
                    <w:t>等属于危险废物的拆解废物，以及废手套、抹布等</w:t>
                  </w:r>
                </w:p>
              </w:tc>
              <w:tc>
                <w:tcPr>
                  <w:tcW w:w="1827" w:type="dxa"/>
                  <w:vAlign w:val="center"/>
                </w:tcPr>
                <w:p>
                  <w:pPr>
                    <w:widowControl/>
                    <w:adjustRightInd w:val="0"/>
                    <w:snapToGrid w:val="0"/>
                    <w:jc w:val="center"/>
                    <w:rPr>
                      <w:bCs/>
                      <w:i/>
                      <w:iCs/>
                      <w:szCs w:val="21"/>
                      <w:u w:val="single"/>
                    </w:rPr>
                  </w:pPr>
                  <w:r>
                    <w:rPr>
                      <w:rFonts w:hint="eastAsia"/>
                      <w:bCs/>
                      <w:i/>
                      <w:iCs/>
                      <w:szCs w:val="21"/>
                      <w:u w:val="single"/>
                    </w:rPr>
                    <w:t>拆解过程</w:t>
                  </w:r>
                </w:p>
              </w:tc>
            </w:tr>
            <w:tr>
              <w:trPr>
                <w:trHeight w:val="363" w:hRule="atLeast"/>
                <w:jc w:val="center"/>
              </w:trPr>
              <w:tc>
                <w:tcPr>
                  <w:tcW w:w="1124" w:type="dxa"/>
                  <w:vMerge w:val="continue"/>
                  <w:vAlign w:val="center"/>
                </w:tcPr>
                <w:p>
                  <w:pPr>
                    <w:adjustRightInd w:val="0"/>
                    <w:snapToGrid w:val="0"/>
                    <w:jc w:val="center"/>
                    <w:rPr>
                      <w:bCs/>
                      <w:i/>
                      <w:iCs/>
                      <w:szCs w:val="21"/>
                      <w:u w:val="single"/>
                    </w:rPr>
                  </w:pPr>
                </w:p>
              </w:tc>
              <w:tc>
                <w:tcPr>
                  <w:tcW w:w="1987" w:type="dxa"/>
                  <w:vMerge w:val="continue"/>
                  <w:vAlign w:val="center"/>
                </w:tcPr>
                <w:p>
                  <w:pPr>
                    <w:widowControl/>
                    <w:adjustRightInd w:val="0"/>
                    <w:snapToGrid w:val="0"/>
                    <w:jc w:val="center"/>
                    <w:rPr>
                      <w:bCs/>
                      <w:i/>
                      <w:iCs/>
                      <w:szCs w:val="21"/>
                      <w:u w:val="single"/>
                    </w:rPr>
                  </w:pPr>
                </w:p>
              </w:tc>
              <w:tc>
                <w:tcPr>
                  <w:tcW w:w="2902" w:type="dxa"/>
                  <w:vAlign w:val="center"/>
                </w:tcPr>
                <w:p>
                  <w:pPr>
                    <w:widowControl/>
                    <w:adjustRightInd w:val="0"/>
                    <w:snapToGrid w:val="0"/>
                    <w:jc w:val="center"/>
                    <w:rPr>
                      <w:bCs/>
                      <w:i/>
                      <w:iCs/>
                      <w:szCs w:val="21"/>
                      <w:u w:val="single"/>
                    </w:rPr>
                  </w:pPr>
                  <w:r>
                    <w:rPr>
                      <w:rFonts w:hint="eastAsia"/>
                      <w:bCs/>
                      <w:i/>
                      <w:iCs/>
                      <w:szCs w:val="21"/>
                      <w:u w:val="single"/>
                    </w:rPr>
                    <w:t>废活性炭</w:t>
                  </w:r>
                </w:p>
              </w:tc>
              <w:tc>
                <w:tcPr>
                  <w:tcW w:w="1827" w:type="dxa"/>
                  <w:vAlign w:val="center"/>
                </w:tcPr>
                <w:p>
                  <w:pPr>
                    <w:widowControl/>
                    <w:adjustRightInd w:val="0"/>
                    <w:snapToGrid w:val="0"/>
                    <w:jc w:val="center"/>
                    <w:rPr>
                      <w:bCs/>
                      <w:i/>
                      <w:iCs/>
                      <w:szCs w:val="21"/>
                      <w:u w:val="single"/>
                    </w:rPr>
                  </w:pPr>
                  <w:r>
                    <w:rPr>
                      <w:rFonts w:hint="eastAsia"/>
                      <w:bCs/>
                      <w:i/>
                      <w:iCs/>
                      <w:szCs w:val="21"/>
                      <w:u w:val="single"/>
                    </w:rPr>
                    <w:t>废气处理过程</w:t>
                  </w:r>
                </w:p>
              </w:tc>
            </w:tr>
          </w:tbl>
          <w:p>
            <w:pPr>
              <w:spacing w:line="360" w:lineRule="auto"/>
              <w:jc w:val="center"/>
              <w:rPr>
                <w:bCs/>
                <w:sz w:val="24"/>
              </w:rPr>
            </w:pPr>
          </w:p>
        </w:tc>
      </w:tr>
      <w:tr>
        <w:trPr>
          <w:trHeight w:val="23" w:hRule="atLeast"/>
          <w:jc w:val="center"/>
        </w:trPr>
        <w:tc>
          <w:tcPr>
            <w:tcW w:w="858" w:type="dxa"/>
            <w:vAlign w:val="center"/>
          </w:tcPr>
          <w:p>
            <w:pPr>
              <w:pStyle w:val="21"/>
              <w:widowControl w:val="0"/>
              <w:spacing w:before="0" w:beforeAutospacing="0" w:after="0" w:afterAutospacing="0" w:line="360" w:lineRule="auto"/>
              <w:jc w:val="center"/>
              <w:rPr>
                <w:rFonts w:cs="宋体"/>
                <w:szCs w:val="24"/>
              </w:rPr>
            </w:pPr>
          </w:p>
        </w:tc>
        <w:tc>
          <w:tcPr>
            <w:tcW w:w="8254" w:type="dxa"/>
            <w:vAlign w:val="top"/>
          </w:tcPr>
          <w:p>
            <w:pPr>
              <w:spacing w:line="360" w:lineRule="auto"/>
              <w:ind w:firstLine="480" w:firstLineChars="200"/>
              <w:rPr>
                <w:i/>
                <w:iCs/>
                <w:sz w:val="24"/>
                <w:u w:val="single"/>
              </w:rPr>
            </w:pPr>
            <w:r>
              <w:rPr>
                <w:rFonts w:hint="eastAsia"/>
                <w:i/>
                <w:iCs/>
                <w:sz w:val="24"/>
                <w:u w:val="single"/>
              </w:rPr>
              <w:t>1、废气污染物</w:t>
            </w:r>
          </w:p>
          <w:p>
            <w:pPr>
              <w:spacing w:line="360" w:lineRule="auto"/>
              <w:ind w:firstLine="480" w:firstLineChars="200"/>
              <w:rPr>
                <w:i/>
                <w:iCs/>
                <w:sz w:val="24"/>
                <w:u w:val="single"/>
              </w:rPr>
            </w:pPr>
            <w:r>
              <w:rPr>
                <w:rFonts w:hint="eastAsia"/>
                <w:i/>
                <w:iCs/>
                <w:sz w:val="24"/>
                <w:u w:val="single"/>
              </w:rPr>
              <w:t>废油液挥发废气（非甲烷总烃）：主要产污节点为预拆解阶段的抽放机油、放净废液工序，过程中废机油、废燃油等含油液体的挥发会产生少量非甲烷总烃，通过设置密闭收集与活性炭吸附装置处理后排放。</w:t>
            </w:r>
          </w:p>
          <w:p>
            <w:pPr>
              <w:spacing w:line="360" w:lineRule="auto"/>
              <w:ind w:firstLine="480" w:firstLineChars="200"/>
              <w:rPr>
                <w:i/>
                <w:iCs/>
                <w:sz w:val="24"/>
                <w:u w:val="single"/>
              </w:rPr>
            </w:pPr>
            <w:r>
              <w:rPr>
                <w:rFonts w:hint="eastAsia"/>
                <w:i/>
                <w:iCs/>
                <w:sz w:val="24"/>
                <w:u w:val="single"/>
              </w:rPr>
              <w:t>剪断粉尘（颗粒物）：主要产污节点为机架解体、总成破坏阶段的机械剪断工序会产生少量颗粒物，通过车间封闭、局部集气 + 布袋除尘装置控制排放。</w:t>
            </w:r>
          </w:p>
          <w:p>
            <w:pPr>
              <w:spacing w:line="360" w:lineRule="auto"/>
              <w:ind w:firstLine="480" w:firstLineChars="200"/>
              <w:rPr>
                <w:i/>
                <w:iCs/>
                <w:sz w:val="24"/>
                <w:u w:val="single"/>
              </w:rPr>
            </w:pPr>
            <w:r>
              <w:rPr>
                <w:rFonts w:hint="eastAsia"/>
                <w:i/>
                <w:iCs/>
                <w:sz w:val="24"/>
                <w:u w:val="single"/>
              </w:rPr>
              <w:t>2、废水污染物</w:t>
            </w:r>
          </w:p>
          <w:p>
            <w:pPr>
              <w:spacing w:line="360" w:lineRule="auto"/>
              <w:ind w:firstLine="480" w:firstLineChars="200"/>
              <w:rPr>
                <w:i/>
                <w:iCs/>
                <w:sz w:val="24"/>
                <w:u w:val="single"/>
              </w:rPr>
            </w:pPr>
            <w:r>
              <w:rPr>
                <w:rFonts w:hint="eastAsia"/>
                <w:i/>
                <w:iCs/>
                <w:sz w:val="24"/>
                <w:u w:val="single"/>
              </w:rPr>
              <w:t>生活污水排入厂区防渗化粪池，定期由周边农户清掏作农肥。初期雨水排入污水暂存池，初期雨水经隔油沉淀处理，定期用罐车运至柳河县污水处理厂进一步处理。</w:t>
            </w:r>
          </w:p>
          <w:p>
            <w:pPr>
              <w:spacing w:line="360" w:lineRule="auto"/>
              <w:ind w:firstLine="480" w:firstLineChars="200"/>
              <w:rPr>
                <w:i/>
                <w:iCs/>
                <w:sz w:val="24"/>
                <w:u w:val="single"/>
              </w:rPr>
            </w:pPr>
            <w:r>
              <w:rPr>
                <w:rFonts w:hint="eastAsia"/>
                <w:i/>
                <w:iCs/>
                <w:sz w:val="24"/>
                <w:u w:val="single"/>
              </w:rPr>
              <w:t>3、噪声</w:t>
            </w:r>
          </w:p>
          <w:p>
            <w:pPr>
              <w:spacing w:line="360" w:lineRule="auto"/>
              <w:ind w:firstLine="480" w:firstLineChars="200"/>
              <w:rPr>
                <w:i/>
                <w:iCs/>
                <w:sz w:val="24"/>
                <w:u w:val="single"/>
              </w:rPr>
            </w:pPr>
            <w:r>
              <w:rPr>
                <w:rFonts w:hint="eastAsia"/>
                <w:i/>
                <w:iCs/>
                <w:sz w:val="24"/>
                <w:u w:val="single"/>
              </w:rPr>
              <w:t>预拆解、解体拆解、机架解体及打包设备运行阶段的设备产生，噪声源包括拆解设备、液压剪、打包机、输送设备等，通过设备减振、厂房隔声、合理布局等措施控制厂界噪声达标。</w:t>
            </w:r>
          </w:p>
          <w:p>
            <w:pPr>
              <w:spacing w:line="360" w:lineRule="auto"/>
              <w:ind w:firstLine="480" w:firstLineChars="200"/>
              <w:rPr>
                <w:i/>
                <w:iCs/>
                <w:sz w:val="24"/>
                <w:u w:val="single"/>
              </w:rPr>
            </w:pPr>
            <w:r>
              <w:rPr>
                <w:rFonts w:hint="eastAsia"/>
                <w:i/>
                <w:iCs/>
                <w:sz w:val="24"/>
                <w:u w:val="single"/>
              </w:rPr>
              <w:t>4、固体废物</w:t>
            </w:r>
          </w:p>
          <w:p>
            <w:pPr>
              <w:spacing w:line="360" w:lineRule="auto"/>
              <w:ind w:firstLine="480" w:firstLineChars="200"/>
              <w:rPr>
                <w:i/>
                <w:iCs/>
                <w:sz w:val="24"/>
                <w:u w:val="single"/>
              </w:rPr>
            </w:pPr>
            <w:r>
              <w:rPr>
                <w:rFonts w:hint="eastAsia"/>
                <w:i/>
                <w:iCs/>
                <w:sz w:val="24"/>
                <w:u w:val="single"/>
              </w:rPr>
              <w:t>生活垃圾统一收集后交由环卫部门处置。</w:t>
            </w:r>
          </w:p>
          <w:p>
            <w:pPr>
              <w:spacing w:line="360" w:lineRule="auto"/>
              <w:ind w:firstLine="480" w:firstLineChars="200"/>
              <w:rPr>
                <w:i/>
                <w:iCs/>
                <w:sz w:val="24"/>
                <w:u w:val="single"/>
              </w:rPr>
            </w:pPr>
            <w:r>
              <w:rPr>
                <w:rFonts w:hint="eastAsia"/>
                <w:i/>
                <w:iCs/>
                <w:sz w:val="24"/>
                <w:u w:val="single"/>
              </w:rPr>
              <w:t>一般工业固废（钢铁、塑料、橡胶、玻璃等）通过分类收集、打包暂存后，外售至综合回收利用单位。</w:t>
            </w:r>
          </w:p>
          <w:p>
            <w:pPr>
              <w:spacing w:line="360" w:lineRule="auto"/>
              <w:ind w:firstLine="480" w:firstLineChars="200"/>
              <w:rPr>
                <w:i/>
                <w:iCs/>
                <w:sz w:val="24"/>
                <w:u w:val="single"/>
              </w:rPr>
            </w:pPr>
            <w:r>
              <w:rPr>
                <w:rFonts w:hint="eastAsia"/>
                <w:i/>
                <w:iCs/>
                <w:sz w:val="24"/>
                <w:u w:val="single"/>
              </w:rPr>
              <w:t>危险废物（废液压油、废油液、废铅酸蓄电池、废手套 / 抹布、废活性炭等），全部分类暂存于危废间，定期交由具备相应资质的单位规范处置，建立完整的转移联单制度。</w:t>
            </w:r>
          </w:p>
          <w:p>
            <w:pPr>
              <w:pStyle w:val="20"/>
              <w:jc w:val="both"/>
              <w:rPr>
                <w:i/>
                <w:iCs/>
                <w:sz w:val="24"/>
                <w:u w:val="single"/>
              </w:rPr>
            </w:pPr>
          </w:p>
        </w:tc>
      </w:tr>
      <w:tr>
        <w:trPr>
          <w:trHeight w:val="23" w:hRule="atLeast"/>
          <w:jc w:val="center"/>
        </w:trPr>
        <w:tc>
          <w:tcPr>
            <w:tcW w:w="858" w:type="dxa"/>
            <w:vAlign w:val="center"/>
          </w:tcPr>
          <w:p>
            <w:pPr>
              <w:pStyle w:val="21"/>
              <w:widowControl w:val="0"/>
              <w:spacing w:before="0" w:beforeAutospacing="0" w:after="0" w:afterAutospacing="0"/>
              <w:jc w:val="center"/>
              <w:rPr>
                <w:rFonts w:cs="宋体"/>
                <w:bCs/>
                <w:kern w:val="2"/>
                <w:szCs w:val="24"/>
              </w:rPr>
            </w:pPr>
          </w:p>
          <w:p>
            <w:pPr>
              <w:pStyle w:val="21"/>
              <w:widowControl w:val="0"/>
              <w:spacing w:before="0" w:beforeAutospacing="0" w:after="0" w:afterAutospacing="0"/>
              <w:jc w:val="center"/>
              <w:rPr>
                <w:rFonts w:cs="宋体"/>
                <w:bCs/>
                <w:kern w:val="2"/>
                <w:szCs w:val="24"/>
              </w:rPr>
            </w:pPr>
            <w:r>
              <w:rPr>
                <w:rFonts w:hint="eastAsia" w:cs="宋体"/>
                <w:bCs/>
                <w:kern w:val="2"/>
                <w:szCs w:val="24"/>
              </w:rPr>
              <w:t>与项</w:t>
            </w:r>
          </w:p>
          <w:p>
            <w:pPr>
              <w:pStyle w:val="21"/>
              <w:widowControl w:val="0"/>
              <w:spacing w:before="0" w:beforeAutospacing="0" w:after="0" w:afterAutospacing="0"/>
              <w:jc w:val="center"/>
              <w:rPr>
                <w:rFonts w:cs="宋体"/>
                <w:bCs/>
                <w:kern w:val="2"/>
                <w:szCs w:val="24"/>
              </w:rPr>
            </w:pPr>
            <w:r>
              <w:rPr>
                <w:rFonts w:hint="eastAsia" w:cs="宋体"/>
                <w:bCs/>
                <w:kern w:val="2"/>
                <w:szCs w:val="24"/>
              </w:rPr>
              <w:t>目有</w:t>
            </w:r>
          </w:p>
          <w:p>
            <w:pPr>
              <w:pStyle w:val="21"/>
              <w:widowControl w:val="0"/>
              <w:spacing w:before="0" w:beforeAutospacing="0" w:after="0" w:afterAutospacing="0"/>
              <w:jc w:val="center"/>
              <w:rPr>
                <w:rFonts w:cs="宋体"/>
                <w:bCs/>
                <w:kern w:val="2"/>
                <w:szCs w:val="24"/>
              </w:rPr>
            </w:pPr>
            <w:r>
              <w:rPr>
                <w:rFonts w:hint="eastAsia" w:cs="宋体"/>
                <w:bCs/>
                <w:kern w:val="2"/>
                <w:szCs w:val="24"/>
              </w:rPr>
              <w:t>关的</w:t>
            </w:r>
          </w:p>
          <w:p>
            <w:pPr>
              <w:pStyle w:val="21"/>
              <w:widowControl w:val="0"/>
              <w:spacing w:before="0" w:beforeAutospacing="0" w:after="0" w:afterAutospacing="0"/>
              <w:jc w:val="center"/>
              <w:rPr>
                <w:rFonts w:cs="宋体"/>
                <w:bCs/>
                <w:kern w:val="2"/>
                <w:szCs w:val="24"/>
              </w:rPr>
            </w:pPr>
            <w:r>
              <w:rPr>
                <w:rFonts w:hint="eastAsia" w:cs="宋体"/>
                <w:bCs/>
                <w:kern w:val="2"/>
                <w:szCs w:val="24"/>
              </w:rPr>
              <w:t>原有</w:t>
            </w:r>
          </w:p>
          <w:p>
            <w:pPr>
              <w:pStyle w:val="21"/>
              <w:widowControl w:val="0"/>
              <w:spacing w:before="0" w:beforeAutospacing="0" w:after="0" w:afterAutospacing="0"/>
              <w:jc w:val="center"/>
              <w:rPr>
                <w:rFonts w:cs="宋体"/>
                <w:bCs/>
                <w:kern w:val="2"/>
                <w:szCs w:val="24"/>
              </w:rPr>
            </w:pPr>
            <w:r>
              <w:rPr>
                <w:rFonts w:hint="eastAsia" w:cs="宋体"/>
                <w:bCs/>
                <w:kern w:val="2"/>
                <w:szCs w:val="24"/>
              </w:rPr>
              <w:t>环境</w:t>
            </w:r>
          </w:p>
          <w:p>
            <w:pPr>
              <w:pStyle w:val="21"/>
              <w:widowControl w:val="0"/>
              <w:spacing w:before="0" w:beforeAutospacing="0" w:after="0" w:afterAutospacing="0"/>
              <w:jc w:val="center"/>
              <w:rPr>
                <w:rFonts w:cs="宋体"/>
                <w:bCs/>
                <w:kern w:val="2"/>
                <w:szCs w:val="24"/>
              </w:rPr>
            </w:pPr>
            <w:r>
              <w:rPr>
                <w:rFonts w:hint="eastAsia" w:cs="宋体"/>
                <w:bCs/>
                <w:kern w:val="2"/>
                <w:szCs w:val="24"/>
              </w:rPr>
              <w:t>污染</w:t>
            </w:r>
          </w:p>
          <w:p>
            <w:pPr>
              <w:pStyle w:val="21"/>
              <w:widowControl w:val="0"/>
              <w:spacing w:before="0" w:beforeAutospacing="0" w:after="0" w:afterAutospacing="0"/>
              <w:jc w:val="center"/>
              <w:rPr>
                <w:rFonts w:cs="宋体"/>
                <w:szCs w:val="24"/>
              </w:rPr>
            </w:pPr>
            <w:r>
              <w:rPr>
                <w:rFonts w:hint="eastAsia" w:cs="宋体"/>
                <w:bCs/>
                <w:kern w:val="2"/>
                <w:szCs w:val="24"/>
              </w:rPr>
              <w:t>问题</w:t>
            </w:r>
          </w:p>
        </w:tc>
        <w:tc>
          <w:tcPr>
            <w:tcW w:w="8254" w:type="dxa"/>
            <w:vAlign w:val="top"/>
          </w:tcPr>
          <w:p>
            <w:pPr>
              <w:pStyle w:val="2"/>
              <w:spacing w:line="360" w:lineRule="auto"/>
              <w:ind w:firstLine="480" w:firstLineChars="200"/>
              <w:rPr>
                <w:i/>
                <w:iCs/>
                <w:sz w:val="24"/>
                <w:u w:val="single"/>
              </w:rPr>
            </w:pPr>
            <w:r>
              <w:rPr>
                <w:rFonts w:hint="eastAsia"/>
                <w:bCs/>
                <w:i/>
                <w:iCs/>
                <w:sz w:val="24"/>
                <w:u w:val="single"/>
              </w:rPr>
              <w:t>本项目</w:t>
            </w:r>
            <w:r>
              <w:rPr>
                <w:bCs/>
                <w:i/>
                <w:iCs/>
                <w:sz w:val="24"/>
                <w:u w:val="single"/>
              </w:rPr>
              <w:t>位于</w:t>
            </w:r>
            <w:r>
              <w:rPr>
                <w:rFonts w:hint="eastAsia" w:ascii="宋体" w:hAnsi="宋体" w:cs="宋体"/>
                <w:i/>
                <w:iCs/>
                <w:sz w:val="24"/>
                <w:u w:val="single"/>
              </w:rPr>
              <w:t>吉林省通化市</w:t>
            </w:r>
            <w:r>
              <w:rPr>
                <w:rFonts w:hint="eastAsia"/>
                <w:i/>
                <w:iCs/>
                <w:sz w:val="24"/>
                <w:u w:val="single"/>
              </w:rPr>
              <w:t>柳河县柳河镇河北村</w:t>
            </w:r>
            <w:r>
              <w:rPr>
                <w:rFonts w:hint="eastAsia" w:ascii="宋体" w:hAnsi="宋体" w:cs="宋体"/>
                <w:i/>
                <w:iCs/>
                <w:sz w:val="24"/>
                <w:u w:val="single"/>
              </w:rPr>
              <w:t>，</w:t>
            </w:r>
            <w:r>
              <w:rPr>
                <w:rFonts w:hint="eastAsia"/>
                <w:i/>
                <w:iCs/>
                <w:sz w:val="24"/>
                <w:u w:val="single"/>
              </w:rPr>
              <w:t>租赁柳河县铸城建材有限公司闲置厂房进行建设，该厂已停产多年，无生产加工活动，土地性质为工业用地，没有与本项目有关的原有污染及环境问题。</w:t>
            </w:r>
          </w:p>
          <w:p>
            <w:pPr>
              <w:pStyle w:val="19"/>
              <w:rPr>
                <w:sz w:val="24"/>
              </w:rPr>
            </w:pPr>
          </w:p>
          <w:p>
            <w:pPr>
              <w:pStyle w:val="2"/>
              <w:spacing w:line="360" w:lineRule="auto"/>
              <w:rPr>
                <w:rFonts w:ascii="宋体" w:hAnsi="宋体"/>
                <w:bCs/>
                <w:sz w:val="24"/>
              </w:rPr>
            </w:pPr>
          </w:p>
          <w:p>
            <w:pPr>
              <w:rPr>
                <w:rFonts w:ascii="宋体" w:hAnsi="宋体"/>
                <w:bCs/>
                <w:sz w:val="24"/>
              </w:rPr>
            </w:pPr>
          </w:p>
          <w:p>
            <w:pPr>
              <w:pStyle w:val="26"/>
              <w:ind w:firstLine="482"/>
              <w:rPr>
                <w:bCs/>
                <w:sz w:val="24"/>
              </w:rPr>
            </w:pPr>
          </w:p>
          <w:p>
            <w:pPr>
              <w:pStyle w:val="26"/>
              <w:ind w:firstLine="482"/>
              <w:rPr>
                <w:bCs/>
                <w:sz w:val="24"/>
              </w:rPr>
            </w:pPr>
          </w:p>
          <w:p>
            <w:pPr>
              <w:pStyle w:val="26"/>
              <w:ind w:firstLine="482"/>
              <w:rPr>
                <w:bCs/>
                <w:sz w:val="24"/>
              </w:rPr>
            </w:pPr>
          </w:p>
          <w:p>
            <w:pPr>
              <w:pStyle w:val="26"/>
              <w:ind w:firstLine="482"/>
              <w:rPr>
                <w:bCs/>
                <w:sz w:val="24"/>
              </w:rPr>
            </w:pPr>
          </w:p>
          <w:p>
            <w:pPr>
              <w:pStyle w:val="26"/>
              <w:ind w:firstLine="0" w:firstLineChars="0"/>
              <w:rPr>
                <w:bCs/>
                <w:sz w:val="24"/>
              </w:rPr>
            </w:pPr>
          </w:p>
          <w:p>
            <w:pPr>
              <w:pStyle w:val="26"/>
              <w:ind w:firstLine="482"/>
              <w:rPr>
                <w:bCs/>
                <w:sz w:val="24"/>
              </w:rPr>
            </w:pPr>
          </w:p>
          <w:p>
            <w:pPr>
              <w:pStyle w:val="26"/>
              <w:ind w:firstLine="482"/>
              <w:rPr>
                <w:bCs/>
                <w:sz w:val="24"/>
              </w:rPr>
            </w:pPr>
          </w:p>
          <w:p>
            <w:pPr>
              <w:pStyle w:val="26"/>
              <w:ind w:firstLine="482"/>
              <w:rPr>
                <w:bCs/>
                <w:sz w:val="24"/>
              </w:rPr>
            </w:pPr>
          </w:p>
          <w:p>
            <w:pPr>
              <w:pStyle w:val="26"/>
              <w:ind w:firstLine="482"/>
              <w:rPr>
                <w:bCs/>
                <w:sz w:val="24"/>
              </w:rPr>
            </w:pPr>
          </w:p>
          <w:p>
            <w:pPr>
              <w:pStyle w:val="26"/>
              <w:ind w:firstLine="482"/>
              <w:rPr>
                <w:bCs/>
                <w:sz w:val="24"/>
              </w:rPr>
            </w:pPr>
          </w:p>
        </w:tc>
      </w:tr>
    </w:tbl>
    <w:p>
      <w:pPr>
        <w:pStyle w:val="21"/>
        <w:spacing w:before="0" w:beforeAutospacing="0" w:after="0" w:afterAutospacing="0" w:line="360" w:lineRule="auto"/>
        <w:jc w:val="both"/>
        <w:outlineLvl w:val="0"/>
        <w:rPr>
          <w:rFonts w:ascii="黑体" w:hAnsi="黑体" w:eastAsia="黑体"/>
          <w:snapToGrid w:val="0"/>
          <w:sz w:val="30"/>
          <w:szCs w:val="30"/>
        </w:rPr>
      </w:pPr>
      <w:r>
        <w:rPr>
          <w:rFonts w:hint="eastAsia" w:ascii="黑体" w:hAnsi="黑体" w:eastAsia="黑体"/>
          <w:snapToGrid w:val="0"/>
          <w:sz w:val="30"/>
          <w:szCs w:val="30"/>
        </w:rPr>
        <w:br w:type="page"/>
      </w:r>
      <w:r>
        <w:rPr>
          <w:rFonts w:hint="eastAsia" w:ascii="黑体" w:hAnsi="黑体" w:eastAsia="黑体"/>
          <w:snapToGrid w:val="0"/>
          <w:sz w:val="30"/>
          <w:szCs w:val="30"/>
        </w:rPr>
        <w:t>三、区域环境质量现状、环境保护目标及评价标准</w:t>
      </w:r>
    </w:p>
    <w:tbl>
      <w:tblPr>
        <w:tblW w:w="9053"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left w:w="108" w:type="dxa"/>
          <w:right w:w="108" w:type="dxa"/>
        </w:tblCellMar>
      </w:tblPr>
      <w:tblGrid>
        <w:gridCol w:w="447"/>
        <w:gridCol w:w="8606"/>
      </w:tblGrid>
      <w:tr>
        <w:trPr>
          <w:trHeight w:val="23" w:hRule="atLeast"/>
          <w:jc w:val="center"/>
        </w:trPr>
        <w:tc>
          <w:tcPr>
            <w:tcW w:w="447" w:type="dxa"/>
            <w:vAlign w:val="center"/>
          </w:tcPr>
          <w:p>
            <w:pPr>
              <w:spacing w:line="360" w:lineRule="auto"/>
              <w:jc w:val="center"/>
              <w:rPr>
                <w:rFonts w:ascii="宋体" w:hAnsi="宋体" w:cs="宋体"/>
                <w:kern w:val="0"/>
                <w:sz w:val="24"/>
              </w:rPr>
            </w:pPr>
            <w:r>
              <w:rPr>
                <w:rFonts w:hint="eastAsia" w:ascii="宋体" w:hAnsi="宋体" w:cs="宋体"/>
                <w:kern w:val="0"/>
                <w:sz w:val="24"/>
              </w:rPr>
              <w:t>区域</w:t>
            </w:r>
          </w:p>
          <w:p>
            <w:pPr>
              <w:spacing w:line="360" w:lineRule="auto"/>
              <w:jc w:val="center"/>
              <w:rPr>
                <w:rFonts w:ascii="宋体" w:hAnsi="宋体" w:cs="宋体"/>
                <w:kern w:val="0"/>
                <w:sz w:val="24"/>
              </w:rPr>
            </w:pPr>
            <w:r>
              <w:rPr>
                <w:rFonts w:hint="eastAsia" w:ascii="宋体" w:hAnsi="宋体" w:cs="宋体"/>
                <w:kern w:val="0"/>
                <w:sz w:val="24"/>
              </w:rPr>
              <w:t>环境</w:t>
            </w:r>
          </w:p>
          <w:p>
            <w:pPr>
              <w:spacing w:line="360" w:lineRule="auto"/>
              <w:jc w:val="center"/>
              <w:rPr>
                <w:rFonts w:ascii="宋体" w:hAnsi="宋体" w:cs="宋体"/>
                <w:kern w:val="0"/>
                <w:sz w:val="24"/>
              </w:rPr>
            </w:pPr>
            <w:r>
              <w:rPr>
                <w:rFonts w:hint="eastAsia" w:ascii="宋体" w:hAnsi="宋体" w:cs="宋体"/>
                <w:kern w:val="0"/>
                <w:sz w:val="24"/>
              </w:rPr>
              <w:t>质量</w:t>
            </w:r>
          </w:p>
          <w:p>
            <w:pPr>
              <w:spacing w:line="360" w:lineRule="auto"/>
              <w:jc w:val="center"/>
              <w:rPr>
                <w:rFonts w:ascii="宋体" w:hAnsi="宋体" w:cs="宋体"/>
                <w:kern w:val="0"/>
                <w:sz w:val="24"/>
              </w:rPr>
            </w:pPr>
            <w:r>
              <w:rPr>
                <w:rFonts w:hint="eastAsia" w:ascii="宋体" w:hAnsi="宋体" w:cs="宋体"/>
                <w:kern w:val="0"/>
                <w:sz w:val="24"/>
              </w:rPr>
              <w:t>现状</w:t>
            </w:r>
          </w:p>
        </w:tc>
        <w:tc>
          <w:tcPr>
            <w:tcW w:w="8606" w:type="dxa"/>
            <w:vAlign w:val="center"/>
          </w:tcPr>
          <w:p>
            <w:pPr>
              <w:spacing w:line="360" w:lineRule="auto"/>
              <w:ind w:firstLine="482" w:firstLineChars="200"/>
              <w:rPr>
                <w:rFonts w:ascii="宋体" w:hAnsi="宋体" w:cs="宋体"/>
                <w:b/>
                <w:bCs/>
                <w:kern w:val="0"/>
                <w:sz w:val="24"/>
              </w:rPr>
            </w:pPr>
            <w:r>
              <w:rPr>
                <w:rFonts w:hint="eastAsia" w:ascii="宋体" w:hAnsi="宋体" w:cs="宋体"/>
                <w:b/>
                <w:bCs/>
                <w:kern w:val="0"/>
                <w:sz w:val="24"/>
              </w:rPr>
              <w:t>1、大气环境质量现状与评价</w:t>
            </w:r>
          </w:p>
          <w:p>
            <w:pPr>
              <w:spacing w:line="360" w:lineRule="auto"/>
              <w:ind w:firstLine="480" w:firstLineChars="200"/>
              <w:rPr>
                <w:rFonts w:ascii="宋体" w:hAnsi="宋体" w:cs="宋体"/>
                <w:kern w:val="0"/>
                <w:sz w:val="24"/>
              </w:rPr>
            </w:pPr>
            <w:r>
              <w:rPr>
                <w:rFonts w:hint="eastAsia" w:ascii="宋体" w:hAnsi="宋体" w:cs="宋体"/>
                <w:kern w:val="0"/>
                <w:sz w:val="24"/>
              </w:rPr>
              <w:t>（1）项目所在区域达标判定</w:t>
            </w:r>
          </w:p>
          <w:p>
            <w:pPr>
              <w:autoSpaceDE w:val="0"/>
              <w:autoSpaceDN w:val="0"/>
              <w:adjustRightInd w:val="0"/>
              <w:spacing w:line="360" w:lineRule="auto"/>
              <w:ind w:firstLine="480" w:firstLineChars="200"/>
              <w:jc w:val="left"/>
              <w:rPr>
                <w:kern w:val="0"/>
                <w:sz w:val="24"/>
              </w:rPr>
            </w:pPr>
            <w:r>
              <w:rPr>
                <w:kern w:val="0"/>
                <w:sz w:val="24"/>
              </w:rPr>
              <w:t>根据《建设项目环境影响报告表编制技术指南》（污染影响类）（试行），“常规污染物引用与建设项目距离较近的有效数据，包括近3年的规划环境影响评价的监测数据，国家、地方环境空气质量监测网数据或生态环境主管部门公开发布的质量数据等”。</w:t>
            </w:r>
          </w:p>
          <w:p>
            <w:pPr>
              <w:autoSpaceDE w:val="0"/>
              <w:autoSpaceDN w:val="0"/>
              <w:adjustRightInd w:val="0"/>
              <w:spacing w:line="360" w:lineRule="auto"/>
              <w:ind w:firstLine="480" w:firstLineChars="200"/>
              <w:jc w:val="left"/>
              <w:rPr>
                <w:sz w:val="24"/>
              </w:rPr>
            </w:pPr>
            <w:r>
              <w:rPr>
                <w:kern w:val="0"/>
                <w:sz w:val="24"/>
              </w:rPr>
              <w:t>根据</w:t>
            </w:r>
            <w:r>
              <w:rPr>
                <w:sz w:val="24"/>
              </w:rPr>
              <w:t>《202</w:t>
            </w:r>
            <w:r>
              <w:rPr>
                <w:rFonts w:hint="eastAsia"/>
                <w:sz w:val="24"/>
              </w:rPr>
              <w:t>5</w:t>
            </w:r>
            <w:r>
              <w:rPr>
                <w:sz w:val="24"/>
              </w:rPr>
              <w:t>年吉林省生态环境状况公报》进行空气质量达标区判定及环境质量现状评价，详见下表。</w:t>
            </w:r>
          </w:p>
          <w:p>
            <w:pPr>
              <w:jc w:val="center"/>
            </w:pPr>
            <w:r>
              <w:rPr>
                <w:b/>
                <w:sz w:val="24"/>
              </w:rPr>
              <w:t xml:space="preserve">表3-1  </w:t>
            </w:r>
            <w:r>
              <w:rPr>
                <w:rFonts w:hint="eastAsia"/>
                <w:b/>
                <w:sz w:val="24"/>
              </w:rPr>
              <w:t>通化</w:t>
            </w:r>
            <w:r>
              <w:rPr>
                <w:b/>
                <w:sz w:val="24"/>
              </w:rPr>
              <w:t>市基本污染物空气质量现状</w:t>
            </w:r>
            <w:r>
              <w:rPr>
                <w:b/>
                <w:sz w:val="22"/>
                <w:szCs w:val="22"/>
              </w:rPr>
              <w:t xml:space="preserve">  </w:t>
            </w:r>
            <w:r>
              <w:rPr>
                <w:szCs w:val="21"/>
              </w:rPr>
              <w:t>单位：µg/m</w:t>
            </w:r>
            <w:r>
              <w:rPr>
                <w:szCs w:val="21"/>
                <w:vertAlign w:val="superscript"/>
              </w:rPr>
              <w:t>3</w:t>
            </w:r>
          </w:p>
          <w:tbl>
            <w:tblPr>
              <w:tblW w:w="8387"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left w:w="108" w:type="dxa"/>
                <w:right w:w="108" w:type="dxa"/>
              </w:tblCellMar>
            </w:tblPr>
            <w:tblGrid>
              <w:gridCol w:w="1596"/>
              <w:gridCol w:w="1969"/>
              <w:gridCol w:w="1546"/>
              <w:gridCol w:w="2045"/>
              <w:gridCol w:w="1231"/>
            </w:tblGrid>
            <w:tr>
              <w:trPr>
                <w:trHeight w:val="654" w:hRule="exact"/>
                <w:jc w:val="center"/>
              </w:trPr>
              <w:tc>
                <w:tcPr>
                  <w:tcW w:w="1596" w:type="dxa"/>
                  <w:tcBorders>
                    <w:tl2br w:val="nil"/>
                    <w:tr2bl w:val="nil"/>
                  </w:tcBorders>
                  <w:vAlign w:val="center"/>
                </w:tcPr>
                <w:p>
                  <w:pPr>
                    <w:jc w:val="center"/>
                    <w:rPr>
                      <w:rFonts w:ascii="宋体" w:hAnsi="宋体" w:cs="宋体"/>
                      <w:szCs w:val="21"/>
                    </w:rPr>
                  </w:pPr>
                  <w:r>
                    <w:rPr>
                      <w:rFonts w:hint="eastAsia" w:ascii="宋体" w:hAnsi="宋体" w:cs="宋体"/>
                      <w:szCs w:val="21"/>
                    </w:rPr>
                    <w:t>污染物</w:t>
                  </w:r>
                </w:p>
              </w:tc>
              <w:tc>
                <w:tcPr>
                  <w:tcW w:w="1969" w:type="dxa"/>
                  <w:tcBorders>
                    <w:tl2br w:val="nil"/>
                    <w:tr2bl w:val="nil"/>
                  </w:tcBorders>
                  <w:vAlign w:val="center"/>
                </w:tcPr>
                <w:p>
                  <w:pPr>
                    <w:jc w:val="center"/>
                    <w:rPr>
                      <w:rFonts w:ascii="宋体" w:hAnsi="宋体" w:cs="宋体"/>
                      <w:szCs w:val="21"/>
                    </w:rPr>
                  </w:pPr>
                  <w:r>
                    <w:rPr>
                      <w:rFonts w:hint="eastAsia" w:ascii="宋体" w:hAnsi="宋体" w:cs="宋体"/>
                      <w:szCs w:val="21"/>
                    </w:rPr>
                    <w:t>年评价指标</w:t>
                  </w:r>
                </w:p>
              </w:tc>
              <w:tc>
                <w:tcPr>
                  <w:tcW w:w="1546" w:type="dxa"/>
                  <w:tcBorders>
                    <w:tl2br w:val="nil"/>
                    <w:tr2bl w:val="nil"/>
                  </w:tcBorders>
                  <w:vAlign w:val="center"/>
                </w:tcPr>
                <w:p>
                  <w:pPr>
                    <w:jc w:val="center"/>
                    <w:rPr>
                      <w:rFonts w:ascii="宋体" w:hAnsi="宋体" w:cs="宋体"/>
                      <w:szCs w:val="21"/>
                    </w:rPr>
                  </w:pPr>
                  <w:r>
                    <w:rPr>
                      <w:rFonts w:hint="eastAsia" w:ascii="宋体" w:hAnsi="宋体" w:cs="宋体"/>
                      <w:szCs w:val="21"/>
                    </w:rPr>
                    <w:t>现状浓度</w:t>
                  </w:r>
                </w:p>
              </w:tc>
              <w:tc>
                <w:tcPr>
                  <w:tcW w:w="2045" w:type="dxa"/>
                  <w:tcBorders>
                    <w:tl2br w:val="nil"/>
                    <w:tr2bl w:val="nil"/>
                  </w:tcBorders>
                  <w:vAlign w:val="center"/>
                </w:tcPr>
                <w:p>
                  <w:pPr>
                    <w:jc w:val="center"/>
                    <w:rPr>
                      <w:rFonts w:ascii="宋体" w:hAnsi="宋体" w:cs="宋体"/>
                      <w:szCs w:val="21"/>
                    </w:rPr>
                  </w:pPr>
                  <w:r>
                    <w:rPr>
                      <w:rFonts w:hint="eastAsia" w:ascii="宋体" w:hAnsi="宋体" w:cs="宋体"/>
                      <w:szCs w:val="21"/>
                    </w:rPr>
                    <w:t>过渡阶段浓度限值</w:t>
                  </w:r>
                </w:p>
              </w:tc>
              <w:tc>
                <w:tcPr>
                  <w:tcW w:w="1231" w:type="dxa"/>
                  <w:tcBorders>
                    <w:tl2br w:val="nil"/>
                    <w:tr2bl w:val="nil"/>
                  </w:tcBorders>
                  <w:vAlign w:val="center"/>
                </w:tcPr>
                <w:p>
                  <w:pPr>
                    <w:jc w:val="center"/>
                    <w:rPr>
                      <w:rFonts w:ascii="宋体" w:hAnsi="宋体" w:cs="宋体"/>
                      <w:szCs w:val="21"/>
                    </w:rPr>
                  </w:pPr>
                  <w:r>
                    <w:rPr>
                      <w:rFonts w:hint="eastAsia" w:ascii="宋体" w:hAnsi="宋体" w:cs="宋体"/>
                      <w:szCs w:val="21"/>
                    </w:rPr>
                    <w:t>达标情况</w:t>
                  </w:r>
                </w:p>
              </w:tc>
            </w:tr>
            <w:tr>
              <w:trPr>
                <w:trHeight w:val="454" w:hRule="exact"/>
                <w:jc w:val="center"/>
              </w:trPr>
              <w:tc>
                <w:tcPr>
                  <w:tcW w:w="1596" w:type="dxa"/>
                  <w:tcBorders>
                    <w:tl2br w:val="nil"/>
                    <w:tr2bl w:val="nil"/>
                  </w:tcBorders>
                  <w:vAlign w:val="center"/>
                </w:tcPr>
                <w:p>
                  <w:pPr>
                    <w:pStyle w:val="26"/>
                    <w:spacing w:before="0" w:after="0" w:line="240" w:lineRule="auto"/>
                    <w:ind w:firstLine="0" w:firstLineChars="0"/>
                    <w:jc w:val="center"/>
                    <w:rPr>
                      <w:rFonts w:eastAsia="宋体"/>
                      <w:b w:val="0"/>
                      <w:color w:val="auto"/>
                      <w:sz w:val="21"/>
                      <w:szCs w:val="21"/>
                    </w:rPr>
                  </w:pPr>
                  <w:r>
                    <w:rPr>
                      <w:rFonts w:hint="eastAsia" w:eastAsia="宋体"/>
                      <w:b w:val="0"/>
                      <w:color w:val="auto"/>
                      <w:sz w:val="21"/>
                      <w:szCs w:val="21"/>
                    </w:rPr>
                    <w:t>SO</w:t>
                  </w:r>
                  <w:r>
                    <w:rPr>
                      <w:rFonts w:hint="eastAsia" w:eastAsia="宋体"/>
                      <w:b w:val="0"/>
                      <w:color w:val="auto"/>
                      <w:sz w:val="21"/>
                      <w:szCs w:val="21"/>
                      <w:vertAlign w:val="subscript"/>
                    </w:rPr>
                    <w:t>2</w:t>
                  </w:r>
                </w:p>
              </w:tc>
              <w:tc>
                <w:tcPr>
                  <w:tcW w:w="1969" w:type="dxa"/>
                  <w:tcBorders>
                    <w:tl2br w:val="nil"/>
                    <w:tr2bl w:val="nil"/>
                  </w:tcBorders>
                  <w:vAlign w:val="center"/>
                </w:tcPr>
                <w:p>
                  <w:pPr>
                    <w:adjustRightInd w:val="0"/>
                    <w:snapToGrid w:val="0"/>
                    <w:jc w:val="center"/>
                    <w:rPr>
                      <w:rFonts w:ascii="宋体" w:hAnsi="宋体" w:cs="宋体"/>
                      <w:szCs w:val="21"/>
                    </w:rPr>
                  </w:pPr>
                  <w:r>
                    <w:rPr>
                      <w:rFonts w:hint="eastAsia" w:ascii="宋体" w:hAnsi="宋体" w:cs="宋体"/>
                      <w:szCs w:val="21"/>
                    </w:rPr>
                    <w:t>年均浓度</w:t>
                  </w:r>
                </w:p>
              </w:tc>
              <w:tc>
                <w:tcPr>
                  <w:tcW w:w="1546" w:type="dxa"/>
                  <w:tcBorders>
                    <w:tl2br w:val="nil"/>
                    <w:tr2bl w:val="nil"/>
                  </w:tcBorders>
                  <w:vAlign w:val="center"/>
                </w:tcPr>
                <w:p>
                  <w:pPr>
                    <w:pStyle w:val="26"/>
                    <w:spacing w:before="0" w:after="0" w:line="240" w:lineRule="auto"/>
                    <w:ind w:firstLine="0" w:firstLineChars="0"/>
                    <w:jc w:val="center"/>
                    <w:rPr>
                      <w:rFonts w:eastAsia="宋体"/>
                      <w:b w:val="0"/>
                      <w:color w:val="auto"/>
                      <w:sz w:val="21"/>
                      <w:szCs w:val="21"/>
                    </w:rPr>
                  </w:pPr>
                  <w:r>
                    <w:rPr>
                      <w:rFonts w:hint="eastAsia" w:eastAsia="宋体"/>
                      <w:b w:val="0"/>
                      <w:color w:val="auto"/>
                      <w:sz w:val="21"/>
                      <w:szCs w:val="21"/>
                    </w:rPr>
                    <w:t>12</w:t>
                  </w:r>
                </w:p>
              </w:tc>
              <w:tc>
                <w:tcPr>
                  <w:tcW w:w="2045" w:type="dxa"/>
                  <w:tcBorders>
                    <w:tl2br w:val="nil"/>
                    <w:tr2bl w:val="nil"/>
                  </w:tcBorders>
                  <w:vAlign w:val="center"/>
                </w:tcPr>
                <w:p>
                  <w:pPr>
                    <w:pStyle w:val="26"/>
                    <w:spacing w:before="0" w:after="0" w:line="240" w:lineRule="auto"/>
                    <w:ind w:firstLine="0" w:firstLineChars="0"/>
                    <w:jc w:val="center"/>
                    <w:rPr>
                      <w:rFonts w:eastAsia="宋体"/>
                      <w:b w:val="0"/>
                      <w:color w:val="auto"/>
                      <w:sz w:val="21"/>
                      <w:szCs w:val="21"/>
                    </w:rPr>
                  </w:pPr>
                  <w:r>
                    <w:rPr>
                      <w:rFonts w:hint="eastAsia" w:eastAsia="宋体"/>
                      <w:b w:val="0"/>
                      <w:color w:val="auto"/>
                      <w:sz w:val="21"/>
                      <w:szCs w:val="21"/>
                    </w:rPr>
                    <w:t>60</w:t>
                  </w:r>
                </w:p>
              </w:tc>
              <w:tc>
                <w:tcPr>
                  <w:tcW w:w="1231" w:type="dxa"/>
                  <w:tcBorders>
                    <w:tl2br w:val="nil"/>
                    <w:tr2bl w:val="nil"/>
                  </w:tcBorders>
                  <w:vAlign w:val="center"/>
                </w:tcPr>
                <w:p>
                  <w:pPr>
                    <w:pStyle w:val="26"/>
                    <w:spacing w:before="0" w:after="0" w:line="240" w:lineRule="auto"/>
                    <w:ind w:firstLine="0" w:firstLineChars="0"/>
                    <w:jc w:val="center"/>
                    <w:rPr>
                      <w:rFonts w:eastAsia="宋体"/>
                      <w:b w:val="0"/>
                      <w:color w:val="auto"/>
                      <w:sz w:val="21"/>
                      <w:szCs w:val="21"/>
                    </w:rPr>
                  </w:pPr>
                  <w:r>
                    <w:rPr>
                      <w:rFonts w:hint="eastAsia" w:eastAsia="宋体"/>
                      <w:b w:val="0"/>
                      <w:color w:val="auto"/>
                      <w:sz w:val="21"/>
                      <w:szCs w:val="21"/>
                    </w:rPr>
                    <w:t>达标</w:t>
                  </w:r>
                </w:p>
              </w:tc>
            </w:tr>
            <w:tr>
              <w:trPr>
                <w:trHeight w:val="454" w:hRule="exact"/>
                <w:jc w:val="center"/>
              </w:trPr>
              <w:tc>
                <w:tcPr>
                  <w:tcW w:w="1596" w:type="dxa"/>
                  <w:tcBorders>
                    <w:tl2br w:val="nil"/>
                    <w:tr2bl w:val="nil"/>
                  </w:tcBorders>
                  <w:vAlign w:val="center"/>
                </w:tcPr>
                <w:p>
                  <w:pPr>
                    <w:pStyle w:val="26"/>
                    <w:spacing w:before="0" w:after="0" w:line="240" w:lineRule="auto"/>
                    <w:ind w:firstLine="0" w:firstLineChars="0"/>
                    <w:jc w:val="center"/>
                    <w:rPr>
                      <w:rFonts w:eastAsia="宋体"/>
                      <w:b w:val="0"/>
                      <w:color w:val="auto"/>
                      <w:sz w:val="21"/>
                      <w:szCs w:val="21"/>
                    </w:rPr>
                  </w:pPr>
                  <w:r>
                    <w:rPr>
                      <w:rFonts w:hint="eastAsia" w:eastAsia="宋体"/>
                      <w:b w:val="0"/>
                      <w:color w:val="auto"/>
                      <w:sz w:val="21"/>
                      <w:szCs w:val="21"/>
                    </w:rPr>
                    <w:t>NO</w:t>
                  </w:r>
                  <w:r>
                    <w:rPr>
                      <w:rFonts w:hint="eastAsia" w:eastAsia="宋体"/>
                      <w:b w:val="0"/>
                      <w:color w:val="auto"/>
                      <w:sz w:val="21"/>
                      <w:szCs w:val="21"/>
                      <w:vertAlign w:val="subscript"/>
                    </w:rPr>
                    <w:t>2</w:t>
                  </w:r>
                </w:p>
              </w:tc>
              <w:tc>
                <w:tcPr>
                  <w:tcW w:w="1969" w:type="dxa"/>
                  <w:tcBorders>
                    <w:tl2br w:val="nil"/>
                    <w:tr2bl w:val="nil"/>
                  </w:tcBorders>
                  <w:vAlign w:val="center"/>
                </w:tcPr>
                <w:p>
                  <w:pPr>
                    <w:adjustRightInd w:val="0"/>
                    <w:snapToGrid w:val="0"/>
                    <w:jc w:val="center"/>
                    <w:rPr>
                      <w:rFonts w:ascii="宋体" w:hAnsi="宋体" w:cs="宋体"/>
                      <w:szCs w:val="21"/>
                    </w:rPr>
                  </w:pPr>
                  <w:r>
                    <w:rPr>
                      <w:rFonts w:hint="eastAsia" w:ascii="宋体" w:hAnsi="宋体" w:cs="宋体"/>
                      <w:szCs w:val="21"/>
                    </w:rPr>
                    <w:t>年均浓度</w:t>
                  </w:r>
                </w:p>
              </w:tc>
              <w:tc>
                <w:tcPr>
                  <w:tcW w:w="1546" w:type="dxa"/>
                  <w:tcBorders>
                    <w:tl2br w:val="nil"/>
                    <w:tr2bl w:val="nil"/>
                  </w:tcBorders>
                  <w:vAlign w:val="center"/>
                </w:tcPr>
                <w:p>
                  <w:pPr>
                    <w:pStyle w:val="26"/>
                    <w:spacing w:before="0" w:after="0" w:line="240" w:lineRule="auto"/>
                    <w:ind w:firstLine="0" w:firstLineChars="0"/>
                    <w:jc w:val="center"/>
                    <w:rPr>
                      <w:rFonts w:eastAsia="宋体"/>
                      <w:b w:val="0"/>
                      <w:color w:val="auto"/>
                      <w:sz w:val="21"/>
                      <w:szCs w:val="21"/>
                    </w:rPr>
                  </w:pPr>
                  <w:r>
                    <w:rPr>
                      <w:rFonts w:hint="eastAsia" w:eastAsia="宋体"/>
                      <w:b w:val="0"/>
                      <w:color w:val="auto"/>
                      <w:sz w:val="21"/>
                      <w:szCs w:val="21"/>
                    </w:rPr>
                    <w:t>21</w:t>
                  </w:r>
                </w:p>
              </w:tc>
              <w:tc>
                <w:tcPr>
                  <w:tcW w:w="2045" w:type="dxa"/>
                  <w:tcBorders>
                    <w:tl2br w:val="nil"/>
                    <w:tr2bl w:val="nil"/>
                  </w:tcBorders>
                  <w:vAlign w:val="center"/>
                </w:tcPr>
                <w:p>
                  <w:pPr>
                    <w:pStyle w:val="26"/>
                    <w:spacing w:before="0" w:after="0" w:line="240" w:lineRule="auto"/>
                    <w:ind w:firstLine="0" w:firstLineChars="0"/>
                    <w:jc w:val="center"/>
                    <w:rPr>
                      <w:rFonts w:eastAsia="宋体"/>
                      <w:b w:val="0"/>
                      <w:color w:val="auto"/>
                      <w:sz w:val="21"/>
                      <w:szCs w:val="21"/>
                    </w:rPr>
                  </w:pPr>
                  <w:r>
                    <w:rPr>
                      <w:rFonts w:hint="eastAsia" w:eastAsia="宋体"/>
                      <w:b w:val="0"/>
                      <w:color w:val="auto"/>
                      <w:sz w:val="21"/>
                      <w:szCs w:val="21"/>
                    </w:rPr>
                    <w:t>40</w:t>
                  </w:r>
                </w:p>
              </w:tc>
              <w:tc>
                <w:tcPr>
                  <w:tcW w:w="1231" w:type="dxa"/>
                  <w:tcBorders>
                    <w:tl2br w:val="nil"/>
                    <w:tr2bl w:val="nil"/>
                  </w:tcBorders>
                  <w:vAlign w:val="center"/>
                </w:tcPr>
                <w:p>
                  <w:pPr>
                    <w:jc w:val="center"/>
                    <w:rPr>
                      <w:rFonts w:ascii="宋体" w:hAnsi="宋体" w:cs="宋体"/>
                      <w:szCs w:val="21"/>
                    </w:rPr>
                  </w:pPr>
                  <w:r>
                    <w:rPr>
                      <w:rFonts w:hint="eastAsia" w:ascii="宋体" w:hAnsi="宋体" w:cs="宋体"/>
                      <w:szCs w:val="21"/>
                    </w:rPr>
                    <w:t>达标</w:t>
                  </w:r>
                </w:p>
              </w:tc>
            </w:tr>
            <w:tr>
              <w:trPr>
                <w:trHeight w:val="454" w:hRule="exact"/>
                <w:jc w:val="center"/>
              </w:trPr>
              <w:tc>
                <w:tcPr>
                  <w:tcW w:w="1596" w:type="dxa"/>
                  <w:tcBorders>
                    <w:tl2br w:val="nil"/>
                    <w:tr2bl w:val="nil"/>
                  </w:tcBorders>
                  <w:vAlign w:val="center"/>
                </w:tcPr>
                <w:p>
                  <w:pPr>
                    <w:pStyle w:val="26"/>
                    <w:spacing w:before="0" w:after="0" w:line="240" w:lineRule="auto"/>
                    <w:ind w:firstLine="0" w:firstLineChars="0"/>
                    <w:jc w:val="center"/>
                    <w:rPr>
                      <w:rFonts w:eastAsia="宋体"/>
                      <w:b w:val="0"/>
                      <w:color w:val="auto"/>
                      <w:sz w:val="21"/>
                      <w:szCs w:val="21"/>
                    </w:rPr>
                  </w:pPr>
                  <w:r>
                    <w:rPr>
                      <w:rFonts w:hint="eastAsia" w:eastAsia="宋体"/>
                      <w:b w:val="0"/>
                      <w:color w:val="auto"/>
                      <w:sz w:val="21"/>
                      <w:szCs w:val="21"/>
                    </w:rPr>
                    <w:t>CO</w:t>
                  </w:r>
                </w:p>
              </w:tc>
              <w:tc>
                <w:tcPr>
                  <w:tcW w:w="1969" w:type="dxa"/>
                  <w:tcBorders>
                    <w:tl2br w:val="nil"/>
                    <w:tr2bl w:val="nil"/>
                  </w:tcBorders>
                  <w:vAlign w:val="center"/>
                </w:tcPr>
                <w:p>
                  <w:pPr>
                    <w:pStyle w:val="26"/>
                    <w:adjustRightInd w:val="0"/>
                    <w:snapToGrid w:val="0"/>
                    <w:spacing w:before="0" w:after="0" w:line="240" w:lineRule="auto"/>
                    <w:ind w:firstLine="0" w:firstLineChars="0"/>
                    <w:jc w:val="center"/>
                    <w:rPr>
                      <w:rFonts w:eastAsia="宋体"/>
                      <w:b w:val="0"/>
                      <w:color w:val="auto"/>
                      <w:sz w:val="21"/>
                      <w:szCs w:val="21"/>
                    </w:rPr>
                  </w:pPr>
                  <w:r>
                    <w:rPr>
                      <w:rFonts w:hint="eastAsia" w:eastAsia="宋体"/>
                      <w:b w:val="0"/>
                      <w:color w:val="auto"/>
                      <w:sz w:val="21"/>
                      <w:szCs w:val="21"/>
                    </w:rPr>
                    <w:t>年百分位浓度</w:t>
                  </w:r>
                </w:p>
              </w:tc>
              <w:tc>
                <w:tcPr>
                  <w:tcW w:w="1546" w:type="dxa"/>
                  <w:tcBorders>
                    <w:tl2br w:val="nil"/>
                    <w:tr2bl w:val="nil"/>
                  </w:tcBorders>
                  <w:vAlign w:val="center"/>
                </w:tcPr>
                <w:p>
                  <w:pPr>
                    <w:pStyle w:val="26"/>
                    <w:spacing w:before="0" w:after="0" w:line="240" w:lineRule="auto"/>
                    <w:ind w:firstLine="0" w:firstLineChars="0"/>
                    <w:jc w:val="center"/>
                    <w:rPr>
                      <w:rFonts w:eastAsia="宋体"/>
                      <w:b w:val="0"/>
                      <w:color w:val="auto"/>
                      <w:sz w:val="21"/>
                      <w:szCs w:val="21"/>
                    </w:rPr>
                  </w:pPr>
                  <w:r>
                    <w:rPr>
                      <w:rFonts w:hint="eastAsia" w:eastAsia="宋体"/>
                      <w:b w:val="0"/>
                      <w:color w:val="auto"/>
                      <w:sz w:val="21"/>
                      <w:szCs w:val="21"/>
                    </w:rPr>
                    <w:t>1.2</w:t>
                  </w:r>
                </w:p>
              </w:tc>
              <w:tc>
                <w:tcPr>
                  <w:tcW w:w="2045" w:type="dxa"/>
                  <w:tcBorders>
                    <w:tl2br w:val="nil"/>
                    <w:tr2bl w:val="nil"/>
                  </w:tcBorders>
                  <w:vAlign w:val="center"/>
                </w:tcPr>
                <w:p>
                  <w:pPr>
                    <w:pStyle w:val="26"/>
                    <w:spacing w:before="0" w:after="0" w:line="240" w:lineRule="auto"/>
                    <w:ind w:firstLine="0" w:firstLineChars="0"/>
                    <w:jc w:val="center"/>
                    <w:rPr>
                      <w:rFonts w:eastAsia="宋体"/>
                      <w:b w:val="0"/>
                      <w:color w:val="auto"/>
                      <w:sz w:val="21"/>
                      <w:szCs w:val="21"/>
                    </w:rPr>
                  </w:pPr>
                  <w:r>
                    <w:rPr>
                      <w:rFonts w:hint="eastAsia" w:eastAsia="宋体"/>
                      <w:b w:val="0"/>
                      <w:color w:val="auto"/>
                      <w:sz w:val="21"/>
                      <w:szCs w:val="21"/>
                    </w:rPr>
                    <w:t>4</w:t>
                  </w:r>
                </w:p>
              </w:tc>
              <w:tc>
                <w:tcPr>
                  <w:tcW w:w="1231" w:type="dxa"/>
                  <w:tcBorders>
                    <w:tl2br w:val="nil"/>
                    <w:tr2bl w:val="nil"/>
                  </w:tcBorders>
                  <w:vAlign w:val="center"/>
                </w:tcPr>
                <w:p>
                  <w:pPr>
                    <w:jc w:val="center"/>
                    <w:rPr>
                      <w:rFonts w:ascii="宋体" w:hAnsi="宋体" w:cs="宋体"/>
                      <w:szCs w:val="21"/>
                    </w:rPr>
                  </w:pPr>
                  <w:r>
                    <w:rPr>
                      <w:rFonts w:hint="eastAsia" w:ascii="宋体" w:hAnsi="宋体" w:cs="宋体"/>
                      <w:szCs w:val="21"/>
                    </w:rPr>
                    <w:t>达标</w:t>
                  </w:r>
                </w:p>
              </w:tc>
            </w:tr>
            <w:tr>
              <w:trPr>
                <w:trHeight w:val="454" w:hRule="exact"/>
                <w:jc w:val="center"/>
              </w:trPr>
              <w:tc>
                <w:tcPr>
                  <w:tcW w:w="1596" w:type="dxa"/>
                  <w:tcBorders>
                    <w:tl2br w:val="nil"/>
                    <w:tr2bl w:val="nil"/>
                  </w:tcBorders>
                  <w:vAlign w:val="center"/>
                </w:tcPr>
                <w:p>
                  <w:pPr>
                    <w:pStyle w:val="26"/>
                    <w:spacing w:before="0" w:after="0" w:line="240" w:lineRule="auto"/>
                    <w:ind w:firstLine="0" w:firstLineChars="0"/>
                    <w:jc w:val="center"/>
                    <w:rPr>
                      <w:rFonts w:eastAsia="宋体"/>
                      <w:b w:val="0"/>
                      <w:color w:val="auto"/>
                      <w:sz w:val="21"/>
                      <w:szCs w:val="21"/>
                    </w:rPr>
                  </w:pPr>
                  <w:r>
                    <w:rPr>
                      <w:rFonts w:hint="eastAsia" w:eastAsia="宋体"/>
                      <w:b w:val="0"/>
                      <w:color w:val="auto"/>
                      <w:sz w:val="21"/>
                      <w:szCs w:val="21"/>
                    </w:rPr>
                    <w:t>O</w:t>
                  </w:r>
                  <w:r>
                    <w:rPr>
                      <w:rFonts w:hint="eastAsia" w:eastAsia="宋体"/>
                      <w:b w:val="0"/>
                      <w:color w:val="auto"/>
                      <w:sz w:val="21"/>
                      <w:szCs w:val="21"/>
                      <w:vertAlign w:val="subscript"/>
                    </w:rPr>
                    <w:t>3</w:t>
                  </w:r>
                </w:p>
              </w:tc>
              <w:tc>
                <w:tcPr>
                  <w:tcW w:w="1969" w:type="dxa"/>
                  <w:tcBorders>
                    <w:tl2br w:val="nil"/>
                    <w:tr2bl w:val="nil"/>
                  </w:tcBorders>
                  <w:vAlign w:val="center"/>
                </w:tcPr>
                <w:p>
                  <w:pPr>
                    <w:pStyle w:val="26"/>
                    <w:adjustRightInd w:val="0"/>
                    <w:snapToGrid w:val="0"/>
                    <w:spacing w:before="0" w:after="0" w:line="240" w:lineRule="auto"/>
                    <w:ind w:firstLine="0" w:firstLineChars="0"/>
                    <w:jc w:val="center"/>
                    <w:rPr>
                      <w:rFonts w:eastAsia="宋体"/>
                      <w:b w:val="0"/>
                      <w:color w:val="auto"/>
                      <w:sz w:val="21"/>
                      <w:szCs w:val="21"/>
                    </w:rPr>
                  </w:pPr>
                  <w:r>
                    <w:rPr>
                      <w:rFonts w:hint="eastAsia" w:eastAsia="宋体"/>
                      <w:b w:val="0"/>
                      <w:color w:val="auto"/>
                      <w:sz w:val="21"/>
                      <w:szCs w:val="21"/>
                    </w:rPr>
                    <w:t>年百分位浓度</w:t>
                  </w:r>
                </w:p>
              </w:tc>
              <w:tc>
                <w:tcPr>
                  <w:tcW w:w="1546" w:type="dxa"/>
                  <w:tcBorders>
                    <w:tl2br w:val="nil"/>
                    <w:tr2bl w:val="nil"/>
                  </w:tcBorders>
                  <w:vAlign w:val="center"/>
                </w:tcPr>
                <w:p>
                  <w:pPr>
                    <w:pStyle w:val="26"/>
                    <w:spacing w:before="0" w:after="0" w:line="240" w:lineRule="auto"/>
                    <w:ind w:firstLine="0" w:firstLineChars="0"/>
                    <w:jc w:val="center"/>
                    <w:rPr>
                      <w:rFonts w:eastAsia="宋体"/>
                      <w:b w:val="0"/>
                      <w:color w:val="auto"/>
                      <w:sz w:val="21"/>
                      <w:szCs w:val="21"/>
                    </w:rPr>
                  </w:pPr>
                  <w:r>
                    <w:rPr>
                      <w:rFonts w:hint="eastAsia" w:eastAsia="宋体"/>
                      <w:b w:val="0"/>
                      <w:color w:val="auto"/>
                      <w:sz w:val="21"/>
                      <w:szCs w:val="21"/>
                    </w:rPr>
                    <w:t>122</w:t>
                  </w:r>
                </w:p>
              </w:tc>
              <w:tc>
                <w:tcPr>
                  <w:tcW w:w="2045" w:type="dxa"/>
                  <w:tcBorders>
                    <w:tl2br w:val="nil"/>
                    <w:tr2bl w:val="nil"/>
                  </w:tcBorders>
                  <w:vAlign w:val="center"/>
                </w:tcPr>
                <w:p>
                  <w:pPr>
                    <w:pStyle w:val="26"/>
                    <w:spacing w:before="0" w:after="0" w:line="240" w:lineRule="auto"/>
                    <w:ind w:firstLine="0" w:firstLineChars="0"/>
                    <w:jc w:val="center"/>
                    <w:rPr>
                      <w:rFonts w:eastAsia="宋体"/>
                      <w:b w:val="0"/>
                      <w:color w:val="auto"/>
                      <w:sz w:val="21"/>
                      <w:szCs w:val="21"/>
                    </w:rPr>
                  </w:pPr>
                  <w:r>
                    <w:rPr>
                      <w:rFonts w:hint="eastAsia" w:eastAsia="宋体"/>
                      <w:b w:val="0"/>
                      <w:color w:val="auto"/>
                      <w:sz w:val="21"/>
                      <w:szCs w:val="21"/>
                    </w:rPr>
                    <w:t>160</w:t>
                  </w:r>
                </w:p>
              </w:tc>
              <w:tc>
                <w:tcPr>
                  <w:tcW w:w="1231" w:type="dxa"/>
                  <w:tcBorders>
                    <w:tl2br w:val="nil"/>
                    <w:tr2bl w:val="nil"/>
                  </w:tcBorders>
                  <w:vAlign w:val="center"/>
                </w:tcPr>
                <w:p>
                  <w:pPr>
                    <w:jc w:val="center"/>
                    <w:rPr>
                      <w:rFonts w:ascii="宋体" w:hAnsi="宋体" w:cs="宋体"/>
                      <w:szCs w:val="21"/>
                    </w:rPr>
                  </w:pPr>
                  <w:r>
                    <w:rPr>
                      <w:rFonts w:hint="eastAsia" w:ascii="宋体" w:hAnsi="宋体" w:cs="宋体"/>
                      <w:szCs w:val="21"/>
                    </w:rPr>
                    <w:t>达标</w:t>
                  </w:r>
                </w:p>
              </w:tc>
            </w:tr>
            <w:tr>
              <w:trPr>
                <w:trHeight w:val="454" w:hRule="exact"/>
                <w:jc w:val="center"/>
              </w:trPr>
              <w:tc>
                <w:tcPr>
                  <w:tcW w:w="1596" w:type="dxa"/>
                  <w:tcBorders>
                    <w:tl2br w:val="nil"/>
                    <w:tr2bl w:val="nil"/>
                  </w:tcBorders>
                  <w:vAlign w:val="center"/>
                </w:tcPr>
                <w:p>
                  <w:pPr>
                    <w:pStyle w:val="26"/>
                    <w:spacing w:before="0" w:after="0" w:line="240" w:lineRule="auto"/>
                    <w:ind w:firstLine="0" w:firstLineChars="0"/>
                    <w:jc w:val="center"/>
                    <w:rPr>
                      <w:rFonts w:eastAsia="宋体"/>
                      <w:b w:val="0"/>
                      <w:color w:val="auto"/>
                      <w:sz w:val="21"/>
                      <w:szCs w:val="21"/>
                    </w:rPr>
                  </w:pPr>
                  <w:r>
                    <w:rPr>
                      <w:rFonts w:hint="eastAsia" w:eastAsia="宋体"/>
                      <w:b w:val="0"/>
                      <w:color w:val="auto"/>
                      <w:sz w:val="21"/>
                      <w:szCs w:val="21"/>
                    </w:rPr>
                    <w:t>PM</w:t>
                  </w:r>
                  <w:r>
                    <w:rPr>
                      <w:rFonts w:hint="eastAsia" w:eastAsia="宋体"/>
                      <w:b w:val="0"/>
                      <w:color w:val="auto"/>
                      <w:sz w:val="21"/>
                      <w:szCs w:val="21"/>
                      <w:vertAlign w:val="subscript"/>
                    </w:rPr>
                    <w:t>10</w:t>
                  </w:r>
                </w:p>
              </w:tc>
              <w:tc>
                <w:tcPr>
                  <w:tcW w:w="1969" w:type="dxa"/>
                  <w:tcBorders>
                    <w:tl2br w:val="nil"/>
                    <w:tr2bl w:val="nil"/>
                  </w:tcBorders>
                  <w:vAlign w:val="center"/>
                </w:tcPr>
                <w:p>
                  <w:pPr>
                    <w:adjustRightInd w:val="0"/>
                    <w:snapToGrid w:val="0"/>
                    <w:jc w:val="center"/>
                    <w:rPr>
                      <w:rFonts w:ascii="宋体" w:hAnsi="宋体" w:cs="宋体"/>
                      <w:szCs w:val="21"/>
                    </w:rPr>
                  </w:pPr>
                  <w:r>
                    <w:rPr>
                      <w:rFonts w:hint="eastAsia" w:ascii="宋体" w:hAnsi="宋体" w:cs="宋体"/>
                      <w:szCs w:val="21"/>
                    </w:rPr>
                    <w:t>年均浓度</w:t>
                  </w:r>
                </w:p>
              </w:tc>
              <w:tc>
                <w:tcPr>
                  <w:tcW w:w="1546" w:type="dxa"/>
                  <w:tcBorders>
                    <w:tl2br w:val="nil"/>
                    <w:tr2bl w:val="nil"/>
                  </w:tcBorders>
                  <w:vAlign w:val="center"/>
                </w:tcPr>
                <w:p>
                  <w:pPr>
                    <w:pStyle w:val="26"/>
                    <w:spacing w:before="0" w:after="0" w:line="240" w:lineRule="auto"/>
                    <w:ind w:firstLine="0" w:firstLineChars="0"/>
                    <w:jc w:val="center"/>
                    <w:rPr>
                      <w:rFonts w:eastAsia="宋体"/>
                      <w:b w:val="0"/>
                      <w:color w:val="auto"/>
                      <w:sz w:val="21"/>
                      <w:szCs w:val="21"/>
                    </w:rPr>
                  </w:pPr>
                  <w:r>
                    <w:rPr>
                      <w:rFonts w:hint="eastAsia" w:eastAsia="宋体"/>
                      <w:b w:val="0"/>
                      <w:color w:val="auto"/>
                      <w:sz w:val="21"/>
                      <w:szCs w:val="21"/>
                    </w:rPr>
                    <w:t>38</w:t>
                  </w:r>
                </w:p>
              </w:tc>
              <w:tc>
                <w:tcPr>
                  <w:tcW w:w="2045" w:type="dxa"/>
                  <w:tcBorders>
                    <w:tl2br w:val="nil"/>
                    <w:tr2bl w:val="nil"/>
                  </w:tcBorders>
                  <w:vAlign w:val="center"/>
                </w:tcPr>
                <w:p>
                  <w:pPr>
                    <w:pStyle w:val="26"/>
                    <w:spacing w:before="0" w:after="0" w:line="240" w:lineRule="auto"/>
                    <w:ind w:firstLine="0" w:firstLineChars="0"/>
                    <w:jc w:val="center"/>
                    <w:rPr>
                      <w:rFonts w:eastAsia="宋体"/>
                      <w:b w:val="0"/>
                      <w:color w:val="auto"/>
                      <w:sz w:val="21"/>
                      <w:szCs w:val="21"/>
                    </w:rPr>
                  </w:pPr>
                  <w:r>
                    <w:rPr>
                      <w:rFonts w:hint="eastAsia" w:eastAsia="宋体"/>
                      <w:b w:val="0"/>
                      <w:color w:val="auto"/>
                      <w:sz w:val="21"/>
                      <w:szCs w:val="21"/>
                    </w:rPr>
                    <w:t>60</w:t>
                  </w:r>
                </w:p>
              </w:tc>
              <w:tc>
                <w:tcPr>
                  <w:tcW w:w="1231" w:type="dxa"/>
                  <w:tcBorders>
                    <w:tl2br w:val="nil"/>
                    <w:tr2bl w:val="nil"/>
                  </w:tcBorders>
                  <w:vAlign w:val="center"/>
                </w:tcPr>
                <w:p>
                  <w:pPr>
                    <w:jc w:val="center"/>
                    <w:rPr>
                      <w:rFonts w:ascii="宋体" w:hAnsi="宋体" w:cs="宋体"/>
                      <w:szCs w:val="21"/>
                    </w:rPr>
                  </w:pPr>
                  <w:r>
                    <w:rPr>
                      <w:rFonts w:hint="eastAsia" w:ascii="宋体" w:hAnsi="宋体" w:cs="宋体"/>
                      <w:szCs w:val="21"/>
                    </w:rPr>
                    <w:t>达标</w:t>
                  </w:r>
                </w:p>
              </w:tc>
            </w:tr>
            <w:tr>
              <w:trPr>
                <w:trHeight w:val="454" w:hRule="exact"/>
                <w:jc w:val="center"/>
              </w:trPr>
              <w:tc>
                <w:tcPr>
                  <w:tcW w:w="1596" w:type="dxa"/>
                  <w:tcBorders>
                    <w:tl2br w:val="nil"/>
                    <w:tr2bl w:val="nil"/>
                  </w:tcBorders>
                  <w:vAlign w:val="center"/>
                </w:tcPr>
                <w:p>
                  <w:pPr>
                    <w:pStyle w:val="26"/>
                    <w:spacing w:before="0" w:after="0" w:line="240" w:lineRule="auto"/>
                    <w:ind w:firstLine="0" w:firstLineChars="0"/>
                    <w:jc w:val="center"/>
                    <w:rPr>
                      <w:rFonts w:eastAsia="宋体"/>
                      <w:b w:val="0"/>
                      <w:color w:val="auto"/>
                      <w:sz w:val="21"/>
                      <w:szCs w:val="21"/>
                    </w:rPr>
                  </w:pPr>
                  <w:r>
                    <w:rPr>
                      <w:rFonts w:hint="eastAsia" w:eastAsia="宋体"/>
                      <w:b w:val="0"/>
                      <w:color w:val="auto"/>
                      <w:sz w:val="21"/>
                      <w:szCs w:val="21"/>
                    </w:rPr>
                    <w:t>PM</w:t>
                  </w:r>
                  <w:r>
                    <w:rPr>
                      <w:rFonts w:hint="eastAsia" w:eastAsia="宋体"/>
                      <w:b w:val="0"/>
                      <w:color w:val="auto"/>
                      <w:sz w:val="21"/>
                      <w:szCs w:val="21"/>
                      <w:vertAlign w:val="subscript"/>
                    </w:rPr>
                    <w:t>2.5</w:t>
                  </w:r>
                </w:p>
              </w:tc>
              <w:tc>
                <w:tcPr>
                  <w:tcW w:w="1969" w:type="dxa"/>
                  <w:tcBorders>
                    <w:tl2br w:val="nil"/>
                    <w:tr2bl w:val="nil"/>
                  </w:tcBorders>
                  <w:vAlign w:val="center"/>
                </w:tcPr>
                <w:p>
                  <w:pPr>
                    <w:adjustRightInd w:val="0"/>
                    <w:snapToGrid w:val="0"/>
                    <w:jc w:val="center"/>
                    <w:rPr>
                      <w:rFonts w:ascii="宋体" w:hAnsi="宋体" w:cs="宋体"/>
                      <w:szCs w:val="21"/>
                    </w:rPr>
                  </w:pPr>
                  <w:r>
                    <w:rPr>
                      <w:rFonts w:hint="eastAsia" w:ascii="宋体" w:hAnsi="宋体" w:cs="宋体"/>
                      <w:szCs w:val="21"/>
                    </w:rPr>
                    <w:t>年均浓度</w:t>
                  </w:r>
                </w:p>
              </w:tc>
              <w:tc>
                <w:tcPr>
                  <w:tcW w:w="1546" w:type="dxa"/>
                  <w:tcBorders>
                    <w:tl2br w:val="nil"/>
                    <w:tr2bl w:val="nil"/>
                  </w:tcBorders>
                  <w:vAlign w:val="center"/>
                </w:tcPr>
                <w:p>
                  <w:pPr>
                    <w:pStyle w:val="26"/>
                    <w:spacing w:before="0" w:after="0" w:line="240" w:lineRule="auto"/>
                    <w:ind w:firstLine="0" w:firstLineChars="0"/>
                    <w:jc w:val="center"/>
                    <w:rPr>
                      <w:rFonts w:eastAsia="宋体"/>
                      <w:b w:val="0"/>
                      <w:color w:val="auto"/>
                      <w:sz w:val="21"/>
                      <w:szCs w:val="21"/>
                    </w:rPr>
                  </w:pPr>
                  <w:r>
                    <w:rPr>
                      <w:rFonts w:hint="eastAsia" w:eastAsia="宋体"/>
                      <w:b w:val="0"/>
                      <w:color w:val="auto"/>
                      <w:sz w:val="21"/>
                      <w:szCs w:val="21"/>
                    </w:rPr>
                    <w:t>21.8</w:t>
                  </w:r>
                </w:p>
              </w:tc>
              <w:tc>
                <w:tcPr>
                  <w:tcW w:w="2045" w:type="dxa"/>
                  <w:tcBorders>
                    <w:tl2br w:val="nil"/>
                    <w:tr2bl w:val="nil"/>
                  </w:tcBorders>
                  <w:vAlign w:val="center"/>
                </w:tcPr>
                <w:p>
                  <w:pPr>
                    <w:pStyle w:val="26"/>
                    <w:spacing w:before="0" w:after="0" w:line="240" w:lineRule="auto"/>
                    <w:ind w:firstLine="0" w:firstLineChars="0"/>
                    <w:jc w:val="center"/>
                    <w:rPr>
                      <w:rFonts w:eastAsia="宋体"/>
                      <w:b w:val="0"/>
                      <w:color w:val="auto"/>
                      <w:sz w:val="21"/>
                      <w:szCs w:val="21"/>
                    </w:rPr>
                  </w:pPr>
                  <w:r>
                    <w:rPr>
                      <w:rFonts w:hint="eastAsia" w:eastAsia="宋体"/>
                      <w:b w:val="0"/>
                      <w:color w:val="auto"/>
                      <w:sz w:val="21"/>
                      <w:szCs w:val="21"/>
                    </w:rPr>
                    <w:t>30</w:t>
                  </w:r>
                </w:p>
              </w:tc>
              <w:tc>
                <w:tcPr>
                  <w:tcW w:w="1231" w:type="dxa"/>
                  <w:tcBorders>
                    <w:tl2br w:val="nil"/>
                    <w:tr2bl w:val="nil"/>
                  </w:tcBorders>
                  <w:vAlign w:val="center"/>
                </w:tcPr>
                <w:p>
                  <w:pPr>
                    <w:jc w:val="center"/>
                    <w:rPr>
                      <w:rFonts w:ascii="宋体" w:hAnsi="宋体" w:cs="宋体"/>
                      <w:szCs w:val="21"/>
                    </w:rPr>
                  </w:pPr>
                  <w:r>
                    <w:rPr>
                      <w:rFonts w:hint="eastAsia" w:ascii="宋体" w:hAnsi="宋体" w:cs="宋体"/>
                      <w:szCs w:val="21"/>
                    </w:rPr>
                    <w:t>达标</w:t>
                  </w:r>
                </w:p>
              </w:tc>
            </w:tr>
          </w:tbl>
          <w:p>
            <w:pPr>
              <w:spacing w:line="360" w:lineRule="auto"/>
              <w:ind w:firstLine="480" w:firstLineChars="200"/>
              <w:rPr>
                <w:sz w:val="24"/>
              </w:rPr>
            </w:pPr>
            <w:r>
              <w:rPr>
                <w:sz w:val="24"/>
              </w:rPr>
              <w:t>由上表可知，202</w:t>
            </w:r>
            <w:r>
              <w:rPr>
                <w:rFonts w:hint="eastAsia"/>
                <w:sz w:val="24"/>
              </w:rPr>
              <w:t>5</w:t>
            </w:r>
            <w:r>
              <w:rPr>
                <w:sz w:val="24"/>
              </w:rPr>
              <w:t>年</w:t>
            </w:r>
            <w:r>
              <w:rPr>
                <w:rFonts w:hint="eastAsia"/>
                <w:sz w:val="24"/>
              </w:rPr>
              <w:t>通化市</w:t>
            </w:r>
            <w:r>
              <w:rPr>
                <w:sz w:val="24"/>
              </w:rPr>
              <w:t>环境空气质量</w:t>
            </w:r>
            <w:r>
              <w:rPr>
                <w:rFonts w:hint="eastAsia"/>
                <w:sz w:val="24"/>
              </w:rPr>
              <w:t>各污染物能够满足</w:t>
            </w:r>
            <w:r>
              <w:rPr>
                <w:sz w:val="24"/>
              </w:rPr>
              <w:t>《环境空气质量标准》（GB3095-2026）过渡阶段二级标准限值</w:t>
            </w:r>
            <w:r>
              <w:rPr>
                <w:rFonts w:hint="eastAsia"/>
                <w:sz w:val="24"/>
              </w:rPr>
              <w:t>，为达标区</w:t>
            </w:r>
            <w:r>
              <w:rPr>
                <w:sz w:val="24"/>
              </w:rPr>
              <w:t>。</w:t>
            </w:r>
          </w:p>
          <w:p>
            <w:pPr>
              <w:tabs>
                <w:tab w:val="left" w:pos="3617"/>
              </w:tabs>
              <w:spacing w:line="360" w:lineRule="auto"/>
              <w:ind w:firstLine="442"/>
              <w:jc w:val="left"/>
              <w:rPr>
                <w:rFonts w:ascii="宋体" w:hAnsi="宋体" w:cs="宋体"/>
                <w:sz w:val="24"/>
              </w:rPr>
            </w:pPr>
            <w:r>
              <w:rPr>
                <w:rFonts w:hint="eastAsia" w:ascii="宋体" w:hAnsi="宋体" w:cs="宋体"/>
                <w:sz w:val="24"/>
              </w:rPr>
              <w:t xml:space="preserve">（2）特征污染物 </w:t>
            </w:r>
          </w:p>
          <w:p>
            <w:pPr>
              <w:pStyle w:val="58"/>
              <w:numPr>
                <w:ilvl w:val="0"/>
                <w:numId w:val="3"/>
              </w:numPr>
              <w:tabs>
                <w:tab w:val="left" w:pos="3617"/>
              </w:tabs>
              <w:spacing w:line="360" w:lineRule="auto"/>
              <w:ind w:firstLineChars="0"/>
              <w:jc w:val="left"/>
              <w:rPr>
                <w:rFonts w:ascii="宋体" w:hAnsi="宋体" w:cs="宋体"/>
                <w:sz w:val="24"/>
              </w:rPr>
            </w:pPr>
            <w:r>
              <w:rPr>
                <w:rFonts w:hint="eastAsia" w:ascii="宋体" w:hAnsi="宋体" w:cs="宋体"/>
                <w:sz w:val="24"/>
              </w:rPr>
              <w:t>监测点布设</w:t>
            </w:r>
          </w:p>
          <w:p>
            <w:pPr>
              <w:adjustRightInd w:val="0"/>
              <w:snapToGrid w:val="0"/>
              <w:spacing w:line="360" w:lineRule="auto"/>
              <w:ind w:firstLine="480" w:firstLineChars="200"/>
            </w:pPr>
            <w:r>
              <w:rPr>
                <w:rFonts w:hint="eastAsia" w:hAnsi="宋体"/>
                <w:sz w:val="24"/>
                <w:lang w:val="zh-CN"/>
              </w:rPr>
              <w:t>根据项目建设位置及气象条件，</w:t>
            </w:r>
            <w:r>
              <w:rPr>
                <w:rFonts w:hint="eastAsia" w:hAnsi="宋体"/>
                <w:sz w:val="24"/>
              </w:rPr>
              <w:t>在评价区域内共设</w:t>
            </w:r>
            <w:r>
              <w:rPr>
                <w:rFonts w:hint="eastAsia"/>
                <w:sz w:val="24"/>
              </w:rPr>
              <w:t>1</w:t>
            </w:r>
            <w:r>
              <w:rPr>
                <w:rFonts w:hint="eastAsia" w:hAnsi="宋体"/>
                <w:sz w:val="24"/>
              </w:rPr>
              <w:t>个监测点，对区域环境空气质量进行监测，监测点布设位置详见表3-2。</w:t>
            </w:r>
          </w:p>
          <w:p>
            <w:pPr>
              <w:jc w:val="center"/>
              <w:rPr>
                <w:b/>
                <w:sz w:val="24"/>
              </w:rPr>
            </w:pPr>
            <w:r>
              <w:rPr>
                <w:rFonts w:hint="eastAsia"/>
                <w:b/>
                <w:sz w:val="24"/>
              </w:rPr>
              <w:t>表3-2  环境空气特征因子补充监测点位基本信息</w:t>
            </w:r>
          </w:p>
          <w:tbl>
            <w:tblPr>
              <w:tblW w:w="8271"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left w:w="108" w:type="dxa"/>
                <w:right w:w="108" w:type="dxa"/>
              </w:tblCellMar>
            </w:tblPr>
            <w:tblGrid>
              <w:gridCol w:w="404"/>
              <w:gridCol w:w="820"/>
              <w:gridCol w:w="1649"/>
              <w:gridCol w:w="1489"/>
              <w:gridCol w:w="804"/>
              <w:gridCol w:w="1467"/>
              <w:gridCol w:w="915"/>
              <w:gridCol w:w="723"/>
            </w:tblGrid>
            <w:tr>
              <w:trPr>
                <w:cantSplit/>
                <w:trHeight w:val="320" w:hRule="atLeast"/>
                <w:jc w:val="center"/>
              </w:trPr>
              <w:tc>
                <w:tcPr>
                  <w:tcW w:w="404" w:type="dxa"/>
                  <w:vMerge w:val="restart"/>
                  <w:vAlign w:val="center"/>
                </w:tcPr>
                <w:p>
                  <w:pPr>
                    <w:jc w:val="center"/>
                    <w:rPr>
                      <w:rFonts w:ascii="宋体" w:hAnsi="宋体" w:cs="宋体"/>
                      <w:szCs w:val="21"/>
                    </w:rPr>
                  </w:pPr>
                  <w:r>
                    <w:rPr>
                      <w:rFonts w:hint="eastAsia" w:ascii="宋体" w:hAnsi="宋体" w:cs="宋体"/>
                      <w:szCs w:val="21"/>
                    </w:rPr>
                    <w:t>序号</w:t>
                  </w:r>
                </w:p>
              </w:tc>
              <w:tc>
                <w:tcPr>
                  <w:tcW w:w="820" w:type="dxa"/>
                  <w:vMerge w:val="restart"/>
                  <w:vAlign w:val="center"/>
                </w:tcPr>
                <w:p>
                  <w:pPr>
                    <w:jc w:val="center"/>
                    <w:rPr>
                      <w:rFonts w:ascii="宋体" w:hAnsi="宋体" w:cs="宋体"/>
                      <w:szCs w:val="21"/>
                    </w:rPr>
                  </w:pPr>
                  <w:r>
                    <w:rPr>
                      <w:rFonts w:hint="eastAsia" w:ascii="宋体" w:hAnsi="宋体" w:cs="宋体"/>
                      <w:szCs w:val="21"/>
                    </w:rPr>
                    <w:t>点位</w:t>
                  </w:r>
                </w:p>
                <w:p>
                  <w:pPr>
                    <w:jc w:val="center"/>
                    <w:rPr>
                      <w:rFonts w:ascii="宋体" w:hAnsi="宋体" w:cs="宋体"/>
                      <w:szCs w:val="21"/>
                    </w:rPr>
                  </w:pPr>
                  <w:r>
                    <w:rPr>
                      <w:rFonts w:hint="eastAsia" w:ascii="宋体" w:hAnsi="宋体" w:cs="宋体"/>
                      <w:szCs w:val="21"/>
                    </w:rPr>
                    <w:t>名称</w:t>
                  </w:r>
                </w:p>
              </w:tc>
              <w:tc>
                <w:tcPr>
                  <w:tcW w:w="3138" w:type="dxa"/>
                  <w:gridSpan w:val="2"/>
                  <w:vAlign w:val="center"/>
                </w:tcPr>
                <w:p>
                  <w:pPr>
                    <w:jc w:val="center"/>
                    <w:rPr>
                      <w:rFonts w:ascii="宋体" w:hAnsi="宋体" w:cs="宋体"/>
                      <w:szCs w:val="21"/>
                    </w:rPr>
                  </w:pPr>
                  <w:r>
                    <w:rPr>
                      <w:rFonts w:hint="eastAsia" w:ascii="宋体" w:hAnsi="宋体" w:cs="宋体"/>
                      <w:szCs w:val="21"/>
                    </w:rPr>
                    <w:t>监点位坐标/°</w:t>
                  </w:r>
                </w:p>
              </w:tc>
              <w:tc>
                <w:tcPr>
                  <w:tcW w:w="804" w:type="dxa"/>
                  <w:vMerge w:val="restart"/>
                  <w:vAlign w:val="center"/>
                </w:tcPr>
                <w:p>
                  <w:pPr>
                    <w:jc w:val="center"/>
                    <w:rPr>
                      <w:rFonts w:ascii="宋体" w:hAnsi="宋体" w:cs="宋体"/>
                      <w:szCs w:val="21"/>
                    </w:rPr>
                  </w:pPr>
                  <w:r>
                    <w:rPr>
                      <w:rFonts w:hint="eastAsia" w:ascii="宋体" w:hAnsi="宋体" w:cs="宋体"/>
                      <w:szCs w:val="21"/>
                    </w:rPr>
                    <w:t>监测因子</w:t>
                  </w:r>
                </w:p>
              </w:tc>
              <w:tc>
                <w:tcPr>
                  <w:tcW w:w="1467" w:type="dxa"/>
                  <w:vMerge w:val="restart"/>
                  <w:vAlign w:val="center"/>
                </w:tcPr>
                <w:p>
                  <w:pPr>
                    <w:jc w:val="center"/>
                    <w:rPr>
                      <w:rFonts w:ascii="宋体" w:hAnsi="宋体" w:cs="宋体"/>
                      <w:szCs w:val="21"/>
                    </w:rPr>
                  </w:pPr>
                  <w:r>
                    <w:rPr>
                      <w:rFonts w:hint="eastAsia" w:ascii="宋体" w:hAnsi="宋体" w:cs="宋体"/>
                      <w:szCs w:val="21"/>
                    </w:rPr>
                    <w:t>监测时段</w:t>
                  </w:r>
                </w:p>
              </w:tc>
              <w:tc>
                <w:tcPr>
                  <w:tcW w:w="915" w:type="dxa"/>
                  <w:vMerge w:val="restart"/>
                  <w:vAlign w:val="center"/>
                </w:tcPr>
                <w:p>
                  <w:pPr>
                    <w:jc w:val="center"/>
                    <w:rPr>
                      <w:rFonts w:ascii="宋体" w:hAnsi="宋体" w:cs="宋体"/>
                      <w:szCs w:val="21"/>
                    </w:rPr>
                  </w:pPr>
                  <w:r>
                    <w:rPr>
                      <w:rFonts w:hint="eastAsia" w:ascii="宋体" w:hAnsi="宋体" w:cs="宋体"/>
                      <w:szCs w:val="21"/>
                    </w:rPr>
                    <w:t>相对厂址方位</w:t>
                  </w:r>
                </w:p>
              </w:tc>
              <w:tc>
                <w:tcPr>
                  <w:tcW w:w="723" w:type="dxa"/>
                  <w:vMerge w:val="restart"/>
                  <w:vAlign w:val="center"/>
                </w:tcPr>
                <w:p>
                  <w:pPr>
                    <w:jc w:val="center"/>
                    <w:rPr>
                      <w:rFonts w:ascii="宋体" w:hAnsi="宋体" w:cs="宋体"/>
                      <w:szCs w:val="21"/>
                    </w:rPr>
                  </w:pPr>
                  <w:r>
                    <w:rPr>
                      <w:rFonts w:hint="eastAsia" w:ascii="宋体" w:hAnsi="宋体" w:cs="宋体"/>
                      <w:szCs w:val="21"/>
                    </w:rPr>
                    <w:t>相对厂址距离</w:t>
                  </w:r>
                </w:p>
              </w:tc>
            </w:tr>
            <w:tr>
              <w:trPr>
                <w:cantSplit/>
                <w:trHeight w:val="584" w:hRule="atLeast"/>
                <w:jc w:val="center"/>
              </w:trPr>
              <w:tc>
                <w:tcPr>
                  <w:tcW w:w="404" w:type="dxa"/>
                  <w:vMerge w:val="continue"/>
                  <w:vAlign w:val="center"/>
                </w:tcPr>
                <w:p>
                  <w:pPr>
                    <w:jc w:val="center"/>
                    <w:rPr>
                      <w:rFonts w:ascii="宋体" w:hAnsi="宋体" w:cs="宋体"/>
                      <w:szCs w:val="21"/>
                    </w:rPr>
                  </w:pPr>
                </w:p>
              </w:tc>
              <w:tc>
                <w:tcPr>
                  <w:tcW w:w="820" w:type="dxa"/>
                  <w:vMerge w:val="continue"/>
                  <w:vAlign w:val="center"/>
                </w:tcPr>
                <w:p>
                  <w:pPr>
                    <w:jc w:val="center"/>
                    <w:rPr>
                      <w:rFonts w:ascii="宋体" w:hAnsi="宋体" w:cs="宋体"/>
                      <w:szCs w:val="21"/>
                    </w:rPr>
                  </w:pPr>
                </w:p>
              </w:tc>
              <w:tc>
                <w:tcPr>
                  <w:tcW w:w="1649" w:type="dxa"/>
                  <w:vAlign w:val="center"/>
                </w:tcPr>
                <w:p>
                  <w:pPr>
                    <w:jc w:val="center"/>
                    <w:rPr>
                      <w:rFonts w:ascii="宋体" w:hAnsi="宋体" w:cs="宋体"/>
                      <w:szCs w:val="21"/>
                    </w:rPr>
                  </w:pPr>
                  <w:r>
                    <w:rPr>
                      <w:rFonts w:hint="eastAsia" w:ascii="宋体" w:hAnsi="宋体" w:cs="宋体"/>
                      <w:szCs w:val="21"/>
                    </w:rPr>
                    <w:t>E</w:t>
                  </w:r>
                </w:p>
              </w:tc>
              <w:tc>
                <w:tcPr>
                  <w:tcW w:w="1489" w:type="dxa"/>
                  <w:vAlign w:val="center"/>
                </w:tcPr>
                <w:p>
                  <w:pPr>
                    <w:jc w:val="center"/>
                    <w:rPr>
                      <w:rFonts w:ascii="宋体" w:hAnsi="宋体" w:cs="宋体"/>
                      <w:szCs w:val="21"/>
                    </w:rPr>
                  </w:pPr>
                  <w:r>
                    <w:rPr>
                      <w:rFonts w:hint="eastAsia" w:ascii="宋体" w:hAnsi="宋体" w:cs="宋体"/>
                      <w:szCs w:val="21"/>
                    </w:rPr>
                    <w:t>N</w:t>
                  </w:r>
                </w:p>
              </w:tc>
              <w:tc>
                <w:tcPr>
                  <w:tcW w:w="804" w:type="dxa"/>
                  <w:vMerge w:val="continue"/>
                  <w:vAlign w:val="center"/>
                </w:tcPr>
                <w:p>
                  <w:pPr>
                    <w:jc w:val="center"/>
                    <w:rPr>
                      <w:rFonts w:ascii="宋体" w:hAnsi="宋体" w:cs="宋体"/>
                      <w:szCs w:val="21"/>
                    </w:rPr>
                  </w:pPr>
                </w:p>
              </w:tc>
              <w:tc>
                <w:tcPr>
                  <w:tcW w:w="1467" w:type="dxa"/>
                  <w:vMerge w:val="continue"/>
                  <w:vAlign w:val="center"/>
                </w:tcPr>
                <w:p>
                  <w:pPr>
                    <w:jc w:val="center"/>
                    <w:rPr>
                      <w:rFonts w:ascii="宋体" w:hAnsi="宋体" w:cs="宋体"/>
                      <w:szCs w:val="21"/>
                    </w:rPr>
                  </w:pPr>
                </w:p>
              </w:tc>
              <w:tc>
                <w:tcPr>
                  <w:tcW w:w="915" w:type="dxa"/>
                  <w:vMerge w:val="continue"/>
                  <w:vAlign w:val="center"/>
                </w:tcPr>
                <w:p>
                  <w:pPr>
                    <w:jc w:val="center"/>
                    <w:rPr>
                      <w:rFonts w:ascii="宋体" w:hAnsi="宋体" w:cs="宋体"/>
                      <w:szCs w:val="21"/>
                    </w:rPr>
                  </w:pPr>
                </w:p>
              </w:tc>
              <w:tc>
                <w:tcPr>
                  <w:tcW w:w="723" w:type="dxa"/>
                  <w:vMerge w:val="continue"/>
                  <w:vAlign w:val="center"/>
                </w:tcPr>
                <w:p>
                  <w:pPr>
                    <w:jc w:val="center"/>
                    <w:rPr>
                      <w:rFonts w:ascii="宋体" w:hAnsi="宋体" w:cs="宋体"/>
                      <w:szCs w:val="21"/>
                    </w:rPr>
                  </w:pPr>
                </w:p>
              </w:tc>
            </w:tr>
            <w:tr>
              <w:trPr>
                <w:cantSplit/>
                <w:trHeight w:val="674" w:hRule="atLeast"/>
                <w:jc w:val="center"/>
              </w:trPr>
              <w:tc>
                <w:tcPr>
                  <w:tcW w:w="404" w:type="dxa"/>
                  <w:vAlign w:val="center"/>
                </w:tcPr>
                <w:p>
                  <w:pPr>
                    <w:jc w:val="center"/>
                    <w:rPr>
                      <w:rFonts w:ascii="宋体" w:hAnsi="宋体" w:cs="宋体"/>
                      <w:szCs w:val="21"/>
                    </w:rPr>
                  </w:pPr>
                  <w:r>
                    <w:rPr>
                      <w:rFonts w:hint="eastAsia" w:ascii="宋体" w:hAnsi="宋体" w:cs="宋体"/>
                      <w:szCs w:val="21"/>
                    </w:rPr>
                    <w:t>A1</w:t>
                  </w:r>
                </w:p>
              </w:tc>
              <w:tc>
                <w:tcPr>
                  <w:tcW w:w="820" w:type="dxa"/>
                  <w:vAlign w:val="center"/>
                </w:tcPr>
                <w:p>
                  <w:pPr>
                    <w:spacing w:line="340" w:lineRule="exact"/>
                    <w:jc w:val="center"/>
                    <w:rPr>
                      <w:rFonts w:ascii="宋体" w:hAnsi="宋体" w:cs="宋体"/>
                    </w:rPr>
                  </w:pPr>
                  <w:r>
                    <w:rPr>
                      <w:rFonts w:hint="eastAsia" w:ascii="宋体" w:hAnsi="宋体" w:cs="宋体"/>
                    </w:rPr>
                    <w:t>河北村</w:t>
                  </w:r>
                </w:p>
              </w:tc>
              <w:tc>
                <w:tcPr>
                  <w:tcW w:w="1649" w:type="dxa"/>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125.704070860</w:t>
                  </w:r>
                </w:p>
              </w:tc>
              <w:tc>
                <w:tcPr>
                  <w:tcW w:w="1489" w:type="dxa"/>
                  <w:vAlign w:val="center"/>
                </w:tcPr>
                <w:p>
                  <w:pPr>
                    <w:jc w:val="center"/>
                    <w:rPr>
                      <w:rFonts w:ascii="宋体" w:hAnsi="宋体" w:cs="宋体"/>
                      <w:color w:val="000000"/>
                      <w:kern w:val="0"/>
                      <w:szCs w:val="21"/>
                    </w:rPr>
                  </w:pPr>
                  <w:r>
                    <w:rPr>
                      <w:rFonts w:hint="eastAsia" w:ascii="宋体" w:hAnsi="宋体" w:cs="宋体"/>
                      <w:color w:val="000000"/>
                      <w:kern w:val="0"/>
                      <w:szCs w:val="21"/>
                    </w:rPr>
                    <w:t>42.273061140</w:t>
                  </w:r>
                </w:p>
              </w:tc>
              <w:tc>
                <w:tcPr>
                  <w:tcW w:w="804" w:type="dxa"/>
                  <w:vAlign w:val="center"/>
                </w:tcPr>
                <w:p>
                  <w:pPr>
                    <w:jc w:val="center"/>
                    <w:rPr>
                      <w:rFonts w:ascii="宋体" w:hAnsi="宋体" w:cs="宋体"/>
                      <w:szCs w:val="21"/>
                    </w:rPr>
                  </w:pPr>
                  <w:r>
                    <w:rPr>
                      <w:rFonts w:hint="eastAsia" w:ascii="宋体" w:hAnsi="宋体" w:cs="宋体"/>
                      <w:szCs w:val="21"/>
                    </w:rPr>
                    <w:t>TSP</w:t>
                  </w:r>
                </w:p>
              </w:tc>
              <w:tc>
                <w:tcPr>
                  <w:tcW w:w="1467" w:type="dxa"/>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2026.9.21-2026.9.23</w:t>
                  </w:r>
                </w:p>
              </w:tc>
              <w:tc>
                <w:tcPr>
                  <w:tcW w:w="915" w:type="dxa"/>
                  <w:vAlign w:val="center"/>
                </w:tcPr>
                <w:p>
                  <w:pPr>
                    <w:jc w:val="center"/>
                    <w:rPr>
                      <w:rFonts w:ascii="宋体" w:hAnsi="宋体" w:cs="宋体"/>
                      <w:bCs/>
                      <w:iCs/>
                      <w:szCs w:val="21"/>
                    </w:rPr>
                  </w:pPr>
                  <w:r>
                    <w:rPr>
                      <w:rFonts w:hint="eastAsia" w:ascii="宋体" w:hAnsi="宋体" w:cs="宋体"/>
                      <w:bCs/>
                      <w:iCs/>
                      <w:szCs w:val="21"/>
                    </w:rPr>
                    <w:t>东侧</w:t>
                  </w:r>
                </w:p>
              </w:tc>
              <w:tc>
                <w:tcPr>
                  <w:tcW w:w="723" w:type="dxa"/>
                  <w:vAlign w:val="center"/>
                </w:tcPr>
                <w:p>
                  <w:pPr>
                    <w:spacing w:line="340" w:lineRule="exact"/>
                    <w:jc w:val="center"/>
                    <w:rPr>
                      <w:rFonts w:ascii="宋体" w:hAnsi="宋体" w:cs="宋体"/>
                      <w:szCs w:val="21"/>
                    </w:rPr>
                  </w:pPr>
                  <w:r>
                    <w:rPr>
                      <w:rFonts w:hint="eastAsia" w:ascii="宋体" w:hAnsi="宋体" w:cs="宋体"/>
                      <w:szCs w:val="21"/>
                    </w:rPr>
                    <w:t>330m</w:t>
                  </w:r>
                </w:p>
              </w:tc>
            </w:tr>
          </w:tbl>
          <w:p>
            <w:pPr>
              <w:tabs>
                <w:tab w:val="left" w:pos="570"/>
              </w:tabs>
              <w:adjustRightInd w:val="0"/>
              <w:snapToGrid w:val="0"/>
              <w:spacing w:line="360" w:lineRule="auto"/>
              <w:ind w:firstLine="480" w:firstLineChars="200"/>
              <w:rPr>
                <w:rFonts w:ascii="宋体" w:hAnsi="宋体" w:cs="宋体"/>
                <w:sz w:val="24"/>
                <w:szCs w:val="21"/>
              </w:rPr>
            </w:pPr>
            <w:r>
              <w:rPr>
                <w:rFonts w:hint="eastAsia" w:ascii="宋体" w:hAnsi="宋体" w:cs="宋体"/>
                <w:sz w:val="24"/>
                <w:szCs w:val="21"/>
              </w:rPr>
              <w:t>②监测项目</w:t>
            </w:r>
          </w:p>
          <w:p>
            <w:pPr>
              <w:spacing w:line="360" w:lineRule="auto"/>
              <w:ind w:firstLine="470" w:firstLineChars="196"/>
              <w:rPr>
                <w:rFonts w:ascii="宋体" w:hAnsi="宋体" w:cs="宋体"/>
                <w:b/>
                <w:sz w:val="24"/>
                <w:szCs w:val="21"/>
              </w:rPr>
            </w:pPr>
            <w:r>
              <w:rPr>
                <w:rFonts w:hint="eastAsia" w:ascii="宋体" w:hAnsi="宋体" w:cs="宋体"/>
                <w:sz w:val="24"/>
                <w:szCs w:val="21"/>
              </w:rPr>
              <w:t>环境空气质量现状监测数据中特征污染</w:t>
            </w:r>
            <w:r>
              <w:rPr>
                <w:rFonts w:hint="eastAsia" w:ascii="宋体" w:hAnsi="宋体" w:cs="宋体"/>
                <w:sz w:val="24"/>
                <w:szCs w:val="22"/>
              </w:rPr>
              <w:t>物为</w:t>
            </w:r>
            <w:r>
              <w:rPr>
                <w:rFonts w:hint="eastAsia" w:ascii="宋体" w:hAnsi="宋体" w:cs="宋体"/>
                <w:sz w:val="24"/>
              </w:rPr>
              <w:t>TSP</w:t>
            </w:r>
            <w:r>
              <w:rPr>
                <w:rFonts w:hint="eastAsia" w:ascii="宋体" w:hAnsi="宋体" w:cs="宋体"/>
                <w:sz w:val="24"/>
                <w:szCs w:val="22"/>
              </w:rPr>
              <w:t>。</w:t>
            </w:r>
            <w:r>
              <w:rPr>
                <w:rFonts w:hint="eastAsia" w:ascii="宋体" w:hAnsi="宋体" w:cs="宋体"/>
                <w:b/>
                <w:sz w:val="24"/>
                <w:szCs w:val="21"/>
              </w:rPr>
              <w:t xml:space="preserve"> </w:t>
            </w:r>
          </w:p>
          <w:p>
            <w:pPr>
              <w:spacing w:line="360" w:lineRule="auto"/>
              <w:ind w:firstLine="480" w:firstLineChars="200"/>
              <w:rPr>
                <w:rFonts w:ascii="宋体" w:hAnsi="宋体" w:cs="宋体"/>
                <w:sz w:val="24"/>
                <w:szCs w:val="21"/>
              </w:rPr>
            </w:pPr>
            <w:r>
              <w:rPr>
                <w:rFonts w:hint="eastAsia" w:ascii="宋体" w:hAnsi="宋体" w:cs="宋体"/>
                <w:sz w:val="24"/>
                <w:szCs w:val="21"/>
              </w:rPr>
              <w:t>③监测单位及时间</w:t>
            </w:r>
          </w:p>
          <w:p>
            <w:pPr>
              <w:spacing w:line="360" w:lineRule="auto"/>
              <w:ind w:firstLine="480" w:firstLineChars="200"/>
              <w:rPr>
                <w:rFonts w:ascii="宋体" w:hAnsi="宋体" w:cs="宋体"/>
                <w:sz w:val="24"/>
                <w:szCs w:val="21"/>
                <w:highlight w:val="yellow"/>
              </w:rPr>
            </w:pPr>
            <w:r>
              <w:rPr>
                <w:rFonts w:hint="eastAsia" w:ascii="宋体" w:hAnsi="宋体" w:cs="宋体"/>
                <w:sz w:val="24"/>
                <w:szCs w:val="21"/>
              </w:rPr>
              <w:t>吉林省长松运维检测有限公司于2026年9月21日-9月23日连续3天进行监测。</w:t>
            </w:r>
          </w:p>
          <w:p>
            <w:pPr>
              <w:spacing w:line="360" w:lineRule="auto"/>
              <w:ind w:firstLine="480" w:firstLineChars="200"/>
              <w:rPr>
                <w:rFonts w:ascii="宋体" w:hAnsi="宋体" w:cs="宋体"/>
                <w:sz w:val="24"/>
                <w:szCs w:val="21"/>
              </w:rPr>
            </w:pPr>
            <w:r>
              <w:rPr>
                <w:rFonts w:hint="eastAsia" w:ascii="宋体" w:hAnsi="宋体" w:cs="宋体"/>
                <w:sz w:val="24"/>
                <w:szCs w:val="21"/>
              </w:rPr>
              <w:t>④监测结果</w:t>
            </w:r>
          </w:p>
          <w:p>
            <w:pPr>
              <w:spacing w:line="360" w:lineRule="auto"/>
              <w:ind w:firstLine="470" w:firstLineChars="196"/>
              <w:rPr>
                <w:rFonts w:ascii="宋体" w:hAnsi="宋体" w:cs="宋体"/>
                <w:sz w:val="24"/>
                <w:szCs w:val="21"/>
              </w:rPr>
            </w:pPr>
            <w:r>
              <w:rPr>
                <w:rFonts w:hint="eastAsia" w:ascii="宋体" w:hAnsi="宋体" w:cs="宋体"/>
                <w:sz w:val="24"/>
                <w:szCs w:val="21"/>
              </w:rPr>
              <w:t>监测结果详见表3-3。</w:t>
            </w:r>
          </w:p>
          <w:p>
            <w:pPr>
              <w:jc w:val="center"/>
              <w:rPr>
                <w:b/>
                <w:sz w:val="24"/>
              </w:rPr>
            </w:pPr>
            <w:r>
              <w:rPr>
                <w:rFonts w:hint="eastAsia"/>
                <w:b/>
                <w:sz w:val="24"/>
              </w:rPr>
              <w:t>表3-3  各污染物平均浓度监测统计结果一览表</w:t>
            </w:r>
          </w:p>
          <w:p>
            <w:pPr>
              <w:kinsoku w:val="0"/>
              <w:overflowPunct w:val="0"/>
              <w:spacing w:before="8" w:line="10" w:lineRule="exact"/>
              <w:rPr>
                <w:rFonts w:ascii="宋体" w:hAnsi="宋体" w:cs="宋体"/>
                <w:sz w:val="2"/>
                <w:szCs w:val="2"/>
              </w:rPr>
            </w:pPr>
          </w:p>
          <w:tbl>
            <w:tblPr>
              <w:tblW w:w="8390" w:type="dxa"/>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Layout w:type="fixed"/>
              <w:tblCellMar>
                <w:left w:w="108" w:type="dxa"/>
                <w:right w:w="108" w:type="dxa"/>
              </w:tblCellMar>
            </w:tblPr>
            <w:tblGrid>
              <w:gridCol w:w="1068"/>
              <w:gridCol w:w="1460"/>
              <w:gridCol w:w="960"/>
              <w:gridCol w:w="1458"/>
              <w:gridCol w:w="1133"/>
              <w:gridCol w:w="967"/>
              <w:gridCol w:w="644"/>
              <w:gridCol w:w="700"/>
            </w:tblGrid>
            <w:tr>
              <w:trPr>
                <w:trHeight w:val="721" w:hRule="atLeast"/>
              </w:trPr>
              <w:tc>
                <w:tcPr>
                  <w:tcW w:w="1068" w:type="dxa"/>
                  <w:vAlign w:val="center"/>
                </w:tcPr>
                <w:p>
                  <w:pPr>
                    <w:pStyle w:val="19"/>
                    <w:ind w:left="0" w:leftChars="0"/>
                    <w:jc w:val="center"/>
                    <w:rPr>
                      <w:rFonts w:ascii="宋体" w:hAnsi="宋体" w:cs="宋体"/>
                      <w:bCs/>
                      <w:szCs w:val="21"/>
                    </w:rPr>
                  </w:pPr>
                  <w:r>
                    <w:rPr>
                      <w:rFonts w:hint="eastAsia" w:ascii="宋体" w:hAnsi="宋体" w:cs="宋体"/>
                      <w:bCs/>
                      <w:szCs w:val="21"/>
                    </w:rPr>
                    <w:t>监测</w:t>
                  </w:r>
                </w:p>
                <w:p>
                  <w:pPr>
                    <w:pStyle w:val="19"/>
                    <w:ind w:left="0" w:leftChars="0"/>
                    <w:jc w:val="center"/>
                    <w:rPr>
                      <w:rFonts w:ascii="宋体" w:hAnsi="宋体" w:cs="宋体"/>
                      <w:bCs/>
                      <w:szCs w:val="21"/>
                    </w:rPr>
                  </w:pPr>
                  <w:r>
                    <w:rPr>
                      <w:rFonts w:hint="eastAsia" w:ascii="宋体" w:hAnsi="宋体" w:cs="宋体"/>
                      <w:bCs/>
                      <w:szCs w:val="21"/>
                    </w:rPr>
                    <w:t>点位</w:t>
                  </w:r>
                </w:p>
              </w:tc>
              <w:tc>
                <w:tcPr>
                  <w:tcW w:w="1460" w:type="dxa"/>
                  <w:vAlign w:val="center"/>
                </w:tcPr>
                <w:p>
                  <w:pPr>
                    <w:pStyle w:val="19"/>
                    <w:ind w:left="0" w:leftChars="0"/>
                    <w:jc w:val="center"/>
                    <w:rPr>
                      <w:rFonts w:ascii="宋体" w:hAnsi="宋体" w:cs="宋体"/>
                      <w:bCs/>
                      <w:szCs w:val="21"/>
                    </w:rPr>
                  </w:pPr>
                  <w:r>
                    <w:rPr>
                      <w:rFonts w:hint="eastAsia" w:ascii="宋体" w:hAnsi="宋体" w:cs="宋体"/>
                      <w:bCs/>
                      <w:szCs w:val="21"/>
                    </w:rPr>
                    <w:t>监测点名称</w:t>
                  </w:r>
                </w:p>
              </w:tc>
              <w:tc>
                <w:tcPr>
                  <w:tcW w:w="960" w:type="dxa"/>
                  <w:vAlign w:val="center"/>
                </w:tcPr>
                <w:p>
                  <w:pPr>
                    <w:pStyle w:val="19"/>
                    <w:ind w:left="0" w:leftChars="0"/>
                    <w:jc w:val="center"/>
                    <w:rPr>
                      <w:rFonts w:ascii="宋体" w:hAnsi="宋体" w:cs="宋体"/>
                      <w:bCs/>
                      <w:szCs w:val="21"/>
                    </w:rPr>
                  </w:pPr>
                  <w:r>
                    <w:rPr>
                      <w:rFonts w:hint="eastAsia" w:ascii="宋体" w:hAnsi="宋体" w:cs="宋体"/>
                      <w:bCs/>
                      <w:szCs w:val="21"/>
                    </w:rPr>
                    <w:t>污染物</w:t>
                  </w:r>
                </w:p>
              </w:tc>
              <w:tc>
                <w:tcPr>
                  <w:tcW w:w="1458" w:type="dxa"/>
                  <w:vAlign w:val="center"/>
                </w:tcPr>
                <w:p>
                  <w:pPr>
                    <w:pStyle w:val="19"/>
                    <w:ind w:left="0" w:leftChars="0"/>
                    <w:jc w:val="center"/>
                    <w:rPr>
                      <w:rFonts w:ascii="宋体" w:hAnsi="宋体" w:cs="宋体"/>
                      <w:bCs/>
                      <w:szCs w:val="21"/>
                    </w:rPr>
                  </w:pPr>
                  <w:r>
                    <w:rPr>
                      <w:rFonts w:hint="eastAsia" w:ascii="宋体" w:hAnsi="宋体" w:cs="宋体"/>
                      <w:bCs/>
                      <w:szCs w:val="21"/>
                    </w:rPr>
                    <w:t>评价标准µg/m</w:t>
                  </w:r>
                  <w:r>
                    <w:rPr>
                      <w:rFonts w:hint="eastAsia" w:ascii="宋体" w:hAnsi="宋体" w:cs="宋体"/>
                      <w:bCs/>
                      <w:szCs w:val="21"/>
                      <w:vertAlign w:val="superscript"/>
                    </w:rPr>
                    <w:t>2</w:t>
                  </w:r>
                </w:p>
              </w:tc>
              <w:tc>
                <w:tcPr>
                  <w:tcW w:w="1133" w:type="dxa"/>
                  <w:vAlign w:val="center"/>
                </w:tcPr>
                <w:p>
                  <w:pPr>
                    <w:pStyle w:val="19"/>
                    <w:ind w:left="0" w:leftChars="0"/>
                    <w:jc w:val="center"/>
                    <w:rPr>
                      <w:rFonts w:ascii="宋体" w:hAnsi="宋体" w:cs="宋体"/>
                      <w:bCs/>
                      <w:szCs w:val="21"/>
                    </w:rPr>
                  </w:pPr>
                  <w:r>
                    <w:rPr>
                      <w:rFonts w:hint="eastAsia" w:ascii="宋体" w:hAnsi="宋体" w:cs="宋体"/>
                      <w:bCs/>
                      <w:szCs w:val="21"/>
                    </w:rPr>
                    <w:t>监测浓度范围µg/m</w:t>
                  </w:r>
                  <w:r>
                    <w:rPr>
                      <w:rFonts w:hint="eastAsia" w:ascii="宋体" w:hAnsi="宋体" w:cs="宋体"/>
                      <w:bCs/>
                      <w:szCs w:val="21"/>
                      <w:vertAlign w:val="superscript"/>
                    </w:rPr>
                    <w:t>2</w:t>
                  </w:r>
                </w:p>
              </w:tc>
              <w:tc>
                <w:tcPr>
                  <w:tcW w:w="967" w:type="dxa"/>
                  <w:vAlign w:val="center"/>
                </w:tcPr>
                <w:p>
                  <w:pPr>
                    <w:pStyle w:val="19"/>
                    <w:ind w:left="0" w:leftChars="0"/>
                    <w:jc w:val="center"/>
                    <w:rPr>
                      <w:rFonts w:ascii="宋体" w:hAnsi="宋体" w:cs="宋体"/>
                      <w:bCs/>
                      <w:szCs w:val="21"/>
                    </w:rPr>
                  </w:pPr>
                  <w:r>
                    <w:rPr>
                      <w:rFonts w:hint="eastAsia" w:ascii="宋体" w:hAnsi="宋体" w:cs="宋体"/>
                      <w:bCs/>
                      <w:szCs w:val="21"/>
                    </w:rPr>
                    <w:t>最大浓度占标率%</w:t>
                  </w:r>
                </w:p>
              </w:tc>
              <w:tc>
                <w:tcPr>
                  <w:tcW w:w="644" w:type="dxa"/>
                  <w:vAlign w:val="center"/>
                </w:tcPr>
                <w:p>
                  <w:pPr>
                    <w:pStyle w:val="19"/>
                    <w:ind w:left="0" w:leftChars="0"/>
                    <w:jc w:val="center"/>
                    <w:rPr>
                      <w:rFonts w:ascii="宋体" w:hAnsi="宋体" w:cs="宋体"/>
                      <w:bCs/>
                      <w:szCs w:val="21"/>
                    </w:rPr>
                  </w:pPr>
                  <w:r>
                    <w:rPr>
                      <w:rFonts w:hint="eastAsia" w:ascii="宋体" w:hAnsi="宋体" w:cs="宋体"/>
                      <w:bCs/>
                      <w:szCs w:val="21"/>
                    </w:rPr>
                    <w:t>超标率%</w:t>
                  </w:r>
                </w:p>
              </w:tc>
              <w:tc>
                <w:tcPr>
                  <w:tcW w:w="700" w:type="dxa"/>
                  <w:vAlign w:val="center"/>
                </w:tcPr>
                <w:p>
                  <w:pPr>
                    <w:pStyle w:val="19"/>
                    <w:ind w:left="0" w:leftChars="0"/>
                    <w:jc w:val="center"/>
                    <w:rPr>
                      <w:rFonts w:ascii="宋体" w:hAnsi="宋体" w:cs="宋体"/>
                      <w:bCs/>
                      <w:szCs w:val="21"/>
                    </w:rPr>
                  </w:pPr>
                  <w:r>
                    <w:rPr>
                      <w:rFonts w:hint="eastAsia" w:ascii="宋体" w:hAnsi="宋体" w:cs="宋体"/>
                      <w:bCs/>
                      <w:szCs w:val="21"/>
                    </w:rPr>
                    <w:t>达标</w:t>
                  </w:r>
                </w:p>
                <w:p>
                  <w:pPr>
                    <w:pStyle w:val="19"/>
                    <w:ind w:left="0" w:leftChars="0"/>
                    <w:jc w:val="center"/>
                    <w:rPr>
                      <w:rFonts w:ascii="宋体" w:hAnsi="宋体" w:cs="宋体"/>
                      <w:bCs/>
                      <w:szCs w:val="21"/>
                    </w:rPr>
                  </w:pPr>
                  <w:r>
                    <w:rPr>
                      <w:rFonts w:hint="eastAsia" w:ascii="宋体" w:hAnsi="宋体" w:cs="宋体"/>
                      <w:bCs/>
                      <w:szCs w:val="21"/>
                    </w:rPr>
                    <w:t>情况</w:t>
                  </w:r>
                </w:p>
              </w:tc>
            </w:tr>
            <w:tr>
              <w:trPr>
                <w:trHeight w:val="90" w:hRule="atLeast"/>
              </w:trPr>
              <w:tc>
                <w:tcPr>
                  <w:tcW w:w="1068" w:type="dxa"/>
                  <w:vAlign w:val="center"/>
                </w:tcPr>
                <w:p>
                  <w:pPr>
                    <w:pStyle w:val="19"/>
                    <w:ind w:left="0" w:leftChars="0"/>
                    <w:jc w:val="center"/>
                    <w:rPr>
                      <w:rFonts w:ascii="宋体" w:hAnsi="宋体" w:cs="宋体"/>
                      <w:bCs/>
                      <w:szCs w:val="21"/>
                    </w:rPr>
                  </w:pPr>
                  <w:r>
                    <w:rPr>
                      <w:rFonts w:hint="eastAsia" w:ascii="宋体" w:hAnsi="宋体" w:cs="宋体"/>
                      <w:bCs/>
                      <w:szCs w:val="21"/>
                    </w:rPr>
                    <w:t>1#</w:t>
                  </w:r>
                </w:p>
              </w:tc>
              <w:tc>
                <w:tcPr>
                  <w:tcW w:w="1460" w:type="dxa"/>
                  <w:vAlign w:val="center"/>
                </w:tcPr>
                <w:p>
                  <w:pPr>
                    <w:spacing w:line="340" w:lineRule="exact"/>
                    <w:jc w:val="center"/>
                    <w:rPr>
                      <w:rFonts w:ascii="宋体" w:hAnsi="宋体" w:cs="宋体"/>
                      <w:bCs/>
                      <w:szCs w:val="21"/>
                    </w:rPr>
                  </w:pPr>
                  <w:r>
                    <w:rPr>
                      <w:rFonts w:hint="eastAsia" w:ascii="宋体" w:hAnsi="宋体" w:cs="宋体"/>
                      <w:bCs/>
                      <w:szCs w:val="21"/>
                    </w:rPr>
                    <w:t>河北村</w:t>
                  </w:r>
                </w:p>
              </w:tc>
              <w:tc>
                <w:tcPr>
                  <w:tcW w:w="960" w:type="dxa"/>
                  <w:vAlign w:val="center"/>
                </w:tcPr>
                <w:p>
                  <w:pPr>
                    <w:pStyle w:val="19"/>
                    <w:ind w:left="0" w:leftChars="0"/>
                    <w:jc w:val="center"/>
                    <w:rPr>
                      <w:rFonts w:ascii="宋体" w:hAnsi="宋体" w:cs="宋体"/>
                      <w:bCs/>
                      <w:szCs w:val="21"/>
                    </w:rPr>
                  </w:pPr>
                  <w:r>
                    <w:rPr>
                      <w:rFonts w:hint="eastAsia" w:ascii="宋体" w:hAnsi="宋体" w:cs="宋体"/>
                      <w:bCs/>
                      <w:szCs w:val="21"/>
                    </w:rPr>
                    <w:t>TSP</w:t>
                  </w:r>
                </w:p>
              </w:tc>
              <w:tc>
                <w:tcPr>
                  <w:tcW w:w="1458" w:type="dxa"/>
                  <w:vAlign w:val="center"/>
                </w:tcPr>
                <w:p>
                  <w:pPr>
                    <w:pStyle w:val="19"/>
                    <w:ind w:left="0" w:leftChars="0"/>
                    <w:rPr>
                      <w:rFonts w:ascii="宋体" w:hAnsi="宋体" w:cs="宋体"/>
                      <w:bCs/>
                      <w:szCs w:val="21"/>
                    </w:rPr>
                  </w:pPr>
                  <w:r>
                    <w:rPr>
                      <w:rFonts w:hint="eastAsia" w:ascii="宋体" w:hAnsi="宋体" w:cs="宋体"/>
                      <w:bCs/>
                      <w:szCs w:val="21"/>
                    </w:rPr>
                    <w:t>300（日均值）</w:t>
                  </w:r>
                </w:p>
              </w:tc>
              <w:tc>
                <w:tcPr>
                  <w:tcW w:w="1133" w:type="dxa"/>
                  <w:vAlign w:val="center"/>
                </w:tcPr>
                <w:p>
                  <w:pPr>
                    <w:pStyle w:val="19"/>
                    <w:ind w:left="0" w:leftChars="0"/>
                    <w:jc w:val="center"/>
                    <w:rPr>
                      <w:rFonts w:ascii="宋体" w:hAnsi="宋体" w:cs="宋体"/>
                      <w:bCs/>
                      <w:szCs w:val="21"/>
                    </w:rPr>
                  </w:pPr>
                  <w:r>
                    <w:rPr>
                      <w:rFonts w:hint="eastAsia" w:ascii="宋体" w:hAnsi="宋体" w:cs="宋体"/>
                      <w:bCs/>
                      <w:szCs w:val="21"/>
                    </w:rPr>
                    <w:t>132-144</w:t>
                  </w:r>
                </w:p>
              </w:tc>
              <w:tc>
                <w:tcPr>
                  <w:tcW w:w="967" w:type="dxa"/>
                  <w:vAlign w:val="center"/>
                </w:tcPr>
                <w:p>
                  <w:pPr>
                    <w:pStyle w:val="19"/>
                    <w:ind w:left="0" w:leftChars="0"/>
                    <w:jc w:val="center"/>
                    <w:rPr>
                      <w:rFonts w:ascii="宋体" w:hAnsi="宋体" w:cs="宋体"/>
                      <w:bCs/>
                      <w:szCs w:val="21"/>
                    </w:rPr>
                  </w:pPr>
                  <w:r>
                    <w:rPr>
                      <w:rFonts w:hint="eastAsia" w:ascii="宋体" w:hAnsi="宋体" w:cs="宋体"/>
                      <w:bCs/>
                      <w:szCs w:val="21"/>
                    </w:rPr>
                    <w:t>48</w:t>
                  </w:r>
                </w:p>
              </w:tc>
              <w:tc>
                <w:tcPr>
                  <w:tcW w:w="644" w:type="dxa"/>
                  <w:vAlign w:val="center"/>
                </w:tcPr>
                <w:p>
                  <w:pPr>
                    <w:pStyle w:val="19"/>
                    <w:ind w:left="0" w:leftChars="0"/>
                    <w:jc w:val="center"/>
                    <w:rPr>
                      <w:rFonts w:ascii="宋体" w:hAnsi="宋体" w:cs="宋体"/>
                      <w:bCs/>
                      <w:szCs w:val="21"/>
                    </w:rPr>
                  </w:pPr>
                  <w:r>
                    <w:rPr>
                      <w:rFonts w:hint="eastAsia" w:ascii="宋体" w:hAnsi="宋体" w:cs="宋体"/>
                      <w:bCs/>
                      <w:szCs w:val="21"/>
                    </w:rPr>
                    <w:t>0</w:t>
                  </w:r>
                </w:p>
              </w:tc>
              <w:tc>
                <w:tcPr>
                  <w:tcW w:w="700" w:type="dxa"/>
                  <w:vAlign w:val="center"/>
                </w:tcPr>
                <w:p>
                  <w:pPr>
                    <w:pStyle w:val="19"/>
                    <w:ind w:left="0" w:leftChars="0"/>
                    <w:jc w:val="center"/>
                    <w:rPr>
                      <w:rFonts w:ascii="宋体" w:hAnsi="宋体" w:cs="宋体"/>
                      <w:bCs/>
                      <w:szCs w:val="21"/>
                    </w:rPr>
                  </w:pPr>
                  <w:r>
                    <w:rPr>
                      <w:rFonts w:hint="eastAsia" w:ascii="宋体" w:hAnsi="宋体" w:cs="宋体"/>
                      <w:bCs/>
                      <w:szCs w:val="21"/>
                    </w:rPr>
                    <w:t>达标</w:t>
                  </w:r>
                </w:p>
              </w:tc>
            </w:tr>
          </w:tbl>
          <w:p>
            <w:pPr>
              <w:spacing w:line="360" w:lineRule="auto"/>
              <w:ind w:firstLine="480" w:firstLineChars="200"/>
              <w:rPr>
                <w:rFonts w:ascii="宋体" w:hAnsi="宋体" w:cs="宋体"/>
                <w:sz w:val="24"/>
                <w:szCs w:val="21"/>
              </w:rPr>
            </w:pPr>
            <w:r>
              <w:rPr>
                <w:rFonts w:hint="eastAsia" w:ascii="宋体" w:hAnsi="宋体" w:cs="宋体"/>
                <w:sz w:val="24"/>
                <w:szCs w:val="21"/>
              </w:rPr>
              <w:t>⑤评价方法</w:t>
            </w:r>
          </w:p>
          <w:p>
            <w:pPr>
              <w:spacing w:line="360" w:lineRule="auto"/>
              <w:ind w:firstLine="480" w:firstLineChars="200"/>
              <w:rPr>
                <w:rFonts w:ascii="宋体" w:hAnsi="宋体" w:cs="宋体"/>
                <w:sz w:val="24"/>
                <w:szCs w:val="21"/>
              </w:rPr>
            </w:pPr>
            <w:r>
              <w:rPr>
                <w:rFonts w:hint="eastAsia" w:ascii="宋体" w:hAnsi="宋体" w:cs="宋体"/>
                <w:sz w:val="24"/>
                <w:szCs w:val="21"/>
              </w:rPr>
              <w:t>评价方法采用单项标准指数法，计算公式如下：</w:t>
            </w:r>
          </w:p>
          <w:p>
            <w:pPr>
              <w:spacing w:line="360" w:lineRule="auto"/>
              <w:rPr>
                <w:rFonts w:ascii="宋体" w:hAnsi="宋体" w:cs="宋体"/>
                <w:sz w:val="24"/>
                <w:szCs w:val="21"/>
              </w:rPr>
            </w:pPr>
            <w:r>
              <w:rPr>
                <w:rFonts w:hint="eastAsia" w:ascii="宋体" w:hAnsi="宋体" w:cs="宋体"/>
                <w:sz w:val="24"/>
                <w:szCs w:val="21"/>
              </w:rPr>
              <w:t xml:space="preserve">            I</w:t>
            </w:r>
            <w:r>
              <w:rPr>
                <w:rFonts w:hint="eastAsia" w:ascii="宋体" w:hAnsi="宋体" w:cs="宋体"/>
                <w:sz w:val="24"/>
                <w:szCs w:val="21"/>
                <w:vertAlign w:val="subscript"/>
              </w:rPr>
              <w:t>i</w:t>
            </w:r>
            <w:r>
              <w:rPr>
                <w:rFonts w:hint="eastAsia" w:ascii="宋体" w:hAnsi="宋体" w:cs="宋体"/>
                <w:sz w:val="24"/>
                <w:szCs w:val="21"/>
                <w:lang/>
              </w:rPr>
              <w:t>＝</w:t>
            </w:r>
            <w:r>
              <w:rPr>
                <w:rFonts w:hint="eastAsia" w:ascii="宋体" w:hAnsi="宋体" w:cs="宋体"/>
                <w:sz w:val="24"/>
                <w:szCs w:val="21"/>
              </w:rPr>
              <w:t>C</w:t>
            </w:r>
            <w:r>
              <w:rPr>
                <w:rFonts w:hint="eastAsia" w:ascii="宋体" w:hAnsi="宋体" w:cs="宋体"/>
                <w:sz w:val="24"/>
                <w:szCs w:val="21"/>
                <w:vertAlign w:val="subscript"/>
              </w:rPr>
              <w:t>i</w:t>
            </w:r>
            <w:r>
              <w:rPr>
                <w:rFonts w:hint="eastAsia" w:ascii="宋体" w:hAnsi="宋体" w:cs="宋体"/>
                <w:sz w:val="24"/>
                <w:szCs w:val="21"/>
              </w:rPr>
              <w:t>/C</w:t>
            </w:r>
            <w:r>
              <w:rPr>
                <w:rFonts w:hint="eastAsia" w:ascii="宋体" w:hAnsi="宋体" w:cs="宋体"/>
                <w:sz w:val="24"/>
                <w:szCs w:val="21"/>
                <w:vertAlign w:val="subscript"/>
              </w:rPr>
              <w:t>oi</w:t>
            </w:r>
          </w:p>
          <w:p>
            <w:pPr>
              <w:spacing w:line="360" w:lineRule="auto"/>
              <w:rPr>
                <w:rFonts w:ascii="宋体" w:hAnsi="宋体" w:cs="宋体"/>
                <w:sz w:val="24"/>
                <w:szCs w:val="21"/>
              </w:rPr>
            </w:pPr>
            <w:r>
              <w:rPr>
                <w:rFonts w:hint="eastAsia" w:ascii="宋体" w:hAnsi="宋体" w:cs="宋体"/>
                <w:sz w:val="24"/>
                <w:szCs w:val="21"/>
              </w:rPr>
              <w:t xml:space="preserve">    式中：I</w:t>
            </w:r>
            <w:r>
              <w:rPr>
                <w:rFonts w:hint="eastAsia" w:ascii="宋体" w:hAnsi="宋体" w:cs="宋体"/>
                <w:sz w:val="24"/>
                <w:szCs w:val="21"/>
                <w:vertAlign w:val="subscript"/>
              </w:rPr>
              <w:t>i</w:t>
            </w:r>
            <w:r>
              <w:rPr>
                <w:rFonts w:hint="eastAsia" w:ascii="宋体" w:hAnsi="宋体" w:cs="宋体"/>
                <w:sz w:val="24"/>
                <w:szCs w:val="21"/>
              </w:rPr>
              <w:t xml:space="preserve"> ─i污染物的标准指数；</w:t>
            </w:r>
          </w:p>
          <w:p>
            <w:pPr>
              <w:spacing w:line="360" w:lineRule="auto"/>
              <w:ind w:firstLine="1200" w:firstLineChars="500"/>
              <w:rPr>
                <w:rFonts w:ascii="宋体" w:hAnsi="宋体" w:cs="宋体"/>
                <w:sz w:val="24"/>
                <w:szCs w:val="21"/>
              </w:rPr>
            </w:pPr>
            <w:r>
              <w:rPr>
                <w:rFonts w:hint="eastAsia" w:ascii="宋体" w:hAnsi="宋体" w:cs="宋体"/>
                <w:sz w:val="24"/>
                <w:szCs w:val="21"/>
              </w:rPr>
              <w:t>C</w:t>
            </w:r>
            <w:r>
              <w:rPr>
                <w:rFonts w:hint="eastAsia" w:ascii="宋体" w:hAnsi="宋体" w:cs="宋体"/>
                <w:sz w:val="24"/>
                <w:szCs w:val="21"/>
                <w:vertAlign w:val="subscript"/>
              </w:rPr>
              <w:t>i</w:t>
            </w:r>
            <w:r>
              <w:rPr>
                <w:rFonts w:hint="eastAsia" w:ascii="宋体" w:hAnsi="宋体" w:cs="宋体"/>
                <w:sz w:val="24"/>
                <w:szCs w:val="21"/>
              </w:rPr>
              <w:t xml:space="preserve"> ─i污染物的实测浓度，mg/m</w:t>
            </w:r>
            <w:r>
              <w:rPr>
                <w:rFonts w:hint="eastAsia" w:ascii="宋体" w:hAnsi="宋体" w:cs="宋体"/>
                <w:sz w:val="24"/>
                <w:szCs w:val="21"/>
                <w:vertAlign w:val="superscript"/>
              </w:rPr>
              <w:t>3</w:t>
            </w:r>
            <w:r>
              <w:rPr>
                <w:rFonts w:hint="eastAsia" w:ascii="宋体" w:hAnsi="宋体" w:cs="宋体"/>
                <w:sz w:val="24"/>
                <w:szCs w:val="21"/>
              </w:rPr>
              <w:t>；</w:t>
            </w:r>
          </w:p>
          <w:p>
            <w:pPr>
              <w:spacing w:line="360" w:lineRule="auto"/>
              <w:rPr>
                <w:rFonts w:ascii="宋体" w:hAnsi="宋体" w:cs="宋体"/>
                <w:sz w:val="24"/>
                <w:szCs w:val="21"/>
              </w:rPr>
            </w:pPr>
            <w:r>
              <w:rPr>
                <w:rFonts w:hint="eastAsia" w:ascii="宋体" w:hAnsi="宋体" w:cs="宋体"/>
                <w:sz w:val="24"/>
                <w:szCs w:val="21"/>
              </w:rPr>
              <w:t xml:space="preserve">          C</w:t>
            </w:r>
            <w:r>
              <w:rPr>
                <w:rFonts w:hint="eastAsia" w:ascii="宋体" w:hAnsi="宋体" w:cs="宋体"/>
                <w:sz w:val="24"/>
                <w:szCs w:val="21"/>
                <w:vertAlign w:val="subscript"/>
              </w:rPr>
              <w:t>oi</w:t>
            </w:r>
            <w:r>
              <w:rPr>
                <w:rFonts w:hint="eastAsia" w:ascii="宋体" w:hAnsi="宋体" w:cs="宋体"/>
                <w:sz w:val="24"/>
                <w:szCs w:val="21"/>
              </w:rPr>
              <w:t>─i污染物的评价标准，mg/m</w:t>
            </w:r>
            <w:r>
              <w:rPr>
                <w:rFonts w:hint="eastAsia" w:ascii="宋体" w:hAnsi="宋体" w:cs="宋体"/>
                <w:sz w:val="24"/>
                <w:szCs w:val="21"/>
                <w:vertAlign w:val="superscript"/>
              </w:rPr>
              <w:t>3</w:t>
            </w:r>
            <w:r>
              <w:rPr>
                <w:rFonts w:hint="eastAsia" w:ascii="宋体" w:hAnsi="宋体" w:cs="宋体"/>
                <w:sz w:val="24"/>
                <w:szCs w:val="21"/>
              </w:rPr>
              <w:t>。</w:t>
            </w:r>
          </w:p>
          <w:p>
            <w:pPr>
              <w:spacing w:line="360" w:lineRule="auto"/>
              <w:ind w:firstLine="480" w:firstLineChars="200"/>
              <w:rPr>
                <w:rFonts w:ascii="宋体" w:hAnsi="宋体" w:cs="宋体"/>
                <w:sz w:val="24"/>
                <w:szCs w:val="21"/>
              </w:rPr>
            </w:pPr>
            <w:r>
              <w:rPr>
                <w:rFonts w:hint="eastAsia" w:ascii="宋体" w:hAnsi="宋体" w:cs="宋体"/>
                <w:sz w:val="24"/>
                <w:szCs w:val="21"/>
              </w:rPr>
              <w:t>利用各监测点的监测数据，统计各类污染物小时平均浓度的检出率、浓度范围、超标率和最大超标倍数。</w:t>
            </w:r>
          </w:p>
          <w:p>
            <w:pPr>
              <w:spacing w:line="360" w:lineRule="auto"/>
              <w:ind w:firstLine="480" w:firstLineChars="200"/>
              <w:rPr>
                <w:rFonts w:ascii="宋体" w:hAnsi="宋体" w:cs="宋体"/>
                <w:sz w:val="24"/>
                <w:szCs w:val="21"/>
              </w:rPr>
            </w:pPr>
            <w:r>
              <w:rPr>
                <w:rFonts w:hint="eastAsia" w:ascii="宋体" w:hAnsi="宋体" w:cs="宋体"/>
                <w:sz w:val="24"/>
                <w:szCs w:val="21"/>
              </w:rPr>
              <w:t>⑥评价标准</w:t>
            </w:r>
          </w:p>
          <w:p>
            <w:pPr>
              <w:spacing w:line="360" w:lineRule="auto"/>
              <w:ind w:firstLine="480" w:firstLineChars="200"/>
              <w:rPr>
                <w:rFonts w:ascii="宋体" w:hAnsi="宋体" w:cs="宋体"/>
                <w:sz w:val="24"/>
                <w:szCs w:val="21"/>
              </w:rPr>
            </w:pPr>
            <w:r>
              <w:rPr>
                <w:rFonts w:hint="eastAsia" w:ascii="宋体" w:hAnsi="宋体" w:cs="宋体"/>
                <w:sz w:val="24"/>
                <w:szCs w:val="21"/>
              </w:rPr>
              <w:t>评价标准选用《环境空气质量标准》（GB3095-2026）中的二级标准。</w:t>
            </w:r>
          </w:p>
          <w:p>
            <w:pPr>
              <w:spacing w:line="360" w:lineRule="auto"/>
              <w:ind w:firstLine="480" w:firstLineChars="200"/>
              <w:rPr>
                <w:rFonts w:ascii="宋体" w:hAnsi="宋体" w:cs="宋体"/>
                <w:sz w:val="24"/>
                <w:szCs w:val="21"/>
              </w:rPr>
            </w:pPr>
            <w:r>
              <w:rPr>
                <w:rFonts w:hint="eastAsia" w:ascii="宋体" w:hAnsi="宋体" w:cs="宋体"/>
                <w:sz w:val="24"/>
                <w:szCs w:val="21"/>
              </w:rPr>
              <w:t>⑦评价结果</w:t>
            </w:r>
          </w:p>
          <w:p>
            <w:pPr>
              <w:widowControl/>
              <w:spacing w:line="360" w:lineRule="auto"/>
              <w:ind w:firstLine="480" w:firstLineChars="200"/>
              <w:jc w:val="left"/>
              <w:rPr>
                <w:rFonts w:ascii="宋体" w:hAnsi="宋体" w:cs="宋体"/>
                <w:sz w:val="24"/>
              </w:rPr>
            </w:pPr>
            <w:r>
              <w:rPr>
                <w:rFonts w:hint="eastAsia" w:ascii="宋体" w:hAnsi="宋体" w:cs="宋体"/>
                <w:kern w:val="0"/>
                <w:sz w:val="24"/>
              </w:rPr>
              <w:t>由上表可知，TSP满足《环境空气质量标准》（GB3095-2026）中二级标准中过渡期限值要求。</w:t>
            </w:r>
          </w:p>
          <w:p>
            <w:pPr>
              <w:spacing w:line="360" w:lineRule="auto"/>
              <w:ind w:firstLine="482" w:firstLineChars="200"/>
              <w:rPr>
                <w:rFonts w:ascii="宋体" w:hAnsi="宋体" w:cs="宋体"/>
                <w:b/>
                <w:bCs/>
                <w:kern w:val="0"/>
                <w:sz w:val="24"/>
              </w:rPr>
            </w:pPr>
            <w:r>
              <w:rPr>
                <w:rFonts w:hint="eastAsia" w:ascii="宋体" w:hAnsi="宋体" w:cs="宋体"/>
                <w:b/>
                <w:bCs/>
                <w:kern w:val="0"/>
                <w:sz w:val="24"/>
              </w:rPr>
              <w:t>2、地表水环境质量现状与评价</w:t>
            </w:r>
          </w:p>
          <w:p>
            <w:pPr>
              <w:spacing w:line="360" w:lineRule="auto"/>
              <w:ind w:firstLine="480" w:firstLineChars="200"/>
              <w:rPr>
                <w:b/>
                <w:sz w:val="24"/>
              </w:rPr>
            </w:pPr>
            <w:r>
              <w:rPr>
                <w:sz w:val="24"/>
              </w:rPr>
              <w:t>本项目周围地表水体为</w:t>
            </w:r>
            <w:r>
              <w:rPr>
                <w:rFonts w:hint="eastAsia"/>
                <w:sz w:val="24"/>
              </w:rPr>
              <w:t>一统</w:t>
            </w:r>
            <w:r>
              <w:rPr>
                <w:sz w:val="24"/>
              </w:rPr>
              <w:t>河，根据吉林省生态环境厅吉林省地表水国控断面水质月报，根据《2025年1月-</w:t>
            </w:r>
            <w:r>
              <w:rPr>
                <w:rFonts w:hint="eastAsia"/>
                <w:sz w:val="24"/>
              </w:rPr>
              <w:t>12</w:t>
            </w:r>
            <w:r>
              <w:rPr>
                <w:sz w:val="24"/>
              </w:rPr>
              <w:t>月吉林省地表水国控断面水质月报》</w:t>
            </w:r>
          </w:p>
          <w:p>
            <w:pPr>
              <w:jc w:val="center"/>
              <w:rPr>
                <w:b/>
                <w:sz w:val="24"/>
              </w:rPr>
            </w:pPr>
            <w:r>
              <w:rPr>
                <w:b/>
                <w:sz w:val="24"/>
              </w:rPr>
              <w:t>表3-4　吉林省地表水国控断面水质月报（节选）</w:t>
            </w:r>
          </w:p>
          <w:tbl>
            <w:tblPr>
              <w:tblW w:w="8385"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left w:w="108" w:type="dxa"/>
                <w:right w:w="108" w:type="dxa"/>
              </w:tblCellMar>
            </w:tblPr>
            <w:tblGrid>
              <w:gridCol w:w="791"/>
              <w:gridCol w:w="1354"/>
              <w:gridCol w:w="501"/>
              <w:gridCol w:w="487"/>
              <w:gridCol w:w="486"/>
              <w:gridCol w:w="531"/>
              <w:gridCol w:w="513"/>
              <w:gridCol w:w="498"/>
              <w:gridCol w:w="458"/>
              <w:gridCol w:w="513"/>
              <w:gridCol w:w="456"/>
              <w:gridCol w:w="599"/>
              <w:gridCol w:w="599"/>
              <w:gridCol w:w="599"/>
            </w:tblGrid>
            <w:tr>
              <w:trPr>
                <w:trHeight w:val="228" w:hRule="atLeast"/>
                <w:tblHeader/>
              </w:trPr>
              <w:tc>
                <w:tcPr>
                  <w:tcW w:w="791" w:type="dxa"/>
                  <w:tcBorders>
                    <w:tl2br w:val="nil"/>
                    <w:tr2bl w:val="nil"/>
                  </w:tcBorders>
                  <w:vAlign w:val="center"/>
                </w:tcPr>
                <w:p>
                  <w:pPr>
                    <w:pStyle w:val="59"/>
                    <w:tabs>
                      <w:tab w:val="left" w:pos="1257"/>
                    </w:tabs>
                    <w:snapToGrid/>
                    <w:spacing w:before="31" w:after="31"/>
                    <w:textAlignment w:val="baseline"/>
                    <w:rPr>
                      <w:rFonts w:eastAsia="宋体"/>
                      <w:sz w:val="21"/>
                      <w:szCs w:val="21"/>
                    </w:rPr>
                  </w:pPr>
                  <w:r>
                    <w:rPr>
                      <w:rFonts w:eastAsia="宋体"/>
                      <w:sz w:val="21"/>
                      <w:szCs w:val="21"/>
                    </w:rPr>
                    <w:t>所在水体</w:t>
                  </w:r>
                </w:p>
              </w:tc>
              <w:tc>
                <w:tcPr>
                  <w:tcW w:w="1354" w:type="dxa"/>
                  <w:tcBorders>
                    <w:tl2br w:val="nil"/>
                    <w:tr2bl w:val="nil"/>
                  </w:tcBorders>
                  <w:vAlign w:val="center"/>
                </w:tcPr>
                <w:p>
                  <w:pPr>
                    <w:pStyle w:val="59"/>
                    <w:tabs>
                      <w:tab w:val="left" w:pos="1257"/>
                    </w:tabs>
                    <w:snapToGrid/>
                    <w:spacing w:before="31" w:after="31"/>
                    <w:textAlignment w:val="baseline"/>
                    <w:rPr>
                      <w:rFonts w:eastAsia="宋体"/>
                      <w:sz w:val="21"/>
                      <w:szCs w:val="21"/>
                    </w:rPr>
                  </w:pPr>
                  <w:r>
                    <w:rPr>
                      <w:rFonts w:eastAsia="宋体"/>
                      <w:sz w:val="21"/>
                      <w:szCs w:val="21"/>
                    </w:rPr>
                    <w:t>断面名称</w:t>
                  </w:r>
                </w:p>
              </w:tc>
              <w:tc>
                <w:tcPr>
                  <w:tcW w:w="501" w:type="dxa"/>
                  <w:tcBorders>
                    <w:tl2br w:val="nil"/>
                    <w:tr2bl w:val="nil"/>
                  </w:tcBorders>
                  <w:vAlign w:val="center"/>
                </w:tcPr>
                <w:p>
                  <w:pPr>
                    <w:pStyle w:val="59"/>
                    <w:tabs>
                      <w:tab w:val="left" w:pos="1257"/>
                    </w:tabs>
                    <w:snapToGrid/>
                    <w:spacing w:before="31" w:after="31"/>
                    <w:textAlignment w:val="baseline"/>
                    <w:rPr>
                      <w:rFonts w:eastAsia="宋体"/>
                      <w:sz w:val="21"/>
                      <w:szCs w:val="21"/>
                    </w:rPr>
                  </w:pPr>
                  <w:r>
                    <w:rPr>
                      <w:rFonts w:eastAsia="宋体"/>
                      <w:sz w:val="21"/>
                      <w:szCs w:val="21"/>
                    </w:rPr>
                    <w:t>1月</w:t>
                  </w:r>
                </w:p>
              </w:tc>
              <w:tc>
                <w:tcPr>
                  <w:tcW w:w="487" w:type="dxa"/>
                  <w:tcBorders>
                    <w:tl2br w:val="nil"/>
                    <w:tr2bl w:val="nil"/>
                  </w:tcBorders>
                  <w:vAlign w:val="center"/>
                </w:tcPr>
                <w:p>
                  <w:pPr>
                    <w:pStyle w:val="59"/>
                    <w:tabs>
                      <w:tab w:val="left" w:pos="1257"/>
                    </w:tabs>
                    <w:snapToGrid/>
                    <w:spacing w:before="31" w:after="31"/>
                    <w:textAlignment w:val="baseline"/>
                    <w:rPr>
                      <w:rFonts w:eastAsia="宋体"/>
                      <w:sz w:val="21"/>
                      <w:szCs w:val="21"/>
                    </w:rPr>
                  </w:pPr>
                  <w:r>
                    <w:rPr>
                      <w:rFonts w:eastAsia="宋体"/>
                      <w:sz w:val="21"/>
                      <w:szCs w:val="21"/>
                    </w:rPr>
                    <w:t>2月</w:t>
                  </w:r>
                </w:p>
              </w:tc>
              <w:tc>
                <w:tcPr>
                  <w:tcW w:w="486" w:type="dxa"/>
                  <w:tcBorders>
                    <w:tl2br w:val="nil"/>
                    <w:tr2bl w:val="nil"/>
                  </w:tcBorders>
                  <w:vAlign w:val="center"/>
                </w:tcPr>
                <w:p>
                  <w:pPr>
                    <w:pStyle w:val="59"/>
                    <w:tabs>
                      <w:tab w:val="left" w:pos="1257"/>
                    </w:tabs>
                    <w:snapToGrid/>
                    <w:spacing w:before="31" w:after="31"/>
                    <w:textAlignment w:val="baseline"/>
                    <w:rPr>
                      <w:rFonts w:eastAsia="宋体"/>
                      <w:sz w:val="21"/>
                      <w:szCs w:val="21"/>
                    </w:rPr>
                  </w:pPr>
                  <w:r>
                    <w:rPr>
                      <w:rFonts w:eastAsia="宋体"/>
                      <w:sz w:val="21"/>
                      <w:szCs w:val="21"/>
                    </w:rPr>
                    <w:t>3月</w:t>
                  </w:r>
                </w:p>
              </w:tc>
              <w:tc>
                <w:tcPr>
                  <w:tcW w:w="531" w:type="dxa"/>
                  <w:tcBorders>
                    <w:tl2br w:val="nil"/>
                    <w:tr2bl w:val="nil"/>
                  </w:tcBorders>
                  <w:vAlign w:val="center"/>
                </w:tcPr>
                <w:p>
                  <w:pPr>
                    <w:pStyle w:val="59"/>
                    <w:tabs>
                      <w:tab w:val="left" w:pos="1257"/>
                    </w:tabs>
                    <w:snapToGrid/>
                    <w:spacing w:before="31" w:after="31"/>
                    <w:textAlignment w:val="baseline"/>
                    <w:rPr>
                      <w:rFonts w:eastAsia="宋体"/>
                      <w:sz w:val="21"/>
                      <w:szCs w:val="21"/>
                    </w:rPr>
                  </w:pPr>
                  <w:r>
                    <w:rPr>
                      <w:rFonts w:eastAsia="宋体"/>
                      <w:sz w:val="21"/>
                      <w:szCs w:val="21"/>
                    </w:rPr>
                    <w:t>4月</w:t>
                  </w:r>
                </w:p>
              </w:tc>
              <w:tc>
                <w:tcPr>
                  <w:tcW w:w="513" w:type="dxa"/>
                  <w:tcBorders>
                    <w:tl2br w:val="nil"/>
                    <w:tr2bl w:val="nil"/>
                  </w:tcBorders>
                  <w:vAlign w:val="center"/>
                </w:tcPr>
                <w:p>
                  <w:pPr>
                    <w:pStyle w:val="59"/>
                    <w:tabs>
                      <w:tab w:val="left" w:pos="1257"/>
                    </w:tabs>
                    <w:snapToGrid/>
                    <w:spacing w:before="31" w:after="31"/>
                    <w:textAlignment w:val="baseline"/>
                    <w:rPr>
                      <w:rFonts w:eastAsia="宋体"/>
                      <w:sz w:val="21"/>
                      <w:szCs w:val="21"/>
                    </w:rPr>
                  </w:pPr>
                  <w:r>
                    <w:rPr>
                      <w:rFonts w:eastAsia="宋体"/>
                      <w:sz w:val="21"/>
                      <w:szCs w:val="21"/>
                    </w:rPr>
                    <w:t>5月</w:t>
                  </w:r>
                </w:p>
              </w:tc>
              <w:tc>
                <w:tcPr>
                  <w:tcW w:w="498" w:type="dxa"/>
                  <w:tcBorders>
                    <w:tl2br w:val="nil"/>
                    <w:tr2bl w:val="nil"/>
                  </w:tcBorders>
                  <w:vAlign w:val="center"/>
                </w:tcPr>
                <w:p>
                  <w:pPr>
                    <w:pStyle w:val="59"/>
                    <w:tabs>
                      <w:tab w:val="left" w:pos="1257"/>
                    </w:tabs>
                    <w:snapToGrid/>
                    <w:spacing w:before="31" w:after="31"/>
                    <w:textAlignment w:val="baseline"/>
                    <w:rPr>
                      <w:rFonts w:eastAsia="宋体"/>
                      <w:sz w:val="21"/>
                      <w:szCs w:val="21"/>
                    </w:rPr>
                  </w:pPr>
                  <w:r>
                    <w:rPr>
                      <w:rFonts w:eastAsia="宋体"/>
                      <w:sz w:val="21"/>
                      <w:szCs w:val="21"/>
                    </w:rPr>
                    <w:t>6月</w:t>
                  </w:r>
                </w:p>
              </w:tc>
              <w:tc>
                <w:tcPr>
                  <w:tcW w:w="458" w:type="dxa"/>
                  <w:tcBorders>
                    <w:tl2br w:val="nil"/>
                    <w:tr2bl w:val="nil"/>
                  </w:tcBorders>
                  <w:vAlign w:val="center"/>
                </w:tcPr>
                <w:p>
                  <w:pPr>
                    <w:pStyle w:val="59"/>
                    <w:tabs>
                      <w:tab w:val="left" w:pos="1257"/>
                    </w:tabs>
                    <w:snapToGrid/>
                    <w:spacing w:before="31" w:after="31"/>
                    <w:textAlignment w:val="baseline"/>
                    <w:rPr>
                      <w:rFonts w:eastAsia="宋体"/>
                      <w:sz w:val="21"/>
                      <w:szCs w:val="21"/>
                    </w:rPr>
                  </w:pPr>
                  <w:r>
                    <w:rPr>
                      <w:rFonts w:eastAsia="宋体"/>
                      <w:sz w:val="21"/>
                      <w:szCs w:val="21"/>
                    </w:rPr>
                    <w:t>7月</w:t>
                  </w:r>
                </w:p>
              </w:tc>
              <w:tc>
                <w:tcPr>
                  <w:tcW w:w="513" w:type="dxa"/>
                  <w:tcBorders>
                    <w:tl2br w:val="nil"/>
                    <w:tr2bl w:val="nil"/>
                  </w:tcBorders>
                  <w:vAlign w:val="center"/>
                </w:tcPr>
                <w:p>
                  <w:pPr>
                    <w:pStyle w:val="59"/>
                    <w:tabs>
                      <w:tab w:val="left" w:pos="1257"/>
                    </w:tabs>
                    <w:snapToGrid/>
                    <w:spacing w:before="31" w:after="31"/>
                    <w:textAlignment w:val="baseline"/>
                    <w:rPr>
                      <w:rFonts w:eastAsia="宋体"/>
                      <w:sz w:val="21"/>
                      <w:szCs w:val="21"/>
                    </w:rPr>
                  </w:pPr>
                  <w:r>
                    <w:rPr>
                      <w:rFonts w:eastAsia="宋体"/>
                      <w:sz w:val="21"/>
                      <w:szCs w:val="21"/>
                    </w:rPr>
                    <w:t>8月</w:t>
                  </w:r>
                </w:p>
              </w:tc>
              <w:tc>
                <w:tcPr>
                  <w:tcW w:w="456" w:type="dxa"/>
                  <w:tcBorders>
                    <w:tl2br w:val="nil"/>
                    <w:tr2bl w:val="nil"/>
                  </w:tcBorders>
                  <w:vAlign w:val="center"/>
                </w:tcPr>
                <w:p>
                  <w:pPr>
                    <w:pStyle w:val="59"/>
                    <w:tabs>
                      <w:tab w:val="left" w:pos="1257"/>
                    </w:tabs>
                    <w:snapToGrid/>
                    <w:spacing w:before="31" w:after="31"/>
                    <w:textAlignment w:val="baseline"/>
                    <w:rPr>
                      <w:rFonts w:eastAsia="宋体"/>
                      <w:sz w:val="21"/>
                      <w:szCs w:val="21"/>
                    </w:rPr>
                  </w:pPr>
                  <w:r>
                    <w:rPr>
                      <w:rFonts w:eastAsia="宋体"/>
                      <w:sz w:val="21"/>
                      <w:szCs w:val="21"/>
                    </w:rPr>
                    <w:t>9月</w:t>
                  </w:r>
                </w:p>
              </w:tc>
              <w:tc>
                <w:tcPr>
                  <w:tcW w:w="599" w:type="dxa"/>
                  <w:tcBorders>
                    <w:tl2br w:val="nil"/>
                    <w:tr2bl w:val="nil"/>
                  </w:tcBorders>
                  <w:vAlign w:val="center"/>
                </w:tcPr>
                <w:p>
                  <w:pPr>
                    <w:pStyle w:val="59"/>
                    <w:tabs>
                      <w:tab w:val="left" w:pos="1257"/>
                    </w:tabs>
                    <w:snapToGrid/>
                    <w:spacing w:before="31" w:after="31"/>
                    <w:textAlignment w:val="baseline"/>
                    <w:rPr>
                      <w:rFonts w:eastAsia="宋体"/>
                      <w:sz w:val="21"/>
                      <w:szCs w:val="21"/>
                    </w:rPr>
                  </w:pPr>
                  <w:r>
                    <w:rPr>
                      <w:rFonts w:eastAsia="宋体"/>
                      <w:sz w:val="21"/>
                      <w:szCs w:val="21"/>
                    </w:rPr>
                    <w:t>10月</w:t>
                  </w:r>
                </w:p>
              </w:tc>
              <w:tc>
                <w:tcPr>
                  <w:tcW w:w="599" w:type="dxa"/>
                  <w:tcBorders>
                    <w:tl2br w:val="nil"/>
                    <w:tr2bl w:val="nil"/>
                  </w:tcBorders>
                  <w:vAlign w:val="center"/>
                </w:tcPr>
                <w:p>
                  <w:pPr>
                    <w:pStyle w:val="59"/>
                    <w:tabs>
                      <w:tab w:val="left" w:pos="1257"/>
                    </w:tabs>
                    <w:snapToGrid/>
                    <w:spacing w:before="31" w:after="31"/>
                    <w:textAlignment w:val="baseline"/>
                    <w:rPr>
                      <w:rFonts w:eastAsia="宋体"/>
                      <w:sz w:val="21"/>
                      <w:szCs w:val="21"/>
                    </w:rPr>
                  </w:pPr>
                  <w:r>
                    <w:rPr>
                      <w:rFonts w:eastAsia="宋体"/>
                      <w:sz w:val="21"/>
                      <w:szCs w:val="21"/>
                    </w:rPr>
                    <w:t>11月</w:t>
                  </w:r>
                </w:p>
              </w:tc>
              <w:tc>
                <w:tcPr>
                  <w:tcW w:w="599" w:type="dxa"/>
                  <w:tcBorders>
                    <w:tl2br w:val="nil"/>
                    <w:tr2bl w:val="nil"/>
                  </w:tcBorders>
                  <w:vAlign w:val="center"/>
                </w:tcPr>
                <w:p>
                  <w:pPr>
                    <w:pStyle w:val="59"/>
                    <w:tabs>
                      <w:tab w:val="left" w:pos="1257"/>
                    </w:tabs>
                    <w:snapToGrid/>
                    <w:spacing w:before="31" w:after="31"/>
                    <w:textAlignment w:val="baseline"/>
                    <w:rPr>
                      <w:rFonts w:eastAsia="宋体"/>
                      <w:sz w:val="21"/>
                      <w:szCs w:val="21"/>
                    </w:rPr>
                  </w:pPr>
                  <w:r>
                    <w:rPr>
                      <w:rFonts w:eastAsia="宋体"/>
                      <w:sz w:val="21"/>
                      <w:szCs w:val="21"/>
                    </w:rPr>
                    <w:t>12月</w:t>
                  </w:r>
                </w:p>
              </w:tc>
            </w:tr>
            <w:tr>
              <w:trPr>
                <w:trHeight w:val="134" w:hRule="atLeast"/>
              </w:trPr>
              <w:tc>
                <w:tcPr>
                  <w:tcW w:w="791" w:type="dxa"/>
                  <w:vMerge w:val="restart"/>
                  <w:tcBorders>
                    <w:tl2br w:val="nil"/>
                    <w:tr2bl w:val="nil"/>
                  </w:tcBorders>
                  <w:vAlign w:val="center"/>
                </w:tcPr>
                <w:p>
                  <w:pPr>
                    <w:pStyle w:val="60"/>
                    <w:tabs>
                      <w:tab w:val="left" w:pos="1257"/>
                    </w:tabs>
                    <w:snapToGrid/>
                    <w:spacing w:before="31" w:after="31"/>
                    <w:ind w:firstLine="0" w:firstLineChars="0"/>
                    <w:textAlignment w:val="baseline"/>
                    <w:rPr>
                      <w:rFonts w:ascii="Times New Roman"/>
                      <w:szCs w:val="21"/>
                    </w:rPr>
                  </w:pPr>
                  <w:r>
                    <w:rPr>
                      <w:rFonts w:hint="eastAsia" w:ascii="Times New Roman"/>
                      <w:szCs w:val="21"/>
                    </w:rPr>
                    <w:t>一统河</w:t>
                  </w:r>
                </w:p>
              </w:tc>
              <w:tc>
                <w:tcPr>
                  <w:tcW w:w="1354" w:type="dxa"/>
                  <w:tcBorders>
                    <w:tl2br w:val="nil"/>
                    <w:tr2bl w:val="nil"/>
                  </w:tcBorders>
                  <w:vAlign w:val="center"/>
                </w:tcPr>
                <w:p>
                  <w:pPr>
                    <w:pStyle w:val="60"/>
                    <w:tabs>
                      <w:tab w:val="left" w:pos="1257"/>
                    </w:tabs>
                    <w:snapToGrid/>
                    <w:spacing w:before="31" w:after="31"/>
                    <w:ind w:firstLine="0" w:firstLineChars="0"/>
                    <w:textAlignment w:val="baseline"/>
                    <w:rPr>
                      <w:rFonts w:ascii="Times New Roman"/>
                      <w:szCs w:val="21"/>
                    </w:rPr>
                  </w:pPr>
                  <w:r>
                    <w:rPr>
                      <w:rFonts w:hint="eastAsia" w:ascii="Times New Roman"/>
                      <w:szCs w:val="21"/>
                    </w:rPr>
                    <w:t>大迫子</w:t>
                  </w:r>
                </w:p>
              </w:tc>
              <w:tc>
                <w:tcPr>
                  <w:tcW w:w="501" w:type="dxa"/>
                  <w:tcBorders>
                    <w:tl2br w:val="nil"/>
                    <w:tr2bl w:val="nil"/>
                  </w:tcBorders>
                  <w:vAlign w:val="center"/>
                </w:tcPr>
                <w:p>
                  <w:pPr>
                    <w:pStyle w:val="60"/>
                    <w:tabs>
                      <w:tab w:val="left" w:pos="1257"/>
                    </w:tabs>
                    <w:snapToGrid/>
                    <w:spacing w:before="31" w:after="31"/>
                    <w:ind w:firstLine="0" w:firstLineChars="0"/>
                    <w:textAlignment w:val="baseline"/>
                    <w:rPr>
                      <w:rFonts w:ascii="Times New Roman"/>
                      <w:szCs w:val="21"/>
                    </w:rPr>
                  </w:pPr>
                  <w:r>
                    <w:rPr>
                      <w:rFonts w:ascii="Times New Roman"/>
                      <w:szCs w:val="21"/>
                      <w:shd w:val="clear" w:color="auto" w:fill="FFFFFF"/>
                    </w:rPr>
                    <w:t>Ⅱ</w:t>
                  </w:r>
                </w:p>
              </w:tc>
              <w:tc>
                <w:tcPr>
                  <w:tcW w:w="487" w:type="dxa"/>
                  <w:tcBorders>
                    <w:tl2br w:val="nil"/>
                    <w:tr2bl w:val="nil"/>
                  </w:tcBorders>
                  <w:vAlign w:val="center"/>
                </w:tcPr>
                <w:p>
                  <w:pPr>
                    <w:pStyle w:val="60"/>
                    <w:tabs>
                      <w:tab w:val="left" w:pos="1257"/>
                    </w:tabs>
                    <w:snapToGrid/>
                    <w:spacing w:before="31" w:after="31"/>
                    <w:ind w:firstLine="0" w:firstLineChars="0"/>
                    <w:textAlignment w:val="baseline"/>
                    <w:rPr>
                      <w:rFonts w:ascii="Times New Roman"/>
                      <w:szCs w:val="21"/>
                    </w:rPr>
                  </w:pPr>
                  <w:r>
                    <w:rPr>
                      <w:rFonts w:ascii="Times New Roman"/>
                      <w:szCs w:val="21"/>
                      <w:shd w:val="clear" w:color="auto" w:fill="FFFFFF"/>
                    </w:rPr>
                    <w:t>Ⅱ</w:t>
                  </w:r>
                </w:p>
              </w:tc>
              <w:tc>
                <w:tcPr>
                  <w:tcW w:w="486" w:type="dxa"/>
                  <w:tcBorders>
                    <w:tl2br w:val="nil"/>
                    <w:tr2bl w:val="nil"/>
                  </w:tcBorders>
                  <w:vAlign w:val="center"/>
                </w:tcPr>
                <w:p>
                  <w:pPr>
                    <w:pStyle w:val="60"/>
                    <w:tabs>
                      <w:tab w:val="left" w:pos="1257"/>
                    </w:tabs>
                    <w:snapToGrid/>
                    <w:spacing w:before="31" w:after="31"/>
                    <w:ind w:firstLine="0" w:firstLineChars="0"/>
                    <w:textAlignment w:val="baseline"/>
                    <w:rPr>
                      <w:rFonts w:ascii="Times New Roman"/>
                      <w:szCs w:val="21"/>
                    </w:rPr>
                  </w:pPr>
                  <w:r>
                    <w:rPr>
                      <w:rFonts w:ascii="Times New Roman"/>
                      <w:szCs w:val="21"/>
                      <w:shd w:val="clear" w:color="auto" w:fill="FFFFFF"/>
                    </w:rPr>
                    <w:t>Ⅱ</w:t>
                  </w:r>
                </w:p>
              </w:tc>
              <w:tc>
                <w:tcPr>
                  <w:tcW w:w="531" w:type="dxa"/>
                  <w:tcBorders>
                    <w:tl2br w:val="nil"/>
                    <w:tr2bl w:val="nil"/>
                  </w:tcBorders>
                  <w:vAlign w:val="center"/>
                </w:tcPr>
                <w:p>
                  <w:pPr>
                    <w:pStyle w:val="60"/>
                    <w:tabs>
                      <w:tab w:val="left" w:pos="1257"/>
                    </w:tabs>
                    <w:snapToGrid/>
                    <w:spacing w:before="31" w:after="31"/>
                    <w:ind w:firstLine="0" w:firstLineChars="0"/>
                    <w:textAlignment w:val="baseline"/>
                    <w:rPr>
                      <w:rFonts w:ascii="Times New Roman"/>
                      <w:szCs w:val="21"/>
                    </w:rPr>
                  </w:pPr>
                  <w:r>
                    <w:rPr>
                      <w:rFonts w:ascii="Times New Roman"/>
                      <w:szCs w:val="21"/>
                      <w:shd w:val="clear" w:color="auto" w:fill="FFFFFF"/>
                    </w:rPr>
                    <w:t>Ⅱ</w:t>
                  </w:r>
                </w:p>
              </w:tc>
              <w:tc>
                <w:tcPr>
                  <w:tcW w:w="513" w:type="dxa"/>
                  <w:tcBorders>
                    <w:tl2br w:val="nil"/>
                    <w:tr2bl w:val="nil"/>
                  </w:tcBorders>
                  <w:vAlign w:val="center"/>
                </w:tcPr>
                <w:p>
                  <w:pPr>
                    <w:pStyle w:val="60"/>
                    <w:tabs>
                      <w:tab w:val="left" w:pos="1257"/>
                    </w:tabs>
                    <w:snapToGrid/>
                    <w:spacing w:before="31" w:after="31"/>
                    <w:ind w:firstLine="0" w:firstLineChars="0"/>
                    <w:textAlignment w:val="baseline"/>
                    <w:rPr>
                      <w:rFonts w:ascii="Times New Roman"/>
                      <w:szCs w:val="21"/>
                    </w:rPr>
                  </w:pPr>
                  <w:r>
                    <w:rPr>
                      <w:rFonts w:ascii="Times New Roman"/>
                      <w:szCs w:val="21"/>
                      <w:shd w:val="clear" w:color="auto" w:fill="FFFFFF"/>
                    </w:rPr>
                    <w:t>Ⅱ</w:t>
                  </w:r>
                </w:p>
              </w:tc>
              <w:tc>
                <w:tcPr>
                  <w:tcW w:w="498" w:type="dxa"/>
                  <w:tcBorders>
                    <w:tl2br w:val="nil"/>
                    <w:tr2bl w:val="nil"/>
                  </w:tcBorders>
                  <w:vAlign w:val="center"/>
                </w:tcPr>
                <w:p>
                  <w:pPr>
                    <w:pStyle w:val="60"/>
                    <w:tabs>
                      <w:tab w:val="left" w:pos="1257"/>
                    </w:tabs>
                    <w:snapToGrid/>
                    <w:spacing w:before="31" w:after="31"/>
                    <w:ind w:firstLine="0" w:firstLineChars="0"/>
                    <w:textAlignment w:val="baseline"/>
                    <w:rPr>
                      <w:rFonts w:ascii="Times New Roman"/>
                      <w:szCs w:val="21"/>
                    </w:rPr>
                  </w:pPr>
                  <w:r>
                    <w:rPr>
                      <w:rFonts w:ascii="Times New Roman"/>
                      <w:szCs w:val="21"/>
                      <w:shd w:val="clear" w:color="auto" w:fill="FFFFFF"/>
                    </w:rPr>
                    <w:t>Ⅱ</w:t>
                  </w:r>
                </w:p>
              </w:tc>
              <w:tc>
                <w:tcPr>
                  <w:tcW w:w="458" w:type="dxa"/>
                  <w:tcBorders>
                    <w:tl2br w:val="nil"/>
                    <w:tr2bl w:val="nil"/>
                  </w:tcBorders>
                  <w:vAlign w:val="center"/>
                </w:tcPr>
                <w:p>
                  <w:pPr>
                    <w:pStyle w:val="60"/>
                    <w:tabs>
                      <w:tab w:val="left" w:pos="1257"/>
                    </w:tabs>
                    <w:snapToGrid/>
                    <w:spacing w:before="31" w:after="31"/>
                    <w:ind w:firstLine="0" w:firstLineChars="0"/>
                    <w:textAlignment w:val="baseline"/>
                    <w:rPr>
                      <w:rFonts w:ascii="Times New Roman"/>
                      <w:szCs w:val="21"/>
                    </w:rPr>
                  </w:pPr>
                  <w:r>
                    <w:rPr>
                      <w:rFonts w:ascii="Times New Roman"/>
                      <w:szCs w:val="21"/>
                      <w:shd w:val="clear" w:color="auto" w:fill="FFFFFF"/>
                    </w:rPr>
                    <w:t>Ⅲ</w:t>
                  </w:r>
                </w:p>
              </w:tc>
              <w:tc>
                <w:tcPr>
                  <w:tcW w:w="513" w:type="dxa"/>
                  <w:tcBorders>
                    <w:tl2br w:val="nil"/>
                    <w:tr2bl w:val="nil"/>
                  </w:tcBorders>
                  <w:vAlign w:val="center"/>
                </w:tcPr>
                <w:p>
                  <w:pPr>
                    <w:pStyle w:val="60"/>
                    <w:tabs>
                      <w:tab w:val="left" w:pos="1257"/>
                    </w:tabs>
                    <w:snapToGrid/>
                    <w:spacing w:before="31" w:after="31"/>
                    <w:ind w:firstLine="0" w:firstLineChars="0"/>
                    <w:textAlignment w:val="baseline"/>
                    <w:rPr>
                      <w:rFonts w:ascii="Times New Roman"/>
                      <w:szCs w:val="21"/>
                    </w:rPr>
                  </w:pPr>
                  <w:r>
                    <w:rPr>
                      <w:rFonts w:ascii="Times New Roman"/>
                      <w:szCs w:val="21"/>
                      <w:shd w:val="clear" w:color="auto" w:fill="FFFFFF"/>
                    </w:rPr>
                    <w:t>Ⅲ</w:t>
                  </w:r>
                </w:p>
              </w:tc>
              <w:tc>
                <w:tcPr>
                  <w:tcW w:w="456" w:type="dxa"/>
                  <w:tcBorders>
                    <w:tl2br w:val="nil"/>
                    <w:tr2bl w:val="nil"/>
                  </w:tcBorders>
                  <w:vAlign w:val="center"/>
                </w:tcPr>
                <w:p>
                  <w:pPr>
                    <w:pStyle w:val="60"/>
                    <w:tabs>
                      <w:tab w:val="left" w:pos="1257"/>
                    </w:tabs>
                    <w:snapToGrid/>
                    <w:spacing w:before="31" w:after="31"/>
                    <w:ind w:firstLine="0" w:firstLineChars="0"/>
                    <w:textAlignment w:val="baseline"/>
                    <w:rPr>
                      <w:rFonts w:ascii="Times New Roman"/>
                      <w:szCs w:val="21"/>
                    </w:rPr>
                  </w:pPr>
                  <w:r>
                    <w:rPr>
                      <w:rFonts w:ascii="Times New Roman"/>
                      <w:szCs w:val="21"/>
                      <w:shd w:val="clear" w:color="auto" w:fill="FFFFFF"/>
                    </w:rPr>
                    <w:t>Ⅲ</w:t>
                  </w:r>
                </w:p>
              </w:tc>
              <w:tc>
                <w:tcPr>
                  <w:tcW w:w="599" w:type="dxa"/>
                  <w:tcBorders>
                    <w:tl2br w:val="nil"/>
                    <w:tr2bl w:val="nil"/>
                  </w:tcBorders>
                  <w:vAlign w:val="center"/>
                </w:tcPr>
                <w:p>
                  <w:pPr>
                    <w:pStyle w:val="60"/>
                    <w:tabs>
                      <w:tab w:val="left" w:pos="1257"/>
                    </w:tabs>
                    <w:snapToGrid/>
                    <w:spacing w:before="31" w:after="31"/>
                    <w:ind w:firstLine="0" w:firstLineChars="0"/>
                    <w:textAlignment w:val="baseline"/>
                    <w:rPr>
                      <w:rFonts w:ascii="Times New Roman"/>
                      <w:szCs w:val="21"/>
                      <w:shd w:val="clear" w:color="auto" w:fill="FFFFFF"/>
                    </w:rPr>
                  </w:pPr>
                  <w:r>
                    <w:rPr>
                      <w:rFonts w:ascii="Times New Roman"/>
                      <w:szCs w:val="21"/>
                      <w:shd w:val="clear" w:color="auto" w:fill="FFFFFF"/>
                    </w:rPr>
                    <w:t>Ⅱ</w:t>
                  </w:r>
                </w:p>
              </w:tc>
              <w:tc>
                <w:tcPr>
                  <w:tcW w:w="599" w:type="dxa"/>
                  <w:tcBorders>
                    <w:tl2br w:val="nil"/>
                    <w:tr2bl w:val="nil"/>
                  </w:tcBorders>
                  <w:vAlign w:val="center"/>
                </w:tcPr>
                <w:p>
                  <w:pPr>
                    <w:pStyle w:val="60"/>
                    <w:tabs>
                      <w:tab w:val="left" w:pos="1257"/>
                    </w:tabs>
                    <w:snapToGrid/>
                    <w:spacing w:before="31" w:after="31"/>
                    <w:ind w:firstLine="0" w:firstLineChars="0"/>
                    <w:textAlignment w:val="baseline"/>
                    <w:rPr>
                      <w:rFonts w:ascii="Times New Roman"/>
                      <w:szCs w:val="21"/>
                      <w:shd w:val="clear" w:color="auto" w:fill="FFFFFF"/>
                    </w:rPr>
                  </w:pPr>
                  <w:r>
                    <w:rPr>
                      <w:rFonts w:ascii="Times New Roman"/>
                      <w:szCs w:val="21"/>
                      <w:shd w:val="clear" w:color="auto" w:fill="FFFFFF"/>
                    </w:rPr>
                    <w:t>Ⅱ</w:t>
                  </w:r>
                </w:p>
              </w:tc>
              <w:tc>
                <w:tcPr>
                  <w:tcW w:w="599" w:type="dxa"/>
                  <w:tcBorders>
                    <w:tl2br w:val="nil"/>
                    <w:tr2bl w:val="nil"/>
                  </w:tcBorders>
                  <w:vAlign w:val="center"/>
                </w:tcPr>
                <w:p>
                  <w:pPr>
                    <w:pStyle w:val="60"/>
                    <w:tabs>
                      <w:tab w:val="left" w:pos="1257"/>
                    </w:tabs>
                    <w:snapToGrid/>
                    <w:spacing w:before="31" w:after="31"/>
                    <w:ind w:firstLine="0" w:firstLineChars="0"/>
                    <w:textAlignment w:val="baseline"/>
                    <w:rPr>
                      <w:rFonts w:ascii="Times New Roman"/>
                      <w:szCs w:val="21"/>
                      <w:shd w:val="clear" w:color="auto" w:fill="FFFFFF"/>
                    </w:rPr>
                  </w:pPr>
                  <w:r>
                    <w:rPr>
                      <w:rFonts w:ascii="Times New Roman"/>
                      <w:szCs w:val="21"/>
                      <w:shd w:val="clear" w:color="auto" w:fill="FFFFFF"/>
                    </w:rPr>
                    <w:t>Ⅱ</w:t>
                  </w:r>
                </w:p>
              </w:tc>
            </w:tr>
            <w:tr>
              <w:trPr>
                <w:trHeight w:val="213" w:hRule="atLeast"/>
              </w:trPr>
              <w:tc>
                <w:tcPr>
                  <w:tcW w:w="791" w:type="dxa"/>
                  <w:vMerge w:val="continue"/>
                  <w:tcBorders>
                    <w:tl2br w:val="nil"/>
                    <w:tr2bl w:val="nil"/>
                  </w:tcBorders>
                  <w:vAlign w:val="center"/>
                </w:tcPr>
                <w:p>
                  <w:pPr>
                    <w:pStyle w:val="60"/>
                    <w:tabs>
                      <w:tab w:val="left" w:pos="1257"/>
                    </w:tabs>
                    <w:snapToGrid/>
                    <w:spacing w:before="31" w:after="31"/>
                    <w:ind w:firstLine="0" w:firstLineChars="0"/>
                    <w:textAlignment w:val="baseline"/>
                    <w:rPr>
                      <w:rFonts w:ascii="Times New Roman"/>
                      <w:szCs w:val="21"/>
                    </w:rPr>
                  </w:pPr>
                </w:p>
              </w:tc>
              <w:tc>
                <w:tcPr>
                  <w:tcW w:w="1354" w:type="dxa"/>
                  <w:tcBorders>
                    <w:tl2br w:val="nil"/>
                    <w:tr2bl w:val="nil"/>
                  </w:tcBorders>
                  <w:vAlign w:val="center"/>
                </w:tcPr>
                <w:p>
                  <w:pPr>
                    <w:pStyle w:val="60"/>
                    <w:tabs>
                      <w:tab w:val="left" w:pos="1257"/>
                    </w:tabs>
                    <w:snapToGrid/>
                    <w:spacing w:before="31" w:after="31"/>
                    <w:ind w:firstLine="0" w:firstLineChars="0"/>
                    <w:textAlignment w:val="baseline"/>
                    <w:rPr>
                      <w:rFonts w:ascii="Times New Roman"/>
                      <w:szCs w:val="21"/>
                    </w:rPr>
                  </w:pPr>
                  <w:r>
                    <w:rPr>
                      <w:rFonts w:hint="eastAsia" w:ascii="Times New Roman"/>
                      <w:szCs w:val="21"/>
                    </w:rPr>
                    <w:t>一统河入口</w:t>
                  </w:r>
                </w:p>
              </w:tc>
              <w:tc>
                <w:tcPr>
                  <w:tcW w:w="501" w:type="dxa"/>
                  <w:tcBorders>
                    <w:tl2br w:val="nil"/>
                    <w:tr2bl w:val="nil"/>
                  </w:tcBorders>
                  <w:vAlign w:val="center"/>
                </w:tcPr>
                <w:p>
                  <w:pPr>
                    <w:pStyle w:val="60"/>
                    <w:tabs>
                      <w:tab w:val="left" w:pos="1257"/>
                    </w:tabs>
                    <w:snapToGrid/>
                    <w:spacing w:before="31" w:after="31"/>
                    <w:ind w:firstLine="0" w:firstLineChars="0"/>
                    <w:textAlignment w:val="baseline"/>
                    <w:rPr>
                      <w:rFonts w:ascii="Times New Roman"/>
                      <w:szCs w:val="21"/>
                      <w:shd w:val="clear" w:color="auto" w:fill="FFFFFF"/>
                    </w:rPr>
                  </w:pPr>
                  <w:r>
                    <w:rPr>
                      <w:rFonts w:ascii="Times New Roman"/>
                      <w:szCs w:val="21"/>
                      <w:shd w:val="clear" w:color="auto" w:fill="FFFFFF"/>
                    </w:rPr>
                    <w:t>Ⅳ</w:t>
                  </w:r>
                </w:p>
              </w:tc>
              <w:tc>
                <w:tcPr>
                  <w:tcW w:w="487" w:type="dxa"/>
                  <w:tcBorders>
                    <w:tl2br w:val="nil"/>
                    <w:tr2bl w:val="nil"/>
                  </w:tcBorders>
                  <w:vAlign w:val="center"/>
                </w:tcPr>
                <w:p>
                  <w:pPr>
                    <w:pStyle w:val="60"/>
                    <w:tabs>
                      <w:tab w:val="left" w:pos="1257"/>
                    </w:tabs>
                    <w:snapToGrid/>
                    <w:spacing w:before="31" w:after="31"/>
                    <w:ind w:firstLine="0" w:firstLineChars="0"/>
                    <w:textAlignment w:val="baseline"/>
                    <w:rPr>
                      <w:rFonts w:ascii="Times New Roman"/>
                      <w:szCs w:val="21"/>
                      <w:shd w:val="clear" w:color="auto" w:fill="FFFFFF"/>
                    </w:rPr>
                  </w:pPr>
                  <w:r>
                    <w:rPr>
                      <w:rFonts w:hint="eastAsia" w:ascii="Times New Roman"/>
                      <w:szCs w:val="21"/>
                      <w:shd w:val="clear" w:color="auto" w:fill="FFFFFF"/>
                    </w:rPr>
                    <w:t>/</w:t>
                  </w:r>
                </w:p>
              </w:tc>
              <w:tc>
                <w:tcPr>
                  <w:tcW w:w="486" w:type="dxa"/>
                  <w:tcBorders>
                    <w:tl2br w:val="nil"/>
                    <w:tr2bl w:val="nil"/>
                  </w:tcBorders>
                  <w:vAlign w:val="center"/>
                </w:tcPr>
                <w:p>
                  <w:pPr>
                    <w:pStyle w:val="60"/>
                    <w:tabs>
                      <w:tab w:val="left" w:pos="1257"/>
                    </w:tabs>
                    <w:snapToGrid/>
                    <w:spacing w:before="31" w:after="31"/>
                    <w:ind w:firstLine="0" w:firstLineChars="0"/>
                    <w:textAlignment w:val="baseline"/>
                    <w:rPr>
                      <w:rFonts w:ascii="Times New Roman"/>
                      <w:szCs w:val="21"/>
                      <w:shd w:val="clear" w:color="auto" w:fill="FFFFFF"/>
                    </w:rPr>
                  </w:pPr>
                  <w:r>
                    <w:rPr>
                      <w:rFonts w:ascii="Times New Roman"/>
                      <w:szCs w:val="21"/>
                      <w:shd w:val="clear" w:color="auto" w:fill="FFFFFF"/>
                    </w:rPr>
                    <w:t>Ⅲ</w:t>
                  </w:r>
                </w:p>
              </w:tc>
              <w:tc>
                <w:tcPr>
                  <w:tcW w:w="531" w:type="dxa"/>
                  <w:tcBorders>
                    <w:tl2br w:val="nil"/>
                    <w:tr2bl w:val="nil"/>
                  </w:tcBorders>
                  <w:vAlign w:val="center"/>
                </w:tcPr>
                <w:p>
                  <w:pPr>
                    <w:pStyle w:val="60"/>
                    <w:tabs>
                      <w:tab w:val="left" w:pos="1257"/>
                    </w:tabs>
                    <w:snapToGrid/>
                    <w:spacing w:before="31" w:after="31"/>
                    <w:ind w:firstLine="0" w:firstLineChars="0"/>
                    <w:textAlignment w:val="baseline"/>
                    <w:rPr>
                      <w:rFonts w:ascii="Times New Roman"/>
                      <w:szCs w:val="21"/>
                      <w:shd w:val="clear" w:color="auto" w:fill="FFFFFF"/>
                    </w:rPr>
                  </w:pPr>
                  <w:r>
                    <w:rPr>
                      <w:rFonts w:ascii="Times New Roman"/>
                      <w:szCs w:val="21"/>
                      <w:shd w:val="clear" w:color="auto" w:fill="FFFFFF"/>
                    </w:rPr>
                    <w:t>Ⅱ</w:t>
                  </w:r>
                </w:p>
              </w:tc>
              <w:tc>
                <w:tcPr>
                  <w:tcW w:w="513" w:type="dxa"/>
                  <w:tcBorders>
                    <w:tl2br w:val="nil"/>
                    <w:tr2bl w:val="nil"/>
                  </w:tcBorders>
                  <w:vAlign w:val="center"/>
                </w:tcPr>
                <w:p>
                  <w:pPr>
                    <w:pStyle w:val="60"/>
                    <w:tabs>
                      <w:tab w:val="left" w:pos="1257"/>
                    </w:tabs>
                    <w:snapToGrid/>
                    <w:spacing w:before="31" w:after="31"/>
                    <w:ind w:firstLine="0" w:firstLineChars="0"/>
                    <w:textAlignment w:val="baseline"/>
                    <w:rPr>
                      <w:rFonts w:ascii="Times New Roman"/>
                      <w:szCs w:val="21"/>
                      <w:shd w:val="clear" w:color="auto" w:fill="FFFFFF"/>
                    </w:rPr>
                  </w:pPr>
                  <w:r>
                    <w:rPr>
                      <w:rFonts w:ascii="Times New Roman"/>
                      <w:szCs w:val="21"/>
                      <w:shd w:val="clear" w:color="auto" w:fill="FFFFFF"/>
                    </w:rPr>
                    <w:t>Ⅱ</w:t>
                  </w:r>
                </w:p>
              </w:tc>
              <w:tc>
                <w:tcPr>
                  <w:tcW w:w="498" w:type="dxa"/>
                  <w:tcBorders>
                    <w:tl2br w:val="nil"/>
                    <w:tr2bl w:val="nil"/>
                  </w:tcBorders>
                  <w:vAlign w:val="center"/>
                </w:tcPr>
                <w:p>
                  <w:pPr>
                    <w:pStyle w:val="60"/>
                    <w:tabs>
                      <w:tab w:val="left" w:pos="1257"/>
                    </w:tabs>
                    <w:snapToGrid/>
                    <w:spacing w:before="31" w:after="31"/>
                    <w:ind w:firstLine="0" w:firstLineChars="0"/>
                    <w:textAlignment w:val="baseline"/>
                    <w:rPr>
                      <w:rFonts w:ascii="Times New Roman"/>
                      <w:szCs w:val="21"/>
                      <w:shd w:val="clear" w:color="auto" w:fill="FFFFFF"/>
                    </w:rPr>
                  </w:pPr>
                  <w:r>
                    <w:rPr>
                      <w:rFonts w:ascii="Times New Roman"/>
                      <w:szCs w:val="21"/>
                      <w:shd w:val="clear" w:color="auto" w:fill="FFFFFF"/>
                    </w:rPr>
                    <w:t>Ⅲ</w:t>
                  </w:r>
                </w:p>
              </w:tc>
              <w:tc>
                <w:tcPr>
                  <w:tcW w:w="458" w:type="dxa"/>
                  <w:tcBorders>
                    <w:tl2br w:val="nil"/>
                    <w:tr2bl w:val="nil"/>
                  </w:tcBorders>
                  <w:vAlign w:val="center"/>
                </w:tcPr>
                <w:p>
                  <w:pPr>
                    <w:pStyle w:val="60"/>
                    <w:tabs>
                      <w:tab w:val="left" w:pos="1257"/>
                    </w:tabs>
                    <w:snapToGrid/>
                    <w:spacing w:before="31" w:after="31"/>
                    <w:ind w:firstLine="0" w:firstLineChars="0"/>
                    <w:textAlignment w:val="baseline"/>
                    <w:rPr>
                      <w:rFonts w:ascii="Times New Roman"/>
                      <w:szCs w:val="21"/>
                      <w:shd w:val="clear" w:color="auto" w:fill="FFFFFF"/>
                    </w:rPr>
                  </w:pPr>
                  <w:r>
                    <w:rPr>
                      <w:rFonts w:ascii="Times New Roman"/>
                      <w:szCs w:val="21"/>
                      <w:shd w:val="clear" w:color="auto" w:fill="FFFFFF"/>
                    </w:rPr>
                    <w:t>Ⅲ</w:t>
                  </w:r>
                </w:p>
              </w:tc>
              <w:tc>
                <w:tcPr>
                  <w:tcW w:w="513" w:type="dxa"/>
                  <w:tcBorders>
                    <w:tl2br w:val="nil"/>
                    <w:tr2bl w:val="nil"/>
                  </w:tcBorders>
                  <w:vAlign w:val="center"/>
                </w:tcPr>
                <w:p>
                  <w:pPr>
                    <w:pStyle w:val="60"/>
                    <w:tabs>
                      <w:tab w:val="left" w:pos="1257"/>
                    </w:tabs>
                    <w:snapToGrid/>
                    <w:spacing w:before="31" w:after="31"/>
                    <w:ind w:firstLine="0" w:firstLineChars="0"/>
                    <w:textAlignment w:val="baseline"/>
                    <w:rPr>
                      <w:rFonts w:ascii="Times New Roman"/>
                      <w:szCs w:val="21"/>
                      <w:shd w:val="clear" w:color="auto" w:fill="FFFFFF"/>
                    </w:rPr>
                  </w:pPr>
                  <w:r>
                    <w:rPr>
                      <w:rFonts w:ascii="Times New Roman"/>
                      <w:szCs w:val="21"/>
                      <w:shd w:val="clear" w:color="auto" w:fill="FFFFFF"/>
                    </w:rPr>
                    <w:t>Ⅲ</w:t>
                  </w:r>
                </w:p>
              </w:tc>
              <w:tc>
                <w:tcPr>
                  <w:tcW w:w="456" w:type="dxa"/>
                  <w:tcBorders>
                    <w:tl2br w:val="nil"/>
                    <w:tr2bl w:val="nil"/>
                  </w:tcBorders>
                  <w:vAlign w:val="center"/>
                </w:tcPr>
                <w:p>
                  <w:pPr>
                    <w:pStyle w:val="60"/>
                    <w:tabs>
                      <w:tab w:val="left" w:pos="1257"/>
                    </w:tabs>
                    <w:snapToGrid/>
                    <w:spacing w:before="31" w:after="31"/>
                    <w:ind w:firstLine="0" w:firstLineChars="0"/>
                    <w:textAlignment w:val="baseline"/>
                    <w:rPr>
                      <w:rFonts w:ascii="Times New Roman"/>
                      <w:szCs w:val="21"/>
                      <w:shd w:val="clear" w:color="auto" w:fill="FFFFFF"/>
                    </w:rPr>
                  </w:pPr>
                  <w:r>
                    <w:rPr>
                      <w:rFonts w:ascii="Times New Roman"/>
                      <w:szCs w:val="21"/>
                      <w:shd w:val="clear" w:color="auto" w:fill="FFFFFF"/>
                    </w:rPr>
                    <w:t>Ⅱ</w:t>
                  </w:r>
                </w:p>
              </w:tc>
              <w:tc>
                <w:tcPr>
                  <w:tcW w:w="599" w:type="dxa"/>
                  <w:tcBorders>
                    <w:tl2br w:val="nil"/>
                    <w:tr2bl w:val="nil"/>
                  </w:tcBorders>
                  <w:vAlign w:val="center"/>
                </w:tcPr>
                <w:p>
                  <w:pPr>
                    <w:pStyle w:val="60"/>
                    <w:tabs>
                      <w:tab w:val="left" w:pos="1257"/>
                    </w:tabs>
                    <w:snapToGrid/>
                    <w:spacing w:before="31" w:after="31"/>
                    <w:ind w:firstLine="0" w:firstLineChars="0"/>
                    <w:textAlignment w:val="baseline"/>
                    <w:rPr>
                      <w:rFonts w:ascii="Times New Roman"/>
                      <w:szCs w:val="21"/>
                      <w:shd w:val="clear" w:color="auto" w:fill="FFFFFF"/>
                    </w:rPr>
                  </w:pPr>
                  <w:r>
                    <w:rPr>
                      <w:rFonts w:ascii="Times New Roman"/>
                      <w:szCs w:val="21"/>
                      <w:shd w:val="clear" w:color="auto" w:fill="FFFFFF"/>
                    </w:rPr>
                    <w:t>Ⅱ</w:t>
                  </w:r>
                </w:p>
              </w:tc>
              <w:tc>
                <w:tcPr>
                  <w:tcW w:w="599" w:type="dxa"/>
                  <w:tcBorders>
                    <w:tl2br w:val="nil"/>
                    <w:tr2bl w:val="nil"/>
                  </w:tcBorders>
                  <w:vAlign w:val="center"/>
                </w:tcPr>
                <w:p>
                  <w:pPr>
                    <w:pStyle w:val="60"/>
                    <w:tabs>
                      <w:tab w:val="left" w:pos="1257"/>
                    </w:tabs>
                    <w:snapToGrid/>
                    <w:spacing w:before="31" w:after="31"/>
                    <w:ind w:firstLine="0" w:firstLineChars="0"/>
                    <w:textAlignment w:val="baseline"/>
                    <w:rPr>
                      <w:rFonts w:ascii="Times New Roman"/>
                      <w:szCs w:val="21"/>
                      <w:shd w:val="clear" w:color="auto" w:fill="FFFFFF"/>
                    </w:rPr>
                  </w:pPr>
                  <w:r>
                    <w:rPr>
                      <w:rFonts w:ascii="Times New Roman"/>
                      <w:szCs w:val="21"/>
                      <w:shd w:val="clear" w:color="auto" w:fill="FFFFFF"/>
                    </w:rPr>
                    <w:t>Ⅱ</w:t>
                  </w:r>
                </w:p>
              </w:tc>
              <w:tc>
                <w:tcPr>
                  <w:tcW w:w="599" w:type="dxa"/>
                  <w:tcBorders>
                    <w:tl2br w:val="nil"/>
                    <w:tr2bl w:val="nil"/>
                  </w:tcBorders>
                  <w:vAlign w:val="center"/>
                </w:tcPr>
                <w:p>
                  <w:pPr>
                    <w:pStyle w:val="60"/>
                    <w:tabs>
                      <w:tab w:val="left" w:pos="1257"/>
                    </w:tabs>
                    <w:snapToGrid/>
                    <w:spacing w:before="31" w:after="31"/>
                    <w:ind w:firstLine="0" w:firstLineChars="0"/>
                    <w:textAlignment w:val="baseline"/>
                    <w:rPr>
                      <w:rFonts w:ascii="Times New Roman"/>
                      <w:szCs w:val="21"/>
                      <w:shd w:val="clear" w:color="auto" w:fill="FFFFFF"/>
                    </w:rPr>
                  </w:pPr>
                  <w:r>
                    <w:rPr>
                      <w:rFonts w:ascii="Times New Roman"/>
                      <w:szCs w:val="21"/>
                      <w:shd w:val="clear" w:color="auto" w:fill="FFFFFF"/>
                    </w:rPr>
                    <w:t>Ⅱ</w:t>
                  </w:r>
                </w:p>
              </w:tc>
            </w:tr>
          </w:tbl>
          <w:p>
            <w:pPr>
              <w:adjustRightInd w:val="0"/>
              <w:snapToGrid w:val="0"/>
              <w:spacing w:line="360" w:lineRule="auto"/>
              <w:ind w:firstLine="480" w:firstLineChars="200"/>
              <w:rPr>
                <w:kern w:val="0"/>
                <w:sz w:val="24"/>
              </w:rPr>
            </w:pPr>
            <w:r>
              <w:rPr>
                <w:sz w:val="24"/>
              </w:rPr>
              <w:t>由上表可知，</w:t>
            </w:r>
            <w:r>
              <w:rPr>
                <w:rFonts w:hint="eastAsia"/>
                <w:sz w:val="24"/>
              </w:rPr>
              <w:t>一统河</w:t>
            </w:r>
            <w:r>
              <w:rPr>
                <w:sz w:val="24"/>
              </w:rPr>
              <w:t>“</w:t>
            </w:r>
            <w:r>
              <w:rPr>
                <w:rFonts w:hint="eastAsia"/>
                <w:sz w:val="24"/>
              </w:rPr>
              <w:t>大迫子</w:t>
            </w:r>
            <w:r>
              <w:rPr>
                <w:sz w:val="24"/>
              </w:rPr>
              <w:t>”监测断面水质</w:t>
            </w:r>
            <w:r>
              <w:rPr>
                <w:rFonts w:hint="eastAsia"/>
                <w:sz w:val="24"/>
              </w:rPr>
              <w:t>7、8、9月为</w:t>
            </w:r>
            <w:r>
              <w:rPr>
                <w:sz w:val="24"/>
              </w:rPr>
              <w:t>Ⅲ</w:t>
            </w:r>
            <w:r>
              <w:rPr>
                <w:rFonts w:hint="eastAsia"/>
                <w:sz w:val="24"/>
              </w:rPr>
              <w:t>类，其他月份为</w:t>
            </w:r>
            <w:r>
              <w:rPr>
                <w:sz w:val="24"/>
              </w:rPr>
              <w:t>Ⅱ类；</w:t>
            </w:r>
            <w:r>
              <w:rPr>
                <w:rFonts w:hint="eastAsia"/>
                <w:sz w:val="24"/>
              </w:rPr>
              <w:t>“一统河入口”断面3、6、7、8</w:t>
            </w:r>
            <w:r>
              <w:rPr>
                <w:sz w:val="24"/>
              </w:rPr>
              <w:t>月为Ⅲ类</w:t>
            </w:r>
            <w:r>
              <w:rPr>
                <w:rFonts w:hint="eastAsia"/>
                <w:sz w:val="24"/>
              </w:rPr>
              <w:t>，其余月份为</w:t>
            </w:r>
            <w:r>
              <w:rPr>
                <w:sz w:val="24"/>
              </w:rPr>
              <w:t>Ⅱ类</w:t>
            </w:r>
            <w:r>
              <w:rPr>
                <w:rFonts w:hint="eastAsia"/>
                <w:sz w:val="24"/>
              </w:rPr>
              <w:t>，除1月</w:t>
            </w:r>
            <w:r>
              <w:rPr>
                <w:sz w:val="24"/>
              </w:rPr>
              <w:t>为Ⅳ类</w:t>
            </w:r>
            <w:r>
              <w:rPr>
                <w:rFonts w:hint="eastAsia"/>
                <w:sz w:val="24"/>
              </w:rPr>
              <w:t>外</w:t>
            </w:r>
            <w:r>
              <w:rPr>
                <w:sz w:val="24"/>
              </w:rPr>
              <w:t>；</w:t>
            </w:r>
            <w:r>
              <w:rPr>
                <w:rFonts w:hint="eastAsia"/>
                <w:sz w:val="24"/>
              </w:rPr>
              <w:t>其他月份均能</w:t>
            </w:r>
            <w:r>
              <w:rPr>
                <w:sz w:val="24"/>
              </w:rPr>
              <w:t>满足GB3838-2002《地表水环境质量标准》中Ⅱ</w:t>
            </w:r>
            <w:r>
              <w:rPr>
                <w:rFonts w:hint="eastAsia"/>
                <w:sz w:val="24"/>
              </w:rPr>
              <w:t>、</w:t>
            </w:r>
            <w:r>
              <w:rPr>
                <w:sz w:val="24"/>
              </w:rPr>
              <w:t>Ⅲ类水体标准要求。</w:t>
            </w:r>
          </w:p>
          <w:p>
            <w:pPr>
              <w:spacing w:line="360" w:lineRule="auto"/>
              <w:ind w:firstLine="482" w:firstLineChars="200"/>
              <w:rPr>
                <w:rFonts w:ascii="宋体" w:hAnsi="宋体" w:cs="宋体"/>
                <w:b/>
                <w:bCs/>
                <w:kern w:val="0"/>
                <w:sz w:val="24"/>
              </w:rPr>
            </w:pPr>
            <w:r>
              <w:rPr>
                <w:rFonts w:hint="eastAsia" w:ascii="宋体" w:hAnsi="宋体" w:cs="宋体"/>
                <w:b/>
                <w:bCs/>
                <w:kern w:val="0"/>
                <w:sz w:val="24"/>
              </w:rPr>
              <w:t>3、声环境质量现状与评价</w:t>
            </w:r>
          </w:p>
          <w:p>
            <w:pPr>
              <w:spacing w:line="360" w:lineRule="auto"/>
              <w:ind w:firstLine="480" w:firstLineChars="200"/>
              <w:rPr>
                <w:rFonts w:ascii="宋体" w:hAnsi="宋体" w:cs="宋体"/>
                <w:kern w:val="0"/>
                <w:sz w:val="24"/>
              </w:rPr>
            </w:pPr>
            <w:r>
              <w:rPr>
                <w:rFonts w:hint="eastAsia" w:ascii="宋体" w:hAnsi="宋体" w:cs="宋体"/>
                <w:kern w:val="0"/>
                <w:sz w:val="24"/>
              </w:rPr>
              <w:t>根据《建设项目环境影响报告表编制技术指南（污染影响类）（试行）》，中的相关规定，本项目50m范围内无声环境敏感保护目标，因此本次评价无需开展声环境质量现状监测。</w:t>
            </w:r>
          </w:p>
          <w:p>
            <w:pPr>
              <w:spacing w:line="360" w:lineRule="auto"/>
              <w:ind w:firstLine="482" w:firstLineChars="200"/>
              <w:rPr>
                <w:rFonts w:ascii="宋体" w:hAnsi="宋体" w:cs="宋体"/>
                <w:i/>
                <w:iCs/>
                <w:kern w:val="0"/>
                <w:sz w:val="24"/>
                <w:u w:val="single"/>
              </w:rPr>
            </w:pPr>
            <w:r>
              <w:rPr>
                <w:rFonts w:hint="eastAsia" w:ascii="宋体" w:hAnsi="宋体" w:cs="宋体"/>
                <w:b/>
                <w:bCs/>
                <w:i/>
                <w:iCs/>
                <w:kern w:val="0"/>
                <w:sz w:val="24"/>
                <w:u w:val="single"/>
              </w:rPr>
              <w:t>4、地下水环境质量现状与评价</w:t>
            </w:r>
          </w:p>
          <w:p>
            <w:pPr>
              <w:spacing w:line="360" w:lineRule="auto"/>
              <w:ind w:firstLine="480" w:firstLineChars="200"/>
              <w:rPr>
                <w:rFonts w:ascii="宋体" w:hAnsi="宋体" w:cs="宋体"/>
                <w:i/>
                <w:iCs/>
                <w:kern w:val="0"/>
                <w:sz w:val="24"/>
                <w:u w:val="single"/>
              </w:rPr>
            </w:pPr>
            <w:r>
              <w:rPr>
                <w:rFonts w:hint="eastAsia" w:ascii="宋体" w:hAnsi="宋体" w:cs="宋体"/>
                <w:i/>
                <w:iCs/>
                <w:kern w:val="0"/>
                <w:sz w:val="24"/>
                <w:u w:val="single"/>
              </w:rPr>
              <w:t>根据《建设项目环境影响报告表编制技术指南（污染影响类）》（试行）中的相关要求，地下水环境原则上不开展环境质量现状调查。存在地下水环境污染途径的，应结合污染源、保护目标分布情况开展现状调查以留作背景值。本次评价对厂区内水井进行了地下水背景值监测。本次地下水背景值监测点位符合《建设项目环境影响报告表编制技术指南（污染影响类）（试行）》相关要求。</w:t>
            </w:r>
          </w:p>
          <w:p>
            <w:pPr>
              <w:spacing w:line="360" w:lineRule="auto"/>
              <w:ind w:firstLine="480" w:firstLineChars="200"/>
              <w:rPr>
                <w:rFonts w:ascii="宋体" w:hAnsi="宋体" w:cs="宋体"/>
                <w:i/>
                <w:iCs/>
                <w:kern w:val="0"/>
                <w:sz w:val="24"/>
                <w:u w:val="single"/>
              </w:rPr>
            </w:pPr>
            <w:r>
              <w:rPr>
                <w:rFonts w:hint="eastAsia" w:ascii="宋体" w:hAnsi="宋体" w:cs="宋体"/>
                <w:i/>
                <w:iCs/>
                <w:kern w:val="0"/>
                <w:sz w:val="24"/>
                <w:u w:val="single"/>
              </w:rPr>
              <w:t>（1）环境质量现状</w:t>
            </w:r>
          </w:p>
          <w:p>
            <w:pPr>
              <w:pStyle w:val="10"/>
              <w:spacing w:line="360" w:lineRule="auto"/>
              <w:ind w:firstLine="480" w:firstLineChars="200"/>
              <w:rPr>
                <w:rFonts w:hAnsi="宋体" w:cs="宋体"/>
                <w:i/>
                <w:iCs/>
                <w:sz w:val="24"/>
                <w:u w:val="single"/>
              </w:rPr>
            </w:pPr>
            <w:r>
              <w:rPr>
                <w:rFonts w:hint="eastAsia" w:hAnsi="宋体" w:cs="宋体"/>
                <w:i/>
                <w:iCs/>
                <w:sz w:val="24"/>
                <w:u w:val="single"/>
              </w:rPr>
              <w:t>①监测点位</w:t>
            </w:r>
          </w:p>
          <w:p>
            <w:pPr>
              <w:jc w:val="center"/>
              <w:rPr>
                <w:b/>
                <w:i/>
                <w:iCs/>
                <w:sz w:val="24"/>
                <w:u w:val="single"/>
              </w:rPr>
            </w:pPr>
            <w:r>
              <w:rPr>
                <w:rFonts w:hint="eastAsia"/>
                <w:b/>
                <w:i/>
                <w:iCs/>
                <w:sz w:val="24"/>
                <w:u w:val="single"/>
              </w:rPr>
              <w:t>表3-5  地下水环境现状监测点布设情况一览表</w:t>
            </w:r>
          </w:p>
          <w:tbl>
            <w:tblPr>
              <w:tblW w:w="8387" w:type="dxa"/>
              <w:tblBorders>
                <w:top w:val="single" w:color="auto" w:sz="12" w:space="0"/>
                <w:left w:val="none" w:color="auto" w:sz="0" w:space="0"/>
                <w:bottom w:val="single" w:color="auto" w:sz="12" w:space="0"/>
                <w:right w:val="none" w:color="auto" w:sz="0" w:space="0"/>
                <w:insideH w:val="single" w:color="000000" w:sz="4" w:space="0"/>
                <w:insideV w:val="single" w:color="000000" w:sz="4" w:space="0"/>
              </w:tblBorders>
              <w:tblLayout w:type="fixed"/>
              <w:tblCellMar>
                <w:left w:w="0" w:type="dxa"/>
                <w:right w:w="0" w:type="dxa"/>
              </w:tblCellMar>
            </w:tblPr>
            <w:tblGrid>
              <w:gridCol w:w="730"/>
              <w:gridCol w:w="1493"/>
              <w:gridCol w:w="1629"/>
              <w:gridCol w:w="1994"/>
              <w:gridCol w:w="2541"/>
            </w:tblGrid>
            <w:tr>
              <w:trPr>
                <w:trHeight w:val="270" w:hRule="atLeast"/>
              </w:trPr>
              <w:tc>
                <w:tcPr>
                  <w:tcW w:w="730" w:type="dxa"/>
                  <w:tcMar>
                    <w:top w:w="15" w:type="dxa"/>
                    <w:left w:w="15" w:type="dxa"/>
                    <w:right w:w="15" w:type="dxa"/>
                  </w:tcMar>
                  <w:vAlign w:val="center"/>
                </w:tcPr>
                <w:p>
                  <w:pPr>
                    <w:widowControl/>
                    <w:jc w:val="center"/>
                    <w:textAlignment w:val="center"/>
                    <w:rPr>
                      <w:rFonts w:ascii="宋体" w:hAnsi="宋体" w:cs="宋体"/>
                      <w:i/>
                      <w:iCs/>
                      <w:szCs w:val="21"/>
                      <w:u w:val="single"/>
                    </w:rPr>
                  </w:pPr>
                  <w:r>
                    <w:rPr>
                      <w:rFonts w:hint="eastAsia" w:ascii="宋体" w:hAnsi="宋体" w:cs="宋体"/>
                      <w:i/>
                      <w:iCs/>
                      <w:kern w:val="0"/>
                      <w:szCs w:val="21"/>
                      <w:u w:val="single"/>
                    </w:rPr>
                    <w:t>序号</w:t>
                  </w:r>
                </w:p>
              </w:tc>
              <w:tc>
                <w:tcPr>
                  <w:tcW w:w="1493" w:type="dxa"/>
                  <w:tcMar>
                    <w:top w:w="15" w:type="dxa"/>
                    <w:left w:w="15" w:type="dxa"/>
                    <w:right w:w="15" w:type="dxa"/>
                  </w:tcMar>
                  <w:vAlign w:val="center"/>
                </w:tcPr>
                <w:p>
                  <w:pPr>
                    <w:widowControl/>
                    <w:jc w:val="center"/>
                    <w:textAlignment w:val="center"/>
                    <w:rPr>
                      <w:rFonts w:ascii="宋体" w:hAnsi="宋体" w:cs="宋体"/>
                      <w:i/>
                      <w:iCs/>
                      <w:szCs w:val="21"/>
                      <w:u w:val="single"/>
                    </w:rPr>
                  </w:pPr>
                  <w:r>
                    <w:rPr>
                      <w:rFonts w:hint="eastAsia" w:ascii="宋体" w:hAnsi="宋体" w:cs="宋体"/>
                      <w:i/>
                      <w:iCs/>
                      <w:kern w:val="0"/>
                      <w:szCs w:val="21"/>
                      <w:u w:val="single"/>
                    </w:rPr>
                    <w:t>监测点</w:t>
                  </w:r>
                </w:p>
              </w:tc>
              <w:tc>
                <w:tcPr>
                  <w:tcW w:w="1629" w:type="dxa"/>
                  <w:tcMar>
                    <w:top w:w="15" w:type="dxa"/>
                    <w:left w:w="15" w:type="dxa"/>
                    <w:right w:w="15" w:type="dxa"/>
                  </w:tcMar>
                  <w:vAlign w:val="center"/>
                </w:tcPr>
                <w:p>
                  <w:pPr>
                    <w:widowControl/>
                    <w:jc w:val="center"/>
                    <w:textAlignment w:val="center"/>
                    <w:rPr>
                      <w:rFonts w:ascii="宋体" w:hAnsi="宋体" w:cs="宋体"/>
                      <w:i/>
                      <w:iCs/>
                      <w:kern w:val="0"/>
                      <w:szCs w:val="21"/>
                      <w:u w:val="single"/>
                    </w:rPr>
                  </w:pPr>
                  <w:r>
                    <w:rPr>
                      <w:rFonts w:hint="eastAsia" w:ascii="宋体" w:hAnsi="宋体" w:cs="宋体"/>
                      <w:i/>
                      <w:iCs/>
                      <w:kern w:val="0"/>
                      <w:szCs w:val="21"/>
                      <w:u w:val="single"/>
                    </w:rPr>
                    <w:t>与项目距离</w:t>
                  </w:r>
                </w:p>
              </w:tc>
              <w:tc>
                <w:tcPr>
                  <w:tcW w:w="1994" w:type="dxa"/>
                  <w:tcMar>
                    <w:top w:w="15" w:type="dxa"/>
                    <w:left w:w="15" w:type="dxa"/>
                    <w:right w:w="15" w:type="dxa"/>
                  </w:tcMar>
                  <w:vAlign w:val="center"/>
                </w:tcPr>
                <w:p>
                  <w:pPr>
                    <w:widowControl/>
                    <w:jc w:val="center"/>
                    <w:textAlignment w:val="center"/>
                    <w:rPr>
                      <w:rFonts w:ascii="宋体" w:hAnsi="宋体" w:cs="宋体"/>
                      <w:i/>
                      <w:iCs/>
                      <w:szCs w:val="21"/>
                      <w:u w:val="single"/>
                    </w:rPr>
                  </w:pPr>
                  <w:r>
                    <w:rPr>
                      <w:rFonts w:hint="eastAsia" w:ascii="宋体" w:hAnsi="宋体" w:cs="宋体"/>
                      <w:i/>
                      <w:iCs/>
                      <w:kern w:val="0"/>
                      <w:szCs w:val="21"/>
                      <w:u w:val="single"/>
                    </w:rPr>
                    <w:t>监测项目</w:t>
                  </w:r>
                </w:p>
              </w:tc>
              <w:tc>
                <w:tcPr>
                  <w:tcW w:w="2541" w:type="dxa"/>
                  <w:tcMar>
                    <w:top w:w="15" w:type="dxa"/>
                    <w:left w:w="15" w:type="dxa"/>
                    <w:right w:w="15" w:type="dxa"/>
                  </w:tcMar>
                  <w:vAlign w:val="center"/>
                </w:tcPr>
                <w:p>
                  <w:pPr>
                    <w:widowControl/>
                    <w:jc w:val="center"/>
                    <w:textAlignment w:val="center"/>
                    <w:rPr>
                      <w:rFonts w:ascii="宋体" w:hAnsi="宋体" w:cs="宋体"/>
                      <w:i/>
                      <w:iCs/>
                      <w:szCs w:val="21"/>
                      <w:u w:val="single"/>
                    </w:rPr>
                  </w:pPr>
                  <w:r>
                    <w:rPr>
                      <w:rFonts w:hint="eastAsia" w:ascii="宋体" w:hAnsi="宋体" w:cs="宋体"/>
                      <w:i/>
                      <w:iCs/>
                      <w:kern w:val="0"/>
                      <w:szCs w:val="21"/>
                      <w:u w:val="single"/>
                    </w:rPr>
                    <w:t>监测目的</w:t>
                  </w:r>
                </w:p>
              </w:tc>
            </w:tr>
            <w:tr>
              <w:trPr>
                <w:trHeight w:val="270" w:hRule="atLeast"/>
              </w:trPr>
              <w:tc>
                <w:tcPr>
                  <w:tcW w:w="730" w:type="dxa"/>
                  <w:tcMar>
                    <w:top w:w="15" w:type="dxa"/>
                    <w:left w:w="15" w:type="dxa"/>
                    <w:right w:w="15" w:type="dxa"/>
                  </w:tcMar>
                  <w:vAlign w:val="center"/>
                </w:tcPr>
                <w:p>
                  <w:pPr>
                    <w:widowControl/>
                    <w:jc w:val="center"/>
                    <w:textAlignment w:val="center"/>
                    <w:rPr>
                      <w:rFonts w:ascii="宋体" w:hAnsi="宋体" w:cs="宋体"/>
                      <w:i/>
                      <w:iCs/>
                      <w:szCs w:val="21"/>
                      <w:u w:val="single"/>
                    </w:rPr>
                  </w:pPr>
                  <w:r>
                    <w:rPr>
                      <w:rFonts w:hint="eastAsia" w:ascii="宋体" w:hAnsi="宋体" w:cs="宋体"/>
                      <w:i/>
                      <w:iCs/>
                      <w:szCs w:val="21"/>
                      <w:u w:val="single"/>
                    </w:rPr>
                    <w:t>1</w:t>
                  </w:r>
                </w:p>
              </w:tc>
              <w:tc>
                <w:tcPr>
                  <w:tcW w:w="1493" w:type="dxa"/>
                  <w:tcMar>
                    <w:top w:w="15" w:type="dxa"/>
                    <w:left w:w="15" w:type="dxa"/>
                    <w:right w:w="15" w:type="dxa"/>
                  </w:tcMar>
                  <w:vAlign w:val="center"/>
                </w:tcPr>
                <w:p>
                  <w:pPr>
                    <w:widowControl/>
                    <w:jc w:val="center"/>
                    <w:textAlignment w:val="center"/>
                    <w:rPr>
                      <w:rFonts w:ascii="宋体" w:hAnsi="宋体" w:cs="宋体"/>
                      <w:i/>
                      <w:iCs/>
                      <w:szCs w:val="21"/>
                      <w:u w:val="single"/>
                    </w:rPr>
                  </w:pPr>
                  <w:r>
                    <w:rPr>
                      <w:rFonts w:hint="eastAsia" w:ascii="宋体" w:hAnsi="宋体" w:cs="宋体"/>
                      <w:i/>
                      <w:iCs/>
                      <w:szCs w:val="21"/>
                      <w:u w:val="single"/>
                    </w:rPr>
                    <w:t>水井</w:t>
                  </w:r>
                </w:p>
              </w:tc>
              <w:tc>
                <w:tcPr>
                  <w:tcW w:w="1629" w:type="dxa"/>
                  <w:tcMar>
                    <w:top w:w="15" w:type="dxa"/>
                    <w:left w:w="15" w:type="dxa"/>
                    <w:right w:w="15" w:type="dxa"/>
                  </w:tcMar>
                  <w:vAlign w:val="center"/>
                </w:tcPr>
                <w:p>
                  <w:pPr>
                    <w:widowControl/>
                    <w:jc w:val="center"/>
                    <w:textAlignment w:val="center"/>
                    <w:rPr>
                      <w:rFonts w:ascii="宋体" w:hAnsi="宋体" w:cs="宋体"/>
                      <w:i/>
                      <w:iCs/>
                      <w:szCs w:val="21"/>
                      <w:u w:val="single"/>
                    </w:rPr>
                  </w:pPr>
                  <w:r>
                    <w:rPr>
                      <w:rFonts w:hint="eastAsia" w:ascii="宋体" w:hAnsi="宋体" w:cs="宋体"/>
                      <w:i/>
                      <w:iCs/>
                      <w:szCs w:val="21"/>
                      <w:u w:val="single"/>
                    </w:rPr>
                    <w:t>厂区内</w:t>
                  </w:r>
                </w:p>
              </w:tc>
              <w:tc>
                <w:tcPr>
                  <w:tcW w:w="1994" w:type="dxa"/>
                  <w:tcMar>
                    <w:top w:w="15" w:type="dxa"/>
                    <w:left w:w="15" w:type="dxa"/>
                    <w:right w:w="15" w:type="dxa"/>
                  </w:tcMar>
                  <w:vAlign w:val="center"/>
                </w:tcPr>
                <w:p>
                  <w:pPr>
                    <w:jc w:val="center"/>
                    <w:rPr>
                      <w:rFonts w:ascii="宋体" w:hAnsi="宋体" w:cs="宋体"/>
                      <w:i/>
                      <w:iCs/>
                      <w:szCs w:val="21"/>
                      <w:u w:val="single"/>
                    </w:rPr>
                  </w:pPr>
                  <w:r>
                    <w:rPr>
                      <w:rFonts w:hint="eastAsia" w:ascii="宋体" w:hAnsi="宋体" w:cs="宋体"/>
                      <w:i/>
                      <w:iCs/>
                      <w:kern w:val="0"/>
                      <w:szCs w:val="21"/>
                      <w:u w:val="single"/>
                    </w:rPr>
                    <w:t>水质、水位、水深</w:t>
                  </w:r>
                </w:p>
              </w:tc>
              <w:tc>
                <w:tcPr>
                  <w:tcW w:w="2541" w:type="dxa"/>
                  <w:tcMar>
                    <w:top w:w="15" w:type="dxa"/>
                    <w:left w:w="15" w:type="dxa"/>
                    <w:right w:w="15" w:type="dxa"/>
                  </w:tcMar>
                  <w:vAlign w:val="center"/>
                </w:tcPr>
                <w:p>
                  <w:pPr>
                    <w:jc w:val="center"/>
                    <w:rPr>
                      <w:rFonts w:ascii="宋体" w:hAnsi="宋体" w:cs="宋体"/>
                      <w:i/>
                      <w:iCs/>
                      <w:szCs w:val="21"/>
                      <w:u w:val="single"/>
                    </w:rPr>
                  </w:pPr>
                  <w:r>
                    <w:rPr>
                      <w:rFonts w:hint="eastAsia" w:ascii="宋体" w:hAnsi="宋体" w:cs="宋体"/>
                      <w:i/>
                      <w:iCs/>
                      <w:kern w:val="0"/>
                      <w:szCs w:val="21"/>
                      <w:u w:val="single"/>
                    </w:rPr>
                    <w:t>了解区域地下水水质情况</w:t>
                  </w:r>
                </w:p>
              </w:tc>
            </w:tr>
          </w:tbl>
          <w:p>
            <w:pPr>
              <w:pStyle w:val="10"/>
              <w:spacing w:line="360" w:lineRule="auto"/>
              <w:ind w:firstLine="480" w:firstLineChars="200"/>
              <w:rPr>
                <w:rFonts w:hAnsi="宋体" w:cs="宋体"/>
                <w:i/>
                <w:iCs/>
                <w:sz w:val="24"/>
                <w:szCs w:val="24"/>
                <w:u w:val="single"/>
              </w:rPr>
            </w:pPr>
            <w:r>
              <w:rPr>
                <w:rFonts w:hint="eastAsia" w:hAnsi="宋体" w:cs="宋体"/>
                <w:i/>
                <w:iCs/>
                <w:sz w:val="24"/>
                <w:szCs w:val="24"/>
                <w:u w:val="single"/>
              </w:rPr>
              <w:t>②监测项目</w:t>
            </w:r>
          </w:p>
          <w:p>
            <w:pPr>
              <w:pStyle w:val="10"/>
              <w:spacing w:line="360" w:lineRule="auto"/>
              <w:ind w:firstLine="480" w:firstLineChars="200"/>
              <w:rPr>
                <w:rFonts w:hAnsi="宋体" w:cs="宋体"/>
                <w:i/>
                <w:iCs/>
                <w:sz w:val="24"/>
                <w:szCs w:val="24"/>
                <w:u w:val="single"/>
              </w:rPr>
            </w:pPr>
            <w:r>
              <w:rPr>
                <w:rFonts w:hint="eastAsia" w:hAnsi="宋体" w:cs="宋体"/>
                <w:i/>
                <w:iCs/>
                <w:sz w:val="24"/>
                <w:szCs w:val="24"/>
                <w:u w:val="single"/>
              </w:rPr>
              <w:t>K</w:t>
            </w:r>
            <w:r>
              <w:rPr>
                <w:rFonts w:hint="eastAsia" w:hAnsi="宋体" w:cs="宋体"/>
                <w:i/>
                <w:iCs/>
                <w:sz w:val="24"/>
                <w:szCs w:val="24"/>
                <w:u w:val="single"/>
                <w:vertAlign w:val="superscript"/>
              </w:rPr>
              <w:t>+</w:t>
            </w:r>
            <w:r>
              <w:rPr>
                <w:rFonts w:hint="eastAsia" w:hAnsi="宋体" w:cs="宋体"/>
                <w:i/>
                <w:iCs/>
                <w:sz w:val="24"/>
                <w:szCs w:val="24"/>
                <w:u w:val="single"/>
              </w:rPr>
              <w:t>、Na</w:t>
            </w:r>
            <w:r>
              <w:rPr>
                <w:rFonts w:hint="eastAsia" w:hAnsi="宋体" w:cs="宋体"/>
                <w:i/>
                <w:iCs/>
                <w:sz w:val="24"/>
                <w:szCs w:val="24"/>
                <w:u w:val="single"/>
                <w:vertAlign w:val="superscript"/>
              </w:rPr>
              <w:t>+</w:t>
            </w:r>
            <w:r>
              <w:rPr>
                <w:rFonts w:hint="eastAsia" w:hAnsi="宋体" w:cs="宋体"/>
                <w:i/>
                <w:iCs/>
                <w:sz w:val="24"/>
                <w:szCs w:val="24"/>
                <w:u w:val="single"/>
              </w:rPr>
              <w:t>、Ca</w:t>
            </w:r>
            <w:r>
              <w:rPr>
                <w:rFonts w:hint="eastAsia" w:hAnsi="宋体" w:cs="宋体"/>
                <w:i/>
                <w:iCs/>
                <w:sz w:val="24"/>
                <w:szCs w:val="24"/>
                <w:u w:val="single"/>
                <w:vertAlign w:val="superscript"/>
              </w:rPr>
              <w:t>2+</w:t>
            </w:r>
            <w:r>
              <w:rPr>
                <w:rFonts w:hint="eastAsia" w:hAnsi="宋体" w:cs="宋体"/>
                <w:i/>
                <w:iCs/>
                <w:sz w:val="24"/>
                <w:szCs w:val="24"/>
                <w:u w:val="single"/>
              </w:rPr>
              <w:t>、Mg</w:t>
            </w:r>
            <w:r>
              <w:rPr>
                <w:rFonts w:hint="eastAsia" w:hAnsi="宋体" w:cs="宋体"/>
                <w:i/>
                <w:iCs/>
                <w:sz w:val="24"/>
                <w:szCs w:val="24"/>
                <w:u w:val="single"/>
                <w:vertAlign w:val="superscript"/>
              </w:rPr>
              <w:t>2+</w:t>
            </w:r>
            <w:r>
              <w:rPr>
                <w:rFonts w:hint="eastAsia" w:hAnsi="宋体" w:cs="宋体"/>
                <w:i/>
                <w:iCs/>
                <w:sz w:val="24"/>
                <w:szCs w:val="24"/>
                <w:u w:val="single"/>
              </w:rPr>
              <w:t>、CO</w:t>
            </w:r>
            <w:r>
              <w:rPr>
                <w:rFonts w:hint="eastAsia" w:hAnsi="宋体" w:cs="宋体"/>
                <w:i/>
                <w:iCs/>
                <w:sz w:val="24"/>
                <w:szCs w:val="24"/>
                <w:u w:val="single"/>
                <w:vertAlign w:val="subscript"/>
              </w:rPr>
              <w:t>3</w:t>
            </w:r>
            <w:r>
              <w:rPr>
                <w:rFonts w:hint="eastAsia" w:hAnsi="宋体" w:cs="宋体"/>
                <w:i/>
                <w:iCs/>
                <w:sz w:val="24"/>
                <w:szCs w:val="24"/>
                <w:u w:val="single"/>
                <w:vertAlign w:val="superscript"/>
              </w:rPr>
              <w:t>2-</w:t>
            </w:r>
            <w:r>
              <w:rPr>
                <w:rFonts w:hint="eastAsia" w:hAnsi="宋体" w:cs="宋体"/>
                <w:i/>
                <w:iCs/>
                <w:sz w:val="24"/>
                <w:szCs w:val="24"/>
                <w:u w:val="single"/>
              </w:rPr>
              <w:t>、HCO</w:t>
            </w:r>
            <w:r>
              <w:rPr>
                <w:rFonts w:hint="eastAsia" w:hAnsi="宋体" w:cs="宋体"/>
                <w:i/>
                <w:iCs/>
                <w:sz w:val="24"/>
                <w:szCs w:val="24"/>
                <w:u w:val="single"/>
                <w:vertAlign w:val="subscript"/>
              </w:rPr>
              <w:t>3</w:t>
            </w:r>
            <w:r>
              <w:rPr>
                <w:rFonts w:hint="eastAsia" w:hAnsi="宋体" w:cs="宋体"/>
                <w:i/>
                <w:iCs/>
                <w:sz w:val="24"/>
                <w:szCs w:val="24"/>
                <w:u w:val="single"/>
                <w:vertAlign w:val="superscript"/>
              </w:rPr>
              <w:t>-</w:t>
            </w:r>
            <w:r>
              <w:rPr>
                <w:rFonts w:hint="eastAsia" w:hAnsi="宋体" w:cs="宋体"/>
                <w:i/>
                <w:iCs/>
                <w:sz w:val="24"/>
                <w:szCs w:val="24"/>
                <w:u w:val="single"/>
              </w:rPr>
              <w:t>、氯化物、硫酸盐、pH、氨氮、</w:t>
            </w:r>
            <w:r>
              <w:rPr>
                <w:rFonts w:hint="eastAsia" w:hAnsi="宋体" w:cs="宋体"/>
                <w:i/>
                <w:iCs/>
                <w:sz w:val="24"/>
                <w:u w:val="single"/>
              </w:rPr>
              <w:t>硝酸盐、亚硝酸盐、挥发性酚类、总硬度、溶解性总固体、耗氧量、总大肠菌群、菌落总数、铅、石油类</w:t>
            </w:r>
            <w:r>
              <w:rPr>
                <w:rFonts w:hint="eastAsia" w:hAnsi="宋体" w:cs="宋体"/>
                <w:i/>
                <w:iCs/>
                <w:sz w:val="24"/>
                <w:szCs w:val="24"/>
                <w:u w:val="single"/>
              </w:rPr>
              <w:t>。</w:t>
            </w:r>
          </w:p>
          <w:p>
            <w:pPr>
              <w:spacing w:line="360" w:lineRule="auto"/>
              <w:ind w:firstLine="480" w:firstLineChars="200"/>
              <w:rPr>
                <w:rFonts w:ascii="宋体" w:hAnsi="宋体" w:cs="宋体"/>
                <w:i/>
                <w:iCs/>
                <w:sz w:val="24"/>
                <w:u w:val="single"/>
              </w:rPr>
            </w:pPr>
            <w:r>
              <w:rPr>
                <w:rFonts w:hint="eastAsia" w:ascii="宋体" w:hAnsi="宋体" w:cs="宋体"/>
                <w:i/>
                <w:iCs/>
                <w:sz w:val="24"/>
                <w:u w:val="single"/>
              </w:rPr>
              <w:t>③监测单位、时间</w:t>
            </w:r>
          </w:p>
          <w:p>
            <w:pPr>
              <w:spacing w:line="360" w:lineRule="auto"/>
              <w:ind w:firstLine="480" w:firstLineChars="200"/>
              <w:rPr>
                <w:rFonts w:ascii="宋体" w:hAnsi="宋体" w:cs="宋体"/>
                <w:i/>
                <w:iCs/>
                <w:sz w:val="24"/>
                <w:u w:val="single"/>
              </w:rPr>
            </w:pPr>
            <w:r>
              <w:rPr>
                <w:rFonts w:hint="eastAsia" w:ascii="宋体" w:hAnsi="宋体" w:cs="宋体"/>
                <w:i/>
                <w:iCs/>
                <w:sz w:val="24"/>
                <w:u w:val="single"/>
              </w:rPr>
              <w:t>吉林省长松运维检测有限公司于2026年9月21日进行监测；</w:t>
            </w:r>
          </w:p>
          <w:p>
            <w:pPr>
              <w:spacing w:line="360" w:lineRule="auto"/>
              <w:ind w:firstLine="480" w:firstLineChars="200"/>
              <w:rPr>
                <w:rFonts w:ascii="宋体" w:hAnsi="宋体" w:cs="宋体"/>
                <w:i/>
                <w:iCs/>
                <w:sz w:val="24"/>
                <w:u w:val="single"/>
              </w:rPr>
            </w:pPr>
            <w:r>
              <w:rPr>
                <w:rFonts w:hint="eastAsia" w:ascii="宋体" w:hAnsi="宋体" w:cs="宋体"/>
                <w:i/>
                <w:iCs/>
                <w:sz w:val="24"/>
                <w:u w:val="single"/>
              </w:rPr>
              <w:t>④评价方法</w:t>
            </w:r>
          </w:p>
          <w:p>
            <w:pPr>
              <w:spacing w:line="360" w:lineRule="auto"/>
              <w:ind w:firstLine="480" w:firstLineChars="200"/>
              <w:rPr>
                <w:rFonts w:ascii="宋体" w:hAnsi="宋体" w:cs="宋体"/>
                <w:i/>
                <w:iCs/>
                <w:sz w:val="24"/>
                <w:u w:val="single"/>
              </w:rPr>
            </w:pPr>
            <w:r>
              <w:rPr>
                <w:rFonts w:hint="eastAsia" w:ascii="宋体" w:hAnsi="宋体" w:cs="宋体"/>
                <w:i/>
                <w:iCs/>
                <w:sz w:val="24"/>
                <w:u w:val="single"/>
              </w:rPr>
              <w:t>采用单项标准指数法进行地下水质量评价，公式如下：</w:t>
            </w:r>
          </w:p>
          <w:p>
            <w:pPr>
              <w:pStyle w:val="10"/>
              <w:spacing w:line="360" w:lineRule="auto"/>
              <w:jc w:val="center"/>
              <w:rPr>
                <w:rFonts w:hAnsi="宋体" w:cs="宋体"/>
                <w:i/>
                <w:iCs/>
                <w:sz w:val="24"/>
                <w:u w:val="single"/>
              </w:rPr>
            </w:pPr>
            <w:r>
              <w:rPr>
                <w:rFonts w:hint="eastAsia" w:hAnsi="宋体" w:cs="宋体"/>
                <w:i/>
                <w:iCs/>
                <w:sz w:val="24"/>
                <w:u w:val="single"/>
              </w:rPr>
              <w:t>P</w:t>
            </w:r>
            <w:r>
              <w:rPr>
                <w:rFonts w:hint="eastAsia" w:hAnsi="宋体" w:cs="宋体"/>
                <w:i/>
                <w:iCs/>
                <w:sz w:val="24"/>
                <w:u w:val="single"/>
                <w:vertAlign w:val="subscript"/>
              </w:rPr>
              <w:t>i</w:t>
            </w:r>
            <w:r>
              <w:rPr>
                <w:rFonts w:hint="eastAsia" w:hAnsi="宋体" w:cs="宋体"/>
                <w:i/>
                <w:iCs/>
                <w:sz w:val="24"/>
                <w:u w:val="single"/>
              </w:rPr>
              <w:t>=</w:t>
            </w:r>
            <w:r>
              <w:rPr>
                <w:rFonts w:hint="eastAsia" w:hAnsi="宋体" w:cs="宋体"/>
                <w:i/>
                <w:iCs/>
                <w:sz w:val="24"/>
                <w:szCs w:val="24"/>
                <w:u w:val="single"/>
              </w:rPr>
              <w:t xml:space="preserve"> C</w:t>
            </w:r>
            <w:r>
              <w:rPr>
                <w:rFonts w:hint="eastAsia" w:hAnsi="宋体" w:cs="宋体"/>
                <w:i/>
                <w:iCs/>
                <w:sz w:val="24"/>
                <w:szCs w:val="24"/>
                <w:u w:val="single"/>
                <w:vertAlign w:val="subscript"/>
              </w:rPr>
              <w:t>i</w:t>
            </w:r>
            <w:r>
              <w:rPr>
                <w:rFonts w:hint="eastAsia" w:hAnsi="宋体" w:cs="宋体"/>
                <w:i/>
                <w:iCs/>
                <w:sz w:val="24"/>
                <w:szCs w:val="24"/>
                <w:u w:val="single"/>
              </w:rPr>
              <w:t>/S</w:t>
            </w:r>
            <w:r>
              <w:rPr>
                <w:rFonts w:hint="eastAsia" w:hAnsi="宋体" w:cs="宋体"/>
                <w:i/>
                <w:iCs/>
                <w:sz w:val="24"/>
                <w:szCs w:val="24"/>
                <w:u w:val="single"/>
                <w:vertAlign w:val="subscript"/>
              </w:rPr>
              <w:t>i</w:t>
            </w:r>
            <w:r>
              <w:rPr>
                <w:rFonts w:hint="eastAsia" w:hAnsi="宋体" w:cs="宋体"/>
                <w:i/>
                <w:iCs/>
                <w:sz w:val="24"/>
                <w:u w:val="single"/>
              </w:rPr>
              <w:t>（pH除外）</w:t>
            </w:r>
          </w:p>
          <w:p>
            <w:pPr>
              <w:pStyle w:val="10"/>
              <w:spacing w:line="360" w:lineRule="auto"/>
              <w:ind w:firstLine="480" w:firstLineChars="200"/>
              <w:rPr>
                <w:rFonts w:hAnsi="宋体" w:cs="宋体"/>
                <w:i/>
                <w:iCs/>
                <w:sz w:val="24"/>
                <w:szCs w:val="24"/>
                <w:u w:val="single"/>
              </w:rPr>
            </w:pPr>
            <w:r>
              <w:rPr>
                <w:rFonts w:hint="eastAsia" w:hAnsi="宋体" w:cs="宋体"/>
                <w:i/>
                <w:iCs/>
                <w:sz w:val="24"/>
                <w:u w:val="single"/>
              </w:rPr>
              <w:t>P</w:t>
            </w:r>
            <w:r>
              <w:rPr>
                <w:rFonts w:hint="eastAsia" w:hAnsi="宋体" w:cs="宋体"/>
                <w:i/>
                <w:iCs/>
                <w:sz w:val="24"/>
                <w:u w:val="single"/>
                <w:vertAlign w:val="subscript"/>
              </w:rPr>
              <w:t>pH</w:t>
            </w:r>
            <w:r>
              <w:rPr>
                <w:rFonts w:hint="eastAsia" w:hAnsi="宋体" w:cs="宋体"/>
                <w:i/>
                <w:iCs/>
                <w:sz w:val="24"/>
                <w:u w:val="single"/>
              </w:rPr>
              <w:t>计算公式如下：</w:t>
            </w:r>
            <w:r>
              <w:rPr>
                <w:rFonts w:hint="eastAsia" w:hAnsi="宋体" w:cs="宋体"/>
                <w:i/>
                <w:iCs/>
                <w:sz w:val="24"/>
                <w:szCs w:val="24"/>
                <w:u w:val="single"/>
              </w:rPr>
              <w:t xml:space="preserve">   </w:t>
            </w:r>
          </w:p>
          <w:p>
            <w:pPr>
              <w:spacing w:line="360" w:lineRule="auto"/>
              <w:jc w:val="center"/>
              <w:rPr>
                <w:rFonts w:ascii="宋体" w:hAnsi="宋体" w:cs="宋体"/>
                <w:i/>
                <w:iCs/>
                <w:sz w:val="24"/>
                <w:u w:val="single"/>
              </w:rPr>
            </w:pPr>
            <w:r>
              <w:rPr>
                <w:rFonts w:hint="eastAsia" w:ascii="宋体" w:hAnsi="宋体" w:eastAsia="宋体" w:cs="宋体"/>
                <w:i/>
                <w:iCs/>
                <w:kern w:val="2"/>
                <w:position w:val="-30"/>
                <w:sz w:val="21"/>
                <w:szCs w:val="24"/>
                <w:u w:val="single"/>
                <w:lang w:val="en-US" w:eastAsia="zh-CN" w:bidi="ar-SA"/>
              </w:rPr>
              <w:object>
                <v:shape id="_x0000_s1028" type="#_x0000_t75" style="height:33.95pt;width:86.25pt;rotation:0f;" o:ole="t" fillcolor="#FFFFFF" filled="f" o:preferrelative="t" stroked="f" coordorigin="0,0" coordsize="21600,21600">
                  <v:fill on="f" color2="#FFFFFF" focus="0%"/>
                  <v:imagedata gain="65536f" blacklevel="0f" gamma="0" o:title="" r:id="rId8"/>
                  <o:lock v:ext="edit" position="f" selection="f" grouping="f" rotation="f" cropping="f" text="f" aspectratio="t"/>
                  <w10:wrap type="none"/>
                  <w10:anchorlock/>
                </v:shape>
                <o:OLEObject Type="Embed" ProgID="" ShapeID="_x0000_s1028" DrawAspect="Content" ObjectID="_1027" r:id="rId7"/>
              </w:object>
            </w:r>
            <w:r>
              <w:rPr>
                <w:rFonts w:hint="eastAsia" w:ascii="宋体" w:hAnsi="宋体" w:cs="宋体"/>
                <w:i/>
                <w:iCs/>
                <w:position w:val="-24"/>
                <w:u w:val="single"/>
              </w:rPr>
              <w:t xml:space="preserve">  </w:t>
            </w:r>
            <w:r>
              <w:rPr>
                <w:rFonts w:hint="eastAsia" w:ascii="宋体" w:hAnsi="宋体" w:eastAsia="宋体" w:cs="宋体"/>
                <w:i/>
                <w:iCs/>
                <w:kern w:val="2"/>
                <w:position w:val="-14"/>
                <w:sz w:val="21"/>
                <w:szCs w:val="24"/>
                <w:u w:val="single"/>
                <w:lang w:val="en-US" w:eastAsia="zh-CN" w:bidi="ar-SA"/>
              </w:rPr>
              <w:object>
                <v:shape id="_x0000_s1029" type="#_x0000_t75" style="height:19pt;width:57.75pt;rotation:0f;" o:ole="t" fillcolor="#FFFFFF" filled="f" o:preferrelative="t" stroked="f" coordorigin="0,0" coordsize="21600,21600">
                  <v:fill on="f" color2="#FFFFFF" focus="0%"/>
                  <v:imagedata gain="65536f" blacklevel="0f" gamma="0" o:title="" r:id="rId10"/>
                  <o:lock v:ext="edit" position="f" selection="f" grouping="f" rotation="f" cropping="f" text="f" aspectratio="t"/>
                  <w10:wrap type="none"/>
                  <w10:anchorlock/>
                </v:shape>
                <o:OLEObject Type="Embed" ProgID="" ShapeID="_x0000_s1029" DrawAspect="Content" ObjectID="_1028" r:id="rId9"/>
              </w:object>
            </w:r>
          </w:p>
          <w:p>
            <w:pPr>
              <w:spacing w:line="360" w:lineRule="auto"/>
              <w:jc w:val="center"/>
              <w:rPr>
                <w:rFonts w:ascii="宋体" w:hAnsi="宋体" w:cs="宋体"/>
                <w:i/>
                <w:iCs/>
                <w:sz w:val="24"/>
                <w:u w:val="single"/>
              </w:rPr>
            </w:pPr>
            <w:r>
              <w:rPr>
                <w:rFonts w:hint="eastAsia" w:ascii="宋体" w:hAnsi="宋体" w:eastAsia="宋体" w:cs="宋体"/>
                <w:i/>
                <w:iCs/>
                <w:kern w:val="2"/>
                <w:position w:val="-30"/>
                <w:sz w:val="21"/>
                <w:szCs w:val="24"/>
                <w:u w:val="single"/>
                <w:lang w:val="en-US" w:eastAsia="zh-CN" w:bidi="ar-SA"/>
              </w:rPr>
              <w:object>
                <v:shape id="_x0000_s1030" type="#_x0000_t75" style="height:33.95pt;width:86.25pt;rotation:0f;" o:ole="t" fillcolor="#FFFFFF" filled="f" o:preferrelative="t" stroked="f" coordorigin="0,0" coordsize="21600,21600">
                  <v:fill on="f" color2="#FFFFFF" focus="0%"/>
                  <v:imagedata gain="65536f" blacklevel="0f" gamma="0" o:title="" r:id="rId12"/>
                  <o:lock v:ext="edit" position="f" selection="f" grouping="f" rotation="f" cropping="f" text="f" aspectratio="t"/>
                  <w10:wrap type="none"/>
                  <w10:anchorlock/>
                </v:shape>
                <o:OLEObject Type="Embed" ProgID="" ShapeID="_x0000_s1030" DrawAspect="Content" ObjectID="_1029" r:id="rId11"/>
              </w:object>
            </w:r>
            <w:r>
              <w:rPr>
                <w:rFonts w:hint="eastAsia" w:ascii="宋体" w:hAnsi="宋体" w:cs="宋体"/>
                <w:i/>
                <w:iCs/>
                <w:position w:val="-24"/>
                <w:u w:val="single"/>
              </w:rPr>
              <w:t xml:space="preserve">  </w:t>
            </w:r>
            <w:r>
              <w:rPr>
                <w:rFonts w:hint="eastAsia" w:ascii="宋体" w:hAnsi="宋体" w:eastAsia="宋体" w:cs="宋体"/>
                <w:i/>
                <w:iCs/>
                <w:kern w:val="2"/>
                <w:position w:val="-14"/>
                <w:sz w:val="21"/>
                <w:szCs w:val="24"/>
                <w:u w:val="single"/>
                <w:lang w:val="en-US" w:eastAsia="zh-CN" w:bidi="ar-SA"/>
              </w:rPr>
              <w:object>
                <v:shape id="_x0000_s1031" type="#_x0000_t75" style="height:19pt;width:57.75pt;rotation:0f;" o:ole="t" fillcolor="#FFFFFF" filled="f" o:preferrelative="t" stroked="f" coordorigin="0,0" coordsize="21600,21600">
                  <v:fill on="f" color2="#FFFFFF" focus="0%"/>
                  <v:imagedata gain="65536f" blacklevel="0f" gamma="0" o:title="" r:id="rId14"/>
                  <o:lock v:ext="edit" position="f" selection="f" grouping="f" rotation="f" cropping="f" text="f" aspectratio="t"/>
                  <w10:wrap type="none"/>
                  <w10:anchorlock/>
                </v:shape>
                <o:OLEObject Type="Embed" ProgID="" ShapeID="_x0000_s1031" DrawAspect="Content" ObjectID="_1030" r:id="rId13"/>
              </w:object>
            </w:r>
          </w:p>
          <w:p>
            <w:pPr>
              <w:pStyle w:val="10"/>
              <w:spacing w:line="360" w:lineRule="auto"/>
              <w:ind w:firstLine="480" w:firstLineChars="200"/>
              <w:rPr>
                <w:rFonts w:hAnsi="宋体" w:cs="宋体"/>
                <w:i/>
                <w:iCs/>
                <w:sz w:val="24"/>
                <w:u w:val="single"/>
              </w:rPr>
            </w:pPr>
            <w:r>
              <w:rPr>
                <w:rFonts w:hint="eastAsia" w:hAnsi="宋体" w:cs="宋体"/>
                <w:i/>
                <w:iCs/>
                <w:sz w:val="24"/>
                <w:u w:val="single"/>
              </w:rPr>
              <w:t>式中：P</w:t>
            </w:r>
            <w:r>
              <w:rPr>
                <w:rFonts w:hint="eastAsia" w:hAnsi="宋体" w:cs="宋体"/>
                <w:i/>
                <w:iCs/>
                <w:sz w:val="24"/>
                <w:u w:val="single"/>
                <w:vertAlign w:val="subscript"/>
              </w:rPr>
              <w:t xml:space="preserve">pH </w:t>
            </w:r>
            <w:r>
              <w:rPr>
                <w:rFonts w:hint="eastAsia" w:hAnsi="宋体" w:cs="宋体"/>
                <w:i/>
                <w:iCs/>
                <w:sz w:val="24"/>
                <w:u w:val="single"/>
              </w:rPr>
              <w:t>— pH的标准指数；</w:t>
            </w:r>
          </w:p>
          <w:p>
            <w:pPr>
              <w:pStyle w:val="10"/>
              <w:spacing w:line="360" w:lineRule="auto"/>
              <w:ind w:firstLine="1200" w:firstLineChars="500"/>
              <w:rPr>
                <w:rFonts w:hAnsi="宋体" w:cs="宋体"/>
                <w:i/>
                <w:iCs/>
                <w:sz w:val="24"/>
                <w:u w:val="single"/>
              </w:rPr>
            </w:pPr>
            <w:r>
              <w:rPr>
                <w:rFonts w:hint="eastAsia" w:hAnsi="宋体" w:cs="宋体"/>
                <w:i/>
                <w:iCs/>
                <w:sz w:val="24"/>
                <w:u w:val="single"/>
              </w:rPr>
              <w:t>pH</w:t>
            </w:r>
            <w:r>
              <w:rPr>
                <w:rFonts w:hint="eastAsia" w:hAnsi="宋体" w:cs="宋体"/>
                <w:i/>
                <w:iCs/>
                <w:sz w:val="24"/>
                <w:u w:val="single"/>
                <w:vertAlign w:val="subscript"/>
              </w:rPr>
              <w:t xml:space="preserve">j </w:t>
            </w:r>
            <w:r>
              <w:rPr>
                <w:rFonts w:hint="eastAsia" w:hAnsi="宋体" w:cs="宋体"/>
                <w:i/>
                <w:iCs/>
                <w:sz w:val="24"/>
                <w:u w:val="single"/>
              </w:rPr>
              <w:t>— pH的监测值；</w:t>
            </w:r>
          </w:p>
          <w:p>
            <w:pPr>
              <w:pStyle w:val="10"/>
              <w:spacing w:line="360" w:lineRule="auto"/>
              <w:ind w:firstLine="1200" w:firstLineChars="500"/>
              <w:rPr>
                <w:rFonts w:hAnsi="宋体" w:cs="宋体"/>
                <w:i/>
                <w:iCs/>
                <w:sz w:val="24"/>
                <w:u w:val="single"/>
              </w:rPr>
            </w:pPr>
            <w:r>
              <w:rPr>
                <w:rFonts w:hint="eastAsia" w:hAnsi="宋体" w:cs="宋体"/>
                <w:i/>
                <w:iCs/>
                <w:sz w:val="24"/>
                <w:u w:val="single"/>
              </w:rPr>
              <w:t>pH</w:t>
            </w:r>
            <w:r>
              <w:rPr>
                <w:rFonts w:hint="eastAsia" w:hAnsi="宋体" w:cs="宋体"/>
                <w:i/>
                <w:iCs/>
                <w:sz w:val="24"/>
                <w:u w:val="single"/>
                <w:vertAlign w:val="subscript"/>
              </w:rPr>
              <w:t xml:space="preserve">sd </w:t>
            </w:r>
            <w:r>
              <w:rPr>
                <w:rFonts w:hint="eastAsia" w:hAnsi="宋体" w:cs="宋体"/>
                <w:i/>
                <w:iCs/>
                <w:sz w:val="24"/>
                <w:u w:val="single"/>
              </w:rPr>
              <w:t>— 标准规定pH值的下限；</w:t>
            </w:r>
          </w:p>
          <w:p>
            <w:pPr>
              <w:pStyle w:val="10"/>
              <w:spacing w:line="360" w:lineRule="auto"/>
              <w:ind w:firstLine="1200" w:firstLineChars="500"/>
              <w:rPr>
                <w:rFonts w:hAnsi="宋体" w:cs="宋体"/>
                <w:i/>
                <w:iCs/>
                <w:sz w:val="24"/>
                <w:u w:val="single"/>
              </w:rPr>
            </w:pPr>
            <w:r>
              <w:rPr>
                <w:rFonts w:hint="eastAsia" w:hAnsi="宋体" w:cs="宋体"/>
                <w:i/>
                <w:iCs/>
                <w:sz w:val="24"/>
                <w:szCs w:val="24"/>
                <w:u w:val="single"/>
              </w:rPr>
              <w:t>pH</w:t>
            </w:r>
            <w:r>
              <w:rPr>
                <w:rFonts w:hint="eastAsia" w:hAnsi="宋体" w:cs="宋体"/>
                <w:i/>
                <w:iCs/>
                <w:sz w:val="24"/>
                <w:szCs w:val="24"/>
                <w:u w:val="single"/>
                <w:vertAlign w:val="subscript"/>
              </w:rPr>
              <w:t xml:space="preserve">su </w:t>
            </w:r>
            <w:r>
              <w:rPr>
                <w:rFonts w:hint="eastAsia" w:hAnsi="宋体" w:cs="宋体"/>
                <w:i/>
                <w:iCs/>
                <w:sz w:val="24"/>
                <w:szCs w:val="24"/>
                <w:u w:val="single"/>
              </w:rPr>
              <w:t>— 标准规定pH值的上限。</w:t>
            </w:r>
          </w:p>
          <w:p>
            <w:pPr>
              <w:pStyle w:val="10"/>
              <w:spacing w:line="360" w:lineRule="auto"/>
              <w:ind w:firstLine="480" w:firstLineChars="200"/>
              <w:rPr>
                <w:rFonts w:hAnsi="宋体" w:cs="宋体"/>
                <w:i/>
                <w:iCs/>
                <w:sz w:val="24"/>
                <w:szCs w:val="24"/>
                <w:u w:val="single"/>
              </w:rPr>
            </w:pPr>
            <w:r>
              <w:rPr>
                <w:rFonts w:hint="eastAsia" w:hAnsi="宋体" w:cs="宋体"/>
                <w:i/>
                <w:iCs/>
                <w:sz w:val="24"/>
                <w:szCs w:val="24"/>
                <w:u w:val="single"/>
              </w:rPr>
              <w:t>⑤评价结果及分析</w:t>
            </w:r>
          </w:p>
          <w:p>
            <w:pPr>
              <w:pStyle w:val="10"/>
              <w:spacing w:line="360" w:lineRule="auto"/>
              <w:ind w:firstLine="480" w:firstLineChars="200"/>
              <w:rPr>
                <w:rFonts w:hAnsi="宋体" w:cs="宋体"/>
                <w:i/>
                <w:iCs/>
                <w:sz w:val="24"/>
                <w:szCs w:val="24"/>
                <w:u w:val="single"/>
              </w:rPr>
            </w:pPr>
            <w:r>
              <w:rPr>
                <w:rFonts w:hint="eastAsia" w:hAnsi="宋体" w:cs="宋体"/>
                <w:i/>
                <w:iCs/>
                <w:sz w:val="24"/>
                <w:szCs w:val="24"/>
                <w:u w:val="single"/>
              </w:rPr>
              <w:t>地下水评价结果详见表3-6。</w:t>
            </w:r>
          </w:p>
          <w:p>
            <w:pPr>
              <w:jc w:val="center"/>
              <w:rPr>
                <w:b/>
                <w:i/>
                <w:iCs/>
                <w:sz w:val="24"/>
                <w:u w:val="single"/>
              </w:rPr>
            </w:pPr>
            <w:r>
              <w:rPr>
                <w:rFonts w:hint="eastAsia"/>
                <w:b/>
                <w:i/>
                <w:iCs/>
                <w:sz w:val="24"/>
                <w:u w:val="single"/>
              </w:rPr>
              <w:t>表3-6  地下水现状评价结果</w:t>
            </w:r>
          </w:p>
          <w:tbl>
            <w:tblPr>
              <w:tblW w:w="8293"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left w:w="108" w:type="dxa"/>
                <w:right w:w="108" w:type="dxa"/>
              </w:tblCellMar>
            </w:tblPr>
            <w:tblGrid>
              <w:gridCol w:w="1981"/>
              <w:gridCol w:w="1170"/>
              <w:gridCol w:w="1222"/>
              <w:gridCol w:w="1349"/>
              <w:gridCol w:w="2571"/>
            </w:tblGrid>
            <w:tr>
              <w:trPr>
                <w:trHeight w:val="389" w:hRule="atLeast"/>
                <w:jc w:val="center"/>
              </w:trPr>
              <w:tc>
                <w:tcPr>
                  <w:tcW w:w="1981" w:type="dxa"/>
                  <w:vMerge w:val="restart"/>
                  <w:vAlign w:val="center"/>
                </w:tcPr>
                <w:p>
                  <w:pPr>
                    <w:pStyle w:val="30"/>
                    <w:adjustRightInd/>
                    <w:spacing w:line="0" w:lineRule="atLeast"/>
                    <w:jc w:val="center"/>
                    <w:rPr>
                      <w:rFonts w:ascii="宋体" w:hAnsi="宋体" w:eastAsia="宋体" w:cs="宋体"/>
                      <w:b/>
                      <w:bCs/>
                      <w:i/>
                      <w:iCs/>
                      <w:color w:val="auto"/>
                      <w:sz w:val="21"/>
                      <w:szCs w:val="21"/>
                      <w:u w:val="single"/>
                    </w:rPr>
                  </w:pPr>
                  <w:r>
                    <w:rPr>
                      <w:rFonts w:hint="eastAsia" w:ascii="宋体" w:hAnsi="宋体" w:eastAsia="宋体" w:cs="宋体"/>
                      <w:b/>
                      <w:bCs/>
                      <w:i/>
                      <w:iCs/>
                      <w:color w:val="auto"/>
                      <w:sz w:val="21"/>
                      <w:szCs w:val="21"/>
                      <w:u w:val="single"/>
                    </w:rPr>
                    <w:t>项目</w:t>
                  </w:r>
                </w:p>
              </w:tc>
              <w:tc>
                <w:tcPr>
                  <w:tcW w:w="1170" w:type="dxa"/>
                  <w:vMerge w:val="restart"/>
                  <w:vAlign w:val="center"/>
                </w:tcPr>
                <w:p>
                  <w:pPr>
                    <w:pStyle w:val="30"/>
                    <w:adjustRightInd/>
                    <w:spacing w:line="0" w:lineRule="atLeast"/>
                    <w:jc w:val="center"/>
                    <w:rPr>
                      <w:rFonts w:ascii="宋体" w:hAnsi="宋体" w:eastAsia="宋体" w:cs="宋体"/>
                      <w:b/>
                      <w:bCs/>
                      <w:i/>
                      <w:iCs/>
                      <w:color w:val="auto"/>
                      <w:sz w:val="21"/>
                      <w:szCs w:val="21"/>
                      <w:u w:val="single"/>
                    </w:rPr>
                  </w:pPr>
                  <w:r>
                    <w:rPr>
                      <w:rFonts w:hint="eastAsia" w:ascii="宋体" w:hAnsi="宋体" w:eastAsia="宋体" w:cs="宋体"/>
                      <w:b/>
                      <w:bCs/>
                      <w:i/>
                      <w:iCs/>
                      <w:color w:val="auto"/>
                      <w:sz w:val="21"/>
                      <w:szCs w:val="21"/>
                      <w:u w:val="single"/>
                    </w:rPr>
                    <w:t>标准值</w:t>
                  </w:r>
                </w:p>
              </w:tc>
              <w:tc>
                <w:tcPr>
                  <w:tcW w:w="2571" w:type="dxa"/>
                  <w:gridSpan w:val="2"/>
                  <w:vAlign w:val="center"/>
                </w:tcPr>
                <w:p>
                  <w:pPr>
                    <w:spacing w:line="0" w:lineRule="atLeast"/>
                    <w:jc w:val="center"/>
                    <w:rPr>
                      <w:rFonts w:ascii="宋体" w:hAnsi="宋体" w:cs="宋体"/>
                      <w:b/>
                      <w:bCs/>
                      <w:i/>
                      <w:iCs/>
                      <w:szCs w:val="21"/>
                      <w:u w:val="single"/>
                    </w:rPr>
                  </w:pPr>
                  <w:r>
                    <w:rPr>
                      <w:rFonts w:hint="eastAsia" w:ascii="宋体" w:hAnsi="宋体" w:cs="宋体"/>
                      <w:b/>
                      <w:bCs/>
                      <w:i/>
                      <w:iCs/>
                      <w:szCs w:val="21"/>
                      <w:u w:val="single"/>
                    </w:rPr>
                    <w:t>厂区内</w:t>
                  </w:r>
                </w:p>
              </w:tc>
              <w:tc>
                <w:tcPr>
                  <w:tcW w:w="2571" w:type="dxa"/>
                  <w:vMerge w:val="restart"/>
                  <w:vAlign w:val="top"/>
                </w:tcPr>
                <w:p>
                  <w:pPr>
                    <w:spacing w:line="0" w:lineRule="atLeast"/>
                    <w:jc w:val="center"/>
                    <w:rPr>
                      <w:rFonts w:ascii="宋体" w:hAnsi="宋体" w:cs="宋体"/>
                      <w:b/>
                      <w:bCs/>
                      <w:i/>
                      <w:iCs/>
                      <w:szCs w:val="21"/>
                      <w:u w:val="single"/>
                    </w:rPr>
                  </w:pPr>
                  <w:r>
                    <w:rPr>
                      <w:rFonts w:hint="eastAsia" w:ascii="宋体" w:hAnsi="宋体" w:cs="宋体"/>
                      <w:b/>
                      <w:bCs/>
                      <w:i/>
                      <w:iCs/>
                      <w:szCs w:val="21"/>
                      <w:u w:val="single"/>
                    </w:rPr>
                    <w:t>评价结果</w:t>
                  </w:r>
                </w:p>
              </w:tc>
            </w:tr>
            <w:tr>
              <w:trPr>
                <w:trHeight w:val="315" w:hRule="atLeast"/>
                <w:jc w:val="center"/>
              </w:trPr>
              <w:tc>
                <w:tcPr>
                  <w:tcW w:w="1981" w:type="dxa"/>
                  <w:vMerge w:val="continue"/>
                  <w:vAlign w:val="center"/>
                </w:tcPr>
                <w:p>
                  <w:pPr>
                    <w:pStyle w:val="30"/>
                    <w:adjustRightInd/>
                    <w:spacing w:line="0" w:lineRule="atLeast"/>
                    <w:jc w:val="center"/>
                    <w:rPr>
                      <w:rFonts w:ascii="宋体" w:hAnsi="宋体" w:eastAsia="宋体" w:cs="宋体"/>
                      <w:b/>
                      <w:bCs/>
                      <w:i/>
                      <w:iCs/>
                      <w:color w:val="auto"/>
                      <w:sz w:val="21"/>
                      <w:szCs w:val="21"/>
                      <w:u w:val="single"/>
                    </w:rPr>
                  </w:pPr>
                </w:p>
              </w:tc>
              <w:tc>
                <w:tcPr>
                  <w:tcW w:w="1170" w:type="dxa"/>
                  <w:vMerge w:val="continue"/>
                  <w:vAlign w:val="center"/>
                </w:tcPr>
                <w:p>
                  <w:pPr>
                    <w:pStyle w:val="30"/>
                    <w:adjustRightInd/>
                    <w:spacing w:line="0" w:lineRule="atLeast"/>
                    <w:jc w:val="center"/>
                    <w:rPr>
                      <w:rFonts w:ascii="宋体" w:hAnsi="宋体" w:eastAsia="宋体" w:cs="宋体"/>
                      <w:b/>
                      <w:bCs/>
                      <w:i/>
                      <w:iCs/>
                      <w:color w:val="auto"/>
                      <w:sz w:val="21"/>
                      <w:szCs w:val="21"/>
                      <w:u w:val="single"/>
                    </w:rPr>
                  </w:pPr>
                </w:p>
              </w:tc>
              <w:tc>
                <w:tcPr>
                  <w:tcW w:w="1222" w:type="dxa"/>
                  <w:vAlign w:val="center"/>
                </w:tcPr>
                <w:p>
                  <w:pPr>
                    <w:pStyle w:val="30"/>
                    <w:adjustRightInd/>
                    <w:spacing w:line="0" w:lineRule="atLeast"/>
                    <w:jc w:val="center"/>
                    <w:rPr>
                      <w:rFonts w:ascii="宋体" w:hAnsi="宋体" w:eastAsia="宋体" w:cs="宋体"/>
                      <w:b/>
                      <w:bCs/>
                      <w:i/>
                      <w:iCs/>
                      <w:color w:val="auto"/>
                      <w:sz w:val="21"/>
                      <w:szCs w:val="21"/>
                      <w:u w:val="single"/>
                    </w:rPr>
                  </w:pPr>
                  <w:r>
                    <w:rPr>
                      <w:rFonts w:hint="eastAsia" w:ascii="宋体" w:hAnsi="宋体" w:eastAsia="宋体" w:cs="宋体"/>
                      <w:b/>
                      <w:bCs/>
                      <w:i/>
                      <w:iCs/>
                      <w:color w:val="auto"/>
                      <w:sz w:val="21"/>
                      <w:szCs w:val="21"/>
                      <w:u w:val="single"/>
                    </w:rPr>
                    <w:t>监测值</w:t>
                  </w:r>
                </w:p>
              </w:tc>
              <w:tc>
                <w:tcPr>
                  <w:tcW w:w="1349" w:type="dxa"/>
                  <w:vAlign w:val="center"/>
                </w:tcPr>
                <w:p>
                  <w:pPr>
                    <w:pStyle w:val="30"/>
                    <w:adjustRightInd/>
                    <w:spacing w:line="0" w:lineRule="atLeast"/>
                    <w:jc w:val="center"/>
                    <w:rPr>
                      <w:rFonts w:ascii="宋体" w:hAnsi="宋体" w:eastAsia="宋体" w:cs="宋体"/>
                      <w:b/>
                      <w:bCs/>
                      <w:i/>
                      <w:iCs/>
                      <w:color w:val="auto"/>
                      <w:sz w:val="21"/>
                      <w:szCs w:val="21"/>
                      <w:u w:val="single"/>
                    </w:rPr>
                  </w:pPr>
                  <w:r>
                    <w:rPr>
                      <w:rFonts w:hint="eastAsia" w:ascii="宋体" w:hAnsi="宋体" w:eastAsia="宋体" w:cs="宋体"/>
                      <w:b/>
                      <w:bCs/>
                      <w:i/>
                      <w:iCs/>
                      <w:color w:val="auto"/>
                      <w:sz w:val="21"/>
                      <w:szCs w:val="21"/>
                      <w:u w:val="single"/>
                    </w:rPr>
                    <w:t>单位</w:t>
                  </w:r>
                </w:p>
              </w:tc>
              <w:tc>
                <w:tcPr>
                  <w:tcW w:w="2571" w:type="dxa"/>
                  <w:vMerge w:val="continue"/>
                  <w:vAlign w:val="top"/>
                </w:tcPr>
                <w:p>
                  <w:pPr>
                    <w:pStyle w:val="30"/>
                    <w:adjustRightInd/>
                    <w:spacing w:line="0" w:lineRule="atLeast"/>
                    <w:jc w:val="center"/>
                    <w:rPr>
                      <w:rFonts w:ascii="宋体" w:hAnsi="宋体" w:eastAsia="宋体" w:cs="宋体"/>
                      <w:b/>
                      <w:bCs/>
                      <w:i/>
                      <w:iCs/>
                      <w:color w:val="auto"/>
                      <w:sz w:val="21"/>
                      <w:szCs w:val="21"/>
                      <w:u w:val="single"/>
                    </w:rPr>
                  </w:pPr>
                </w:p>
              </w:tc>
            </w:tr>
            <w:tr>
              <w:trPr>
                <w:trHeight w:val="317" w:hRule="atLeast"/>
                <w:jc w:val="center"/>
              </w:trPr>
              <w:tc>
                <w:tcPr>
                  <w:tcW w:w="1981" w:type="dxa"/>
                  <w:vAlign w:val="center"/>
                </w:tcPr>
                <w:p>
                  <w:pPr>
                    <w:jc w:val="center"/>
                  </w:pPr>
                  <w:r>
                    <w:rPr>
                      <w:rFonts w:hint="eastAsia" w:ascii="宋体" w:hAnsi="宋体" w:cs="宋体"/>
                      <w:i/>
                      <w:iCs/>
                      <w:szCs w:val="21"/>
                      <w:u w:val="single"/>
                    </w:rPr>
                    <w:t>K</w:t>
                  </w:r>
                  <w:r>
                    <w:rPr>
                      <w:rFonts w:hint="eastAsia" w:ascii="宋体" w:hAnsi="宋体" w:cs="宋体"/>
                      <w:i/>
                      <w:iCs/>
                      <w:szCs w:val="21"/>
                      <w:u w:val="single"/>
                      <w:vertAlign w:val="superscript"/>
                    </w:rPr>
                    <w:t>+</w:t>
                  </w:r>
                  <w:bookmarkStart w:id="7" w:name="OLE_LINK8"/>
                  <w:r>
                    <w:rPr>
                      <w:rFonts w:hint="eastAsia" w:ascii="宋体" w:hAnsi="宋体" w:cs="宋体"/>
                      <w:i/>
                      <w:iCs/>
                      <w:szCs w:val="21"/>
                      <w:u w:val="single"/>
                    </w:rPr>
                    <w:t>(mg/L)</w:t>
                  </w:r>
                  <w:bookmarkEnd w:id="7"/>
                </w:p>
              </w:tc>
              <w:tc>
                <w:tcPr>
                  <w:tcW w:w="1170" w:type="dxa"/>
                  <w:vAlign w:val="center"/>
                </w:tcPr>
                <w:p>
                  <w:pPr>
                    <w:spacing w:line="0" w:lineRule="atLeast"/>
                    <w:jc w:val="center"/>
                    <w:rPr>
                      <w:rFonts w:ascii="宋体" w:hAnsi="宋体" w:cs="宋体"/>
                      <w:i/>
                      <w:iCs/>
                      <w:szCs w:val="21"/>
                      <w:u w:val="single"/>
                    </w:rPr>
                  </w:pPr>
                  <w:r>
                    <w:rPr>
                      <w:rFonts w:hint="eastAsia" w:ascii="宋体" w:hAnsi="宋体" w:cs="宋体"/>
                      <w:i/>
                      <w:iCs/>
                      <w:szCs w:val="21"/>
                      <w:u w:val="single"/>
                    </w:rPr>
                    <w:t>-</w:t>
                  </w:r>
                </w:p>
              </w:tc>
              <w:tc>
                <w:tcPr>
                  <w:tcW w:w="1222" w:type="dxa"/>
                  <w:vAlign w:val="center"/>
                </w:tcPr>
                <w:p>
                  <w:pPr>
                    <w:widowControl/>
                    <w:jc w:val="center"/>
                    <w:textAlignment w:val="center"/>
                    <w:rPr>
                      <w:rFonts w:ascii="宋体" w:hAnsi="宋体" w:cs="宋体"/>
                      <w:i/>
                      <w:iCs/>
                      <w:szCs w:val="21"/>
                      <w:u w:val="single"/>
                    </w:rPr>
                  </w:pPr>
                  <w:r>
                    <w:rPr>
                      <w:rFonts w:hint="eastAsia" w:ascii="宋体" w:hAnsi="宋体" w:cs="宋体"/>
                      <w:i/>
                      <w:iCs/>
                      <w:kern w:val="0"/>
                      <w:szCs w:val="21"/>
                      <w:u w:val="single"/>
                    </w:rPr>
                    <w:t xml:space="preserve">29.6 </w:t>
                  </w:r>
                </w:p>
              </w:tc>
              <w:tc>
                <w:tcPr>
                  <w:tcW w:w="1349" w:type="dxa"/>
                  <w:vAlign w:val="center"/>
                </w:tcPr>
                <w:p>
                  <w:pPr>
                    <w:jc w:val="center"/>
                    <w:rPr>
                      <w:rFonts w:ascii="宋体" w:hAnsi="宋体" w:cs="宋体"/>
                      <w:i/>
                      <w:iCs/>
                      <w:szCs w:val="21"/>
                      <w:u w:val="single"/>
                    </w:rPr>
                  </w:pPr>
                  <w:r>
                    <w:rPr>
                      <w:rFonts w:hint="eastAsia" w:ascii="宋体" w:hAnsi="宋体" w:cs="宋体"/>
                      <w:i/>
                      <w:iCs/>
                      <w:szCs w:val="21"/>
                      <w:u w:val="single"/>
                    </w:rPr>
                    <w:t>mg/L</w:t>
                  </w:r>
                </w:p>
              </w:tc>
              <w:tc>
                <w:tcPr>
                  <w:tcW w:w="2571" w:type="dxa"/>
                  <w:vAlign w:val="top"/>
                </w:tcPr>
                <w:p>
                  <w:pPr>
                    <w:jc w:val="center"/>
                    <w:rPr>
                      <w:rFonts w:ascii="宋体" w:hAnsi="宋体" w:cs="宋体"/>
                      <w:i/>
                      <w:iCs/>
                      <w:szCs w:val="21"/>
                      <w:u w:val="single"/>
                    </w:rPr>
                  </w:pPr>
                </w:p>
              </w:tc>
            </w:tr>
            <w:tr>
              <w:trPr>
                <w:trHeight w:val="317" w:hRule="atLeast"/>
                <w:jc w:val="center"/>
              </w:trPr>
              <w:tc>
                <w:tcPr>
                  <w:tcW w:w="1981" w:type="dxa"/>
                  <w:vAlign w:val="center"/>
                </w:tcPr>
                <w:p>
                  <w:pPr>
                    <w:jc w:val="center"/>
                    <w:rPr>
                      <w:rFonts w:ascii="宋体" w:hAnsi="宋体" w:cs="宋体"/>
                      <w:bCs/>
                      <w:i/>
                      <w:iCs/>
                      <w:szCs w:val="21"/>
                      <w:u w:val="single"/>
                    </w:rPr>
                  </w:pPr>
                  <w:r>
                    <w:rPr>
                      <w:rFonts w:hint="eastAsia" w:ascii="宋体" w:hAnsi="宋体" w:cs="宋体"/>
                      <w:i/>
                      <w:iCs/>
                      <w:szCs w:val="21"/>
                      <w:u w:val="single"/>
                    </w:rPr>
                    <w:t>Na</w:t>
                  </w:r>
                  <w:r>
                    <w:rPr>
                      <w:rFonts w:hint="eastAsia" w:ascii="宋体" w:hAnsi="宋体" w:cs="宋体"/>
                      <w:i/>
                      <w:iCs/>
                      <w:szCs w:val="21"/>
                      <w:u w:val="single"/>
                      <w:vertAlign w:val="superscript"/>
                    </w:rPr>
                    <w:t>+</w:t>
                  </w:r>
                  <w:r>
                    <w:rPr>
                      <w:rFonts w:hint="eastAsia" w:ascii="宋体" w:hAnsi="宋体" w:cs="宋体"/>
                      <w:i/>
                      <w:iCs/>
                      <w:szCs w:val="21"/>
                      <w:u w:val="single"/>
                    </w:rPr>
                    <w:t>(mg/L)</w:t>
                  </w:r>
                </w:p>
              </w:tc>
              <w:tc>
                <w:tcPr>
                  <w:tcW w:w="1170" w:type="dxa"/>
                  <w:vAlign w:val="center"/>
                </w:tcPr>
                <w:p>
                  <w:pPr>
                    <w:spacing w:line="0" w:lineRule="atLeast"/>
                    <w:jc w:val="center"/>
                    <w:rPr>
                      <w:rFonts w:ascii="宋体" w:hAnsi="宋体" w:cs="宋体"/>
                      <w:i/>
                      <w:iCs/>
                      <w:szCs w:val="21"/>
                      <w:u w:val="single"/>
                    </w:rPr>
                  </w:pPr>
                  <w:r>
                    <w:rPr>
                      <w:rFonts w:hint="eastAsia" w:ascii="宋体" w:hAnsi="宋体" w:cs="宋体"/>
                      <w:i/>
                      <w:iCs/>
                      <w:szCs w:val="21"/>
                      <w:u w:val="single"/>
                    </w:rPr>
                    <w:t>-</w:t>
                  </w:r>
                </w:p>
              </w:tc>
              <w:tc>
                <w:tcPr>
                  <w:tcW w:w="1222" w:type="dxa"/>
                  <w:vAlign w:val="center"/>
                </w:tcPr>
                <w:p>
                  <w:pPr>
                    <w:widowControl/>
                    <w:jc w:val="center"/>
                    <w:textAlignment w:val="center"/>
                    <w:rPr>
                      <w:rFonts w:ascii="宋体" w:hAnsi="宋体" w:cs="宋体"/>
                      <w:i/>
                      <w:iCs/>
                      <w:szCs w:val="21"/>
                      <w:u w:val="single"/>
                    </w:rPr>
                  </w:pPr>
                  <w:r>
                    <w:rPr>
                      <w:rFonts w:hint="eastAsia" w:ascii="宋体" w:hAnsi="宋体" w:cs="宋体"/>
                      <w:i/>
                      <w:iCs/>
                      <w:kern w:val="0"/>
                      <w:szCs w:val="21"/>
                      <w:u w:val="single"/>
                    </w:rPr>
                    <w:t xml:space="preserve">71.5 </w:t>
                  </w:r>
                </w:p>
              </w:tc>
              <w:tc>
                <w:tcPr>
                  <w:tcW w:w="1349" w:type="dxa"/>
                  <w:vAlign w:val="center"/>
                </w:tcPr>
                <w:p>
                  <w:pPr>
                    <w:jc w:val="center"/>
                    <w:rPr>
                      <w:rFonts w:ascii="宋体" w:hAnsi="宋体" w:cs="宋体"/>
                      <w:i/>
                      <w:iCs/>
                      <w:szCs w:val="21"/>
                      <w:u w:val="single"/>
                    </w:rPr>
                  </w:pPr>
                  <w:r>
                    <w:rPr>
                      <w:rFonts w:hint="eastAsia" w:ascii="宋体" w:hAnsi="宋体" w:cs="宋体"/>
                      <w:i/>
                      <w:iCs/>
                      <w:szCs w:val="21"/>
                      <w:u w:val="single"/>
                    </w:rPr>
                    <w:t>mg/L</w:t>
                  </w:r>
                </w:p>
              </w:tc>
              <w:tc>
                <w:tcPr>
                  <w:tcW w:w="2571" w:type="dxa"/>
                  <w:vAlign w:val="top"/>
                </w:tcPr>
                <w:p>
                  <w:pPr>
                    <w:jc w:val="center"/>
                    <w:rPr>
                      <w:rFonts w:ascii="宋体" w:hAnsi="宋体" w:cs="宋体"/>
                      <w:i/>
                      <w:iCs/>
                      <w:szCs w:val="21"/>
                      <w:u w:val="single"/>
                    </w:rPr>
                  </w:pPr>
                </w:p>
              </w:tc>
            </w:tr>
            <w:tr>
              <w:trPr>
                <w:trHeight w:val="317" w:hRule="atLeast"/>
                <w:jc w:val="center"/>
              </w:trPr>
              <w:tc>
                <w:tcPr>
                  <w:tcW w:w="1981" w:type="dxa"/>
                  <w:vAlign w:val="center"/>
                </w:tcPr>
                <w:p>
                  <w:pPr>
                    <w:jc w:val="center"/>
                    <w:rPr>
                      <w:rFonts w:ascii="宋体" w:hAnsi="宋体" w:cs="宋体"/>
                      <w:bCs/>
                      <w:i/>
                      <w:iCs/>
                      <w:szCs w:val="21"/>
                      <w:u w:val="single"/>
                    </w:rPr>
                  </w:pPr>
                  <w:r>
                    <w:rPr>
                      <w:rFonts w:hint="eastAsia" w:ascii="宋体" w:hAnsi="宋体" w:cs="宋体"/>
                      <w:i/>
                      <w:iCs/>
                      <w:szCs w:val="21"/>
                      <w:u w:val="single"/>
                    </w:rPr>
                    <w:t>Ca</w:t>
                  </w:r>
                  <w:r>
                    <w:rPr>
                      <w:rFonts w:hint="eastAsia" w:ascii="宋体" w:hAnsi="宋体" w:cs="宋体"/>
                      <w:i/>
                      <w:iCs/>
                      <w:szCs w:val="21"/>
                      <w:u w:val="single"/>
                      <w:vertAlign w:val="superscript"/>
                    </w:rPr>
                    <w:t>2+</w:t>
                  </w:r>
                  <w:r>
                    <w:rPr>
                      <w:rFonts w:hint="eastAsia" w:ascii="宋体" w:hAnsi="宋体" w:cs="宋体"/>
                      <w:i/>
                      <w:iCs/>
                      <w:szCs w:val="21"/>
                      <w:u w:val="single"/>
                    </w:rPr>
                    <w:t>(mg/L)</w:t>
                  </w:r>
                </w:p>
              </w:tc>
              <w:tc>
                <w:tcPr>
                  <w:tcW w:w="1170" w:type="dxa"/>
                  <w:vAlign w:val="center"/>
                </w:tcPr>
                <w:p>
                  <w:pPr>
                    <w:spacing w:line="0" w:lineRule="atLeast"/>
                    <w:jc w:val="center"/>
                    <w:rPr>
                      <w:rFonts w:ascii="宋体" w:hAnsi="宋体" w:cs="宋体"/>
                      <w:i/>
                      <w:iCs/>
                      <w:szCs w:val="21"/>
                      <w:u w:val="single"/>
                    </w:rPr>
                  </w:pPr>
                  <w:r>
                    <w:rPr>
                      <w:rFonts w:hint="eastAsia" w:ascii="宋体" w:hAnsi="宋体" w:cs="宋体"/>
                      <w:i/>
                      <w:iCs/>
                      <w:szCs w:val="21"/>
                      <w:u w:val="single"/>
                    </w:rPr>
                    <w:t>-</w:t>
                  </w:r>
                </w:p>
              </w:tc>
              <w:tc>
                <w:tcPr>
                  <w:tcW w:w="1222" w:type="dxa"/>
                  <w:vAlign w:val="center"/>
                </w:tcPr>
                <w:p>
                  <w:pPr>
                    <w:widowControl/>
                    <w:jc w:val="center"/>
                    <w:textAlignment w:val="center"/>
                    <w:rPr>
                      <w:rFonts w:ascii="宋体" w:hAnsi="宋体" w:cs="宋体"/>
                      <w:i/>
                      <w:iCs/>
                      <w:szCs w:val="21"/>
                      <w:u w:val="single"/>
                    </w:rPr>
                  </w:pPr>
                  <w:r>
                    <w:rPr>
                      <w:rFonts w:hint="eastAsia" w:ascii="宋体" w:hAnsi="宋体" w:cs="宋体"/>
                      <w:i/>
                      <w:iCs/>
                      <w:kern w:val="0"/>
                      <w:szCs w:val="21"/>
                      <w:u w:val="single"/>
                    </w:rPr>
                    <w:t xml:space="preserve">60.6 </w:t>
                  </w:r>
                </w:p>
              </w:tc>
              <w:tc>
                <w:tcPr>
                  <w:tcW w:w="1349" w:type="dxa"/>
                  <w:vAlign w:val="center"/>
                </w:tcPr>
                <w:p>
                  <w:pPr>
                    <w:jc w:val="center"/>
                    <w:rPr>
                      <w:rFonts w:ascii="宋体" w:hAnsi="宋体" w:cs="宋体"/>
                      <w:i/>
                      <w:iCs/>
                      <w:szCs w:val="21"/>
                      <w:u w:val="single"/>
                    </w:rPr>
                  </w:pPr>
                  <w:r>
                    <w:rPr>
                      <w:rFonts w:hint="eastAsia" w:ascii="宋体" w:hAnsi="宋体" w:cs="宋体"/>
                      <w:i/>
                      <w:iCs/>
                      <w:szCs w:val="21"/>
                      <w:u w:val="single"/>
                    </w:rPr>
                    <w:t>mg/L</w:t>
                  </w:r>
                </w:p>
              </w:tc>
              <w:tc>
                <w:tcPr>
                  <w:tcW w:w="2571" w:type="dxa"/>
                  <w:vAlign w:val="top"/>
                </w:tcPr>
                <w:p>
                  <w:pPr>
                    <w:jc w:val="center"/>
                    <w:rPr>
                      <w:rFonts w:ascii="宋体" w:hAnsi="宋体" w:cs="宋体"/>
                      <w:i/>
                      <w:iCs/>
                      <w:szCs w:val="21"/>
                      <w:u w:val="single"/>
                    </w:rPr>
                  </w:pPr>
                </w:p>
              </w:tc>
            </w:tr>
            <w:tr>
              <w:trPr>
                <w:trHeight w:val="317" w:hRule="atLeast"/>
                <w:jc w:val="center"/>
              </w:trPr>
              <w:tc>
                <w:tcPr>
                  <w:tcW w:w="1981" w:type="dxa"/>
                  <w:vAlign w:val="center"/>
                </w:tcPr>
                <w:p>
                  <w:pPr>
                    <w:jc w:val="center"/>
                    <w:rPr>
                      <w:rFonts w:ascii="宋体" w:hAnsi="宋体" w:cs="宋体"/>
                      <w:bCs/>
                      <w:i/>
                      <w:iCs/>
                      <w:szCs w:val="21"/>
                      <w:u w:val="single"/>
                    </w:rPr>
                  </w:pPr>
                  <w:r>
                    <w:rPr>
                      <w:rFonts w:hint="eastAsia" w:ascii="宋体" w:hAnsi="宋体" w:cs="宋体"/>
                      <w:i/>
                      <w:iCs/>
                      <w:szCs w:val="21"/>
                      <w:u w:val="single"/>
                    </w:rPr>
                    <w:t>Mg</w:t>
                  </w:r>
                  <w:r>
                    <w:rPr>
                      <w:rFonts w:hint="eastAsia" w:ascii="宋体" w:hAnsi="宋体" w:cs="宋体"/>
                      <w:i/>
                      <w:iCs/>
                      <w:szCs w:val="21"/>
                      <w:u w:val="single"/>
                      <w:vertAlign w:val="superscript"/>
                    </w:rPr>
                    <w:t>2+</w:t>
                  </w:r>
                  <w:r>
                    <w:rPr>
                      <w:rFonts w:hint="eastAsia" w:ascii="宋体" w:hAnsi="宋体" w:cs="宋体"/>
                      <w:i/>
                      <w:iCs/>
                      <w:szCs w:val="21"/>
                      <w:u w:val="single"/>
                    </w:rPr>
                    <w:t>(mg/L)</w:t>
                  </w:r>
                </w:p>
              </w:tc>
              <w:tc>
                <w:tcPr>
                  <w:tcW w:w="1170" w:type="dxa"/>
                  <w:vAlign w:val="center"/>
                </w:tcPr>
                <w:p>
                  <w:pPr>
                    <w:spacing w:line="0" w:lineRule="atLeast"/>
                    <w:jc w:val="center"/>
                    <w:rPr>
                      <w:rFonts w:ascii="宋体" w:hAnsi="宋体" w:cs="宋体"/>
                      <w:i/>
                      <w:iCs/>
                      <w:szCs w:val="21"/>
                      <w:u w:val="single"/>
                    </w:rPr>
                  </w:pPr>
                  <w:r>
                    <w:rPr>
                      <w:rFonts w:hint="eastAsia" w:ascii="宋体" w:hAnsi="宋体" w:cs="宋体"/>
                      <w:i/>
                      <w:iCs/>
                      <w:szCs w:val="21"/>
                      <w:u w:val="single"/>
                    </w:rPr>
                    <w:t>-</w:t>
                  </w:r>
                </w:p>
              </w:tc>
              <w:tc>
                <w:tcPr>
                  <w:tcW w:w="1222" w:type="dxa"/>
                  <w:vAlign w:val="center"/>
                </w:tcPr>
                <w:p>
                  <w:pPr>
                    <w:widowControl/>
                    <w:jc w:val="center"/>
                    <w:textAlignment w:val="center"/>
                    <w:rPr>
                      <w:rFonts w:ascii="宋体" w:hAnsi="宋体" w:cs="宋体"/>
                      <w:i/>
                      <w:iCs/>
                      <w:szCs w:val="21"/>
                      <w:u w:val="single"/>
                    </w:rPr>
                  </w:pPr>
                  <w:r>
                    <w:rPr>
                      <w:rFonts w:hint="eastAsia" w:ascii="宋体" w:hAnsi="宋体" w:cs="宋体"/>
                      <w:i/>
                      <w:iCs/>
                      <w:kern w:val="0"/>
                      <w:szCs w:val="21"/>
                      <w:u w:val="single"/>
                    </w:rPr>
                    <w:t xml:space="preserve">16.20 </w:t>
                  </w:r>
                </w:p>
              </w:tc>
              <w:tc>
                <w:tcPr>
                  <w:tcW w:w="1349" w:type="dxa"/>
                  <w:vAlign w:val="center"/>
                </w:tcPr>
                <w:p>
                  <w:pPr>
                    <w:jc w:val="center"/>
                    <w:rPr>
                      <w:rFonts w:ascii="宋体" w:hAnsi="宋体" w:cs="宋体"/>
                      <w:i/>
                      <w:iCs/>
                      <w:szCs w:val="21"/>
                      <w:u w:val="single"/>
                    </w:rPr>
                  </w:pPr>
                  <w:r>
                    <w:rPr>
                      <w:rFonts w:hint="eastAsia" w:ascii="宋体" w:hAnsi="宋体" w:cs="宋体"/>
                      <w:i/>
                      <w:iCs/>
                      <w:szCs w:val="21"/>
                      <w:u w:val="single"/>
                    </w:rPr>
                    <w:t>mg/L</w:t>
                  </w:r>
                </w:p>
              </w:tc>
              <w:tc>
                <w:tcPr>
                  <w:tcW w:w="2571" w:type="dxa"/>
                  <w:vAlign w:val="top"/>
                </w:tcPr>
                <w:p>
                  <w:pPr>
                    <w:jc w:val="center"/>
                    <w:rPr>
                      <w:rFonts w:ascii="宋体" w:hAnsi="宋体" w:cs="宋体"/>
                      <w:i/>
                      <w:iCs/>
                      <w:szCs w:val="21"/>
                      <w:u w:val="single"/>
                    </w:rPr>
                  </w:pPr>
                </w:p>
              </w:tc>
            </w:tr>
            <w:tr>
              <w:trPr>
                <w:trHeight w:val="317" w:hRule="atLeast"/>
                <w:jc w:val="center"/>
              </w:trPr>
              <w:tc>
                <w:tcPr>
                  <w:tcW w:w="1981" w:type="dxa"/>
                  <w:vAlign w:val="center"/>
                </w:tcPr>
                <w:p>
                  <w:pPr>
                    <w:jc w:val="center"/>
                    <w:rPr>
                      <w:rFonts w:ascii="宋体" w:hAnsi="宋体" w:cs="宋体"/>
                      <w:bCs/>
                      <w:i/>
                      <w:iCs/>
                      <w:szCs w:val="21"/>
                      <w:u w:val="single"/>
                    </w:rPr>
                  </w:pPr>
                  <w:r>
                    <w:rPr>
                      <w:rFonts w:hint="eastAsia" w:ascii="宋体" w:hAnsi="宋体" w:cs="宋体"/>
                      <w:i/>
                      <w:iCs/>
                      <w:szCs w:val="21"/>
                      <w:u w:val="single"/>
                    </w:rPr>
                    <w:t>CO</w:t>
                  </w:r>
                  <w:r>
                    <w:rPr>
                      <w:rFonts w:hint="eastAsia" w:ascii="宋体" w:hAnsi="宋体" w:cs="宋体"/>
                      <w:i/>
                      <w:iCs/>
                      <w:szCs w:val="21"/>
                      <w:u w:val="single"/>
                      <w:vertAlign w:val="subscript"/>
                    </w:rPr>
                    <w:t>3</w:t>
                  </w:r>
                  <w:r>
                    <w:rPr>
                      <w:rFonts w:hint="eastAsia" w:ascii="宋体" w:hAnsi="宋体" w:cs="宋体"/>
                      <w:i/>
                      <w:iCs/>
                      <w:szCs w:val="21"/>
                      <w:u w:val="single"/>
                      <w:vertAlign w:val="superscript"/>
                    </w:rPr>
                    <w:t>2-</w:t>
                  </w:r>
                  <w:r>
                    <w:rPr>
                      <w:rFonts w:hint="eastAsia" w:ascii="宋体" w:hAnsi="宋体" w:cs="宋体"/>
                      <w:i/>
                      <w:iCs/>
                      <w:szCs w:val="21"/>
                      <w:u w:val="single"/>
                    </w:rPr>
                    <w:t>(mg/L)</w:t>
                  </w:r>
                </w:p>
              </w:tc>
              <w:tc>
                <w:tcPr>
                  <w:tcW w:w="1170" w:type="dxa"/>
                  <w:vAlign w:val="top"/>
                </w:tcPr>
                <w:p>
                  <w:pPr>
                    <w:spacing w:line="0" w:lineRule="atLeast"/>
                    <w:jc w:val="center"/>
                    <w:rPr>
                      <w:rFonts w:ascii="宋体" w:hAnsi="宋体" w:cs="宋体"/>
                      <w:i/>
                      <w:iCs/>
                      <w:szCs w:val="21"/>
                      <w:u w:val="single"/>
                    </w:rPr>
                  </w:pPr>
                  <w:r>
                    <w:rPr>
                      <w:rFonts w:hint="eastAsia" w:ascii="宋体" w:hAnsi="宋体" w:cs="宋体"/>
                      <w:i/>
                      <w:iCs/>
                      <w:szCs w:val="21"/>
                      <w:u w:val="single"/>
                    </w:rPr>
                    <w:t>-</w:t>
                  </w:r>
                </w:p>
              </w:tc>
              <w:tc>
                <w:tcPr>
                  <w:tcW w:w="1222" w:type="dxa"/>
                  <w:vAlign w:val="center"/>
                </w:tcPr>
                <w:p>
                  <w:pPr>
                    <w:widowControl/>
                    <w:jc w:val="center"/>
                    <w:textAlignment w:val="center"/>
                    <w:rPr>
                      <w:rFonts w:ascii="宋体" w:hAnsi="宋体" w:cs="宋体"/>
                      <w:i/>
                      <w:iCs/>
                      <w:szCs w:val="21"/>
                      <w:u w:val="single"/>
                    </w:rPr>
                  </w:pPr>
                  <w:r>
                    <w:rPr>
                      <w:rFonts w:hint="eastAsia" w:ascii="宋体" w:hAnsi="宋体" w:cs="宋体"/>
                      <w:i/>
                      <w:iCs/>
                      <w:kern w:val="0"/>
                      <w:szCs w:val="21"/>
                      <w:u w:val="single"/>
                    </w:rPr>
                    <w:t>0</w:t>
                  </w:r>
                </w:p>
              </w:tc>
              <w:tc>
                <w:tcPr>
                  <w:tcW w:w="1349" w:type="dxa"/>
                  <w:vAlign w:val="center"/>
                </w:tcPr>
                <w:p>
                  <w:pPr>
                    <w:jc w:val="center"/>
                    <w:rPr>
                      <w:rFonts w:ascii="宋体" w:hAnsi="宋体" w:cs="宋体"/>
                      <w:i/>
                      <w:iCs/>
                      <w:szCs w:val="21"/>
                      <w:u w:val="single"/>
                    </w:rPr>
                  </w:pPr>
                  <w:r>
                    <w:rPr>
                      <w:rFonts w:hint="eastAsia" w:ascii="宋体" w:hAnsi="宋体" w:cs="宋体"/>
                      <w:i/>
                      <w:iCs/>
                      <w:szCs w:val="21"/>
                      <w:u w:val="single"/>
                    </w:rPr>
                    <w:t>mg/L</w:t>
                  </w:r>
                </w:p>
              </w:tc>
              <w:tc>
                <w:tcPr>
                  <w:tcW w:w="2571" w:type="dxa"/>
                  <w:vAlign w:val="top"/>
                </w:tcPr>
                <w:p>
                  <w:pPr>
                    <w:jc w:val="center"/>
                    <w:rPr>
                      <w:rFonts w:ascii="宋体" w:hAnsi="宋体" w:cs="宋体"/>
                      <w:i/>
                      <w:iCs/>
                      <w:szCs w:val="21"/>
                      <w:u w:val="single"/>
                    </w:rPr>
                  </w:pPr>
                </w:p>
              </w:tc>
            </w:tr>
            <w:tr>
              <w:trPr>
                <w:trHeight w:val="317" w:hRule="atLeast"/>
                <w:jc w:val="center"/>
              </w:trPr>
              <w:tc>
                <w:tcPr>
                  <w:tcW w:w="1981" w:type="dxa"/>
                  <w:vAlign w:val="center"/>
                </w:tcPr>
                <w:p>
                  <w:pPr>
                    <w:jc w:val="center"/>
                    <w:rPr>
                      <w:rFonts w:ascii="宋体" w:hAnsi="宋体" w:cs="宋体"/>
                      <w:bCs/>
                      <w:i/>
                      <w:iCs/>
                      <w:szCs w:val="21"/>
                      <w:u w:val="single"/>
                    </w:rPr>
                  </w:pPr>
                  <w:r>
                    <w:rPr>
                      <w:rFonts w:hint="eastAsia" w:ascii="宋体" w:hAnsi="宋体" w:cs="宋体"/>
                      <w:i/>
                      <w:iCs/>
                      <w:szCs w:val="21"/>
                      <w:u w:val="single"/>
                    </w:rPr>
                    <w:t>HCO</w:t>
                  </w:r>
                  <w:r>
                    <w:rPr>
                      <w:rFonts w:hint="eastAsia" w:ascii="宋体" w:hAnsi="宋体" w:cs="宋体"/>
                      <w:i/>
                      <w:iCs/>
                      <w:szCs w:val="21"/>
                      <w:u w:val="single"/>
                      <w:vertAlign w:val="subscript"/>
                    </w:rPr>
                    <w:t>3</w:t>
                  </w:r>
                  <w:r>
                    <w:rPr>
                      <w:rFonts w:hint="eastAsia" w:ascii="宋体" w:hAnsi="宋体" w:cs="宋体"/>
                      <w:i/>
                      <w:iCs/>
                      <w:szCs w:val="21"/>
                      <w:u w:val="single"/>
                      <w:vertAlign w:val="superscript"/>
                    </w:rPr>
                    <w:t>-</w:t>
                  </w:r>
                  <w:r>
                    <w:rPr>
                      <w:rFonts w:hint="eastAsia" w:ascii="宋体" w:hAnsi="宋体" w:cs="宋体"/>
                      <w:i/>
                      <w:iCs/>
                      <w:szCs w:val="21"/>
                      <w:u w:val="single"/>
                    </w:rPr>
                    <w:t>(mg/L)</w:t>
                  </w:r>
                </w:p>
              </w:tc>
              <w:tc>
                <w:tcPr>
                  <w:tcW w:w="1170" w:type="dxa"/>
                  <w:vAlign w:val="top"/>
                </w:tcPr>
                <w:p>
                  <w:pPr>
                    <w:spacing w:line="0" w:lineRule="atLeast"/>
                    <w:jc w:val="center"/>
                    <w:rPr>
                      <w:rFonts w:ascii="宋体" w:hAnsi="宋体" w:cs="宋体"/>
                      <w:i/>
                      <w:iCs/>
                      <w:szCs w:val="21"/>
                      <w:u w:val="single"/>
                    </w:rPr>
                  </w:pPr>
                  <w:r>
                    <w:rPr>
                      <w:rFonts w:hint="eastAsia" w:ascii="宋体" w:hAnsi="宋体" w:cs="宋体"/>
                      <w:i/>
                      <w:iCs/>
                      <w:szCs w:val="21"/>
                      <w:u w:val="single"/>
                    </w:rPr>
                    <w:t>-</w:t>
                  </w:r>
                </w:p>
              </w:tc>
              <w:tc>
                <w:tcPr>
                  <w:tcW w:w="1222" w:type="dxa"/>
                  <w:vAlign w:val="center"/>
                </w:tcPr>
                <w:p>
                  <w:pPr>
                    <w:widowControl/>
                    <w:jc w:val="center"/>
                    <w:textAlignment w:val="center"/>
                    <w:rPr>
                      <w:rFonts w:ascii="宋体" w:hAnsi="宋体" w:cs="宋体"/>
                      <w:i/>
                      <w:iCs/>
                      <w:szCs w:val="21"/>
                      <w:u w:val="single"/>
                    </w:rPr>
                  </w:pPr>
                  <w:r>
                    <w:rPr>
                      <w:rFonts w:hint="eastAsia" w:ascii="宋体" w:hAnsi="宋体" w:cs="宋体"/>
                      <w:i/>
                      <w:iCs/>
                      <w:kern w:val="0"/>
                      <w:szCs w:val="21"/>
                      <w:u w:val="single"/>
                    </w:rPr>
                    <w:t>377</w:t>
                  </w:r>
                </w:p>
              </w:tc>
              <w:tc>
                <w:tcPr>
                  <w:tcW w:w="1349" w:type="dxa"/>
                  <w:vAlign w:val="center"/>
                </w:tcPr>
                <w:p>
                  <w:pPr>
                    <w:jc w:val="center"/>
                    <w:rPr>
                      <w:rFonts w:ascii="宋体" w:hAnsi="宋体" w:cs="宋体"/>
                      <w:i/>
                      <w:iCs/>
                      <w:szCs w:val="21"/>
                      <w:u w:val="single"/>
                    </w:rPr>
                  </w:pPr>
                  <w:r>
                    <w:rPr>
                      <w:rFonts w:hint="eastAsia" w:ascii="宋体" w:hAnsi="宋体" w:cs="宋体"/>
                      <w:i/>
                      <w:iCs/>
                      <w:szCs w:val="21"/>
                      <w:u w:val="single"/>
                    </w:rPr>
                    <w:t>mg/L</w:t>
                  </w:r>
                </w:p>
              </w:tc>
              <w:tc>
                <w:tcPr>
                  <w:tcW w:w="2571" w:type="dxa"/>
                  <w:vAlign w:val="top"/>
                </w:tcPr>
                <w:p>
                  <w:pPr>
                    <w:jc w:val="center"/>
                    <w:rPr>
                      <w:rFonts w:ascii="宋体" w:hAnsi="宋体" w:cs="宋体"/>
                      <w:i/>
                      <w:iCs/>
                      <w:szCs w:val="21"/>
                      <w:u w:val="single"/>
                    </w:rPr>
                  </w:pPr>
                </w:p>
              </w:tc>
            </w:tr>
            <w:tr>
              <w:trPr>
                <w:trHeight w:val="317" w:hRule="atLeast"/>
                <w:jc w:val="center"/>
              </w:trPr>
              <w:tc>
                <w:tcPr>
                  <w:tcW w:w="1981" w:type="dxa"/>
                  <w:vAlign w:val="center"/>
                </w:tcPr>
                <w:p>
                  <w:pPr>
                    <w:widowControl/>
                    <w:wordWrap w:val="0"/>
                    <w:jc w:val="center"/>
                    <w:rPr>
                      <w:rFonts w:ascii="宋体" w:hAnsi="宋体" w:cs="宋体"/>
                      <w:bCs/>
                      <w:i/>
                      <w:iCs/>
                      <w:szCs w:val="21"/>
                      <w:u w:val="single"/>
                    </w:rPr>
                  </w:pPr>
                  <w:r>
                    <w:rPr>
                      <w:rFonts w:hint="eastAsia" w:ascii="宋体" w:hAnsi="宋体" w:cs="宋体"/>
                      <w:bCs/>
                      <w:i/>
                      <w:iCs/>
                      <w:szCs w:val="21"/>
                      <w:u w:val="single"/>
                    </w:rPr>
                    <w:t>Cl</w:t>
                  </w:r>
                  <w:r>
                    <w:rPr>
                      <w:rFonts w:hint="eastAsia" w:ascii="宋体" w:hAnsi="宋体" w:cs="宋体"/>
                      <w:bCs/>
                      <w:i/>
                      <w:iCs/>
                      <w:szCs w:val="21"/>
                      <w:u w:val="single"/>
                      <w:vertAlign w:val="superscript"/>
                    </w:rPr>
                    <w:t>-</w:t>
                  </w:r>
                  <w:r>
                    <w:rPr>
                      <w:rFonts w:hint="eastAsia" w:ascii="宋体" w:hAnsi="宋体" w:cs="宋体"/>
                      <w:i/>
                      <w:iCs/>
                      <w:szCs w:val="21"/>
                      <w:u w:val="single"/>
                    </w:rPr>
                    <w:t>(mg/L)</w:t>
                  </w:r>
                </w:p>
              </w:tc>
              <w:tc>
                <w:tcPr>
                  <w:tcW w:w="1170" w:type="dxa"/>
                  <w:vAlign w:val="center"/>
                </w:tcPr>
                <w:p>
                  <w:pPr>
                    <w:spacing w:line="0" w:lineRule="atLeast"/>
                    <w:jc w:val="center"/>
                    <w:rPr>
                      <w:rFonts w:ascii="宋体" w:hAnsi="宋体" w:cs="宋体"/>
                      <w:i/>
                      <w:iCs/>
                      <w:szCs w:val="21"/>
                      <w:u w:val="single"/>
                    </w:rPr>
                  </w:pPr>
                  <w:r>
                    <w:rPr>
                      <w:rFonts w:hint="eastAsia" w:ascii="宋体" w:hAnsi="宋体" w:cs="宋体"/>
                      <w:i/>
                      <w:iCs/>
                      <w:szCs w:val="21"/>
                      <w:u w:val="single"/>
                    </w:rPr>
                    <w:t>250</w:t>
                  </w:r>
                </w:p>
              </w:tc>
              <w:tc>
                <w:tcPr>
                  <w:tcW w:w="1222" w:type="dxa"/>
                  <w:vAlign w:val="center"/>
                </w:tcPr>
                <w:p>
                  <w:pPr>
                    <w:widowControl/>
                    <w:adjustRightInd w:val="0"/>
                    <w:snapToGrid w:val="0"/>
                    <w:jc w:val="center"/>
                    <w:rPr>
                      <w:rFonts w:ascii="宋体" w:hAnsi="宋体" w:cs="宋体"/>
                      <w:i/>
                      <w:iCs/>
                      <w:szCs w:val="21"/>
                      <w:u w:val="single"/>
                    </w:rPr>
                  </w:pPr>
                  <w:r>
                    <w:rPr>
                      <w:rFonts w:hint="eastAsia" w:ascii="宋体" w:hAnsi="宋体" w:cs="宋体"/>
                      <w:i/>
                      <w:iCs/>
                      <w:kern w:val="0"/>
                      <w:szCs w:val="21"/>
                      <w:u w:val="single"/>
                    </w:rPr>
                    <w:t xml:space="preserve">26.8 </w:t>
                  </w:r>
                </w:p>
              </w:tc>
              <w:tc>
                <w:tcPr>
                  <w:tcW w:w="1349" w:type="dxa"/>
                  <w:vAlign w:val="center"/>
                </w:tcPr>
                <w:p>
                  <w:pPr>
                    <w:jc w:val="center"/>
                    <w:rPr>
                      <w:rFonts w:ascii="宋体" w:hAnsi="宋体" w:cs="宋体"/>
                      <w:i/>
                      <w:iCs/>
                      <w:szCs w:val="21"/>
                      <w:u w:val="single"/>
                    </w:rPr>
                  </w:pPr>
                  <w:r>
                    <w:rPr>
                      <w:rFonts w:hint="eastAsia" w:ascii="宋体" w:hAnsi="宋体" w:cs="宋体"/>
                      <w:i/>
                      <w:iCs/>
                      <w:szCs w:val="21"/>
                      <w:u w:val="single"/>
                    </w:rPr>
                    <w:t>mg/L</w:t>
                  </w:r>
                </w:p>
              </w:tc>
              <w:tc>
                <w:tcPr>
                  <w:tcW w:w="2571" w:type="dxa"/>
                  <w:vAlign w:val="top"/>
                </w:tcPr>
                <w:p>
                  <w:pPr>
                    <w:jc w:val="center"/>
                    <w:rPr>
                      <w:rFonts w:ascii="宋体" w:hAnsi="宋体" w:cs="宋体"/>
                      <w:i/>
                      <w:iCs/>
                      <w:szCs w:val="21"/>
                      <w:u w:val="single"/>
                    </w:rPr>
                  </w:pPr>
                  <w:r>
                    <w:rPr>
                      <w:rFonts w:hint="eastAsia" w:ascii="宋体" w:hAnsi="宋体" w:cs="宋体"/>
                      <w:i/>
                      <w:iCs/>
                      <w:szCs w:val="21"/>
                      <w:u w:val="single"/>
                    </w:rPr>
                    <w:t>0.11</w:t>
                  </w:r>
                </w:p>
              </w:tc>
            </w:tr>
            <w:tr>
              <w:trPr>
                <w:trHeight w:val="317" w:hRule="atLeast"/>
                <w:jc w:val="center"/>
              </w:trPr>
              <w:tc>
                <w:tcPr>
                  <w:tcW w:w="1981" w:type="dxa"/>
                  <w:vAlign w:val="center"/>
                </w:tcPr>
                <w:p>
                  <w:pPr>
                    <w:widowControl/>
                    <w:wordWrap w:val="0"/>
                    <w:jc w:val="center"/>
                    <w:rPr>
                      <w:rFonts w:ascii="宋体" w:hAnsi="宋体" w:cs="宋体"/>
                      <w:bCs/>
                      <w:i/>
                      <w:iCs/>
                      <w:szCs w:val="21"/>
                      <w:u w:val="single"/>
                    </w:rPr>
                  </w:pPr>
                  <w:r>
                    <w:rPr>
                      <w:rFonts w:hint="eastAsia" w:ascii="宋体" w:hAnsi="宋体" w:cs="宋体"/>
                      <w:bCs/>
                      <w:i/>
                      <w:iCs/>
                      <w:szCs w:val="21"/>
                      <w:u w:val="single"/>
                    </w:rPr>
                    <w:t>SO</w:t>
                  </w:r>
                  <w:r>
                    <w:rPr>
                      <w:rFonts w:hint="eastAsia" w:ascii="宋体" w:hAnsi="宋体" w:cs="宋体"/>
                      <w:bCs/>
                      <w:i/>
                      <w:iCs/>
                      <w:szCs w:val="21"/>
                      <w:u w:val="single"/>
                      <w:vertAlign w:val="subscript"/>
                    </w:rPr>
                    <w:t>4</w:t>
                  </w:r>
                  <w:r>
                    <w:rPr>
                      <w:rFonts w:hint="eastAsia" w:ascii="宋体" w:hAnsi="宋体" w:cs="宋体"/>
                      <w:bCs/>
                      <w:i/>
                      <w:iCs/>
                      <w:szCs w:val="21"/>
                      <w:u w:val="single"/>
                      <w:vertAlign w:val="superscript"/>
                    </w:rPr>
                    <w:t>2-</w:t>
                  </w:r>
                  <w:r>
                    <w:rPr>
                      <w:rFonts w:hint="eastAsia" w:ascii="宋体" w:hAnsi="宋体" w:cs="宋体"/>
                      <w:i/>
                      <w:iCs/>
                      <w:szCs w:val="21"/>
                      <w:u w:val="single"/>
                    </w:rPr>
                    <w:t>(mg/L)</w:t>
                  </w:r>
                </w:p>
              </w:tc>
              <w:tc>
                <w:tcPr>
                  <w:tcW w:w="1170" w:type="dxa"/>
                  <w:vAlign w:val="center"/>
                </w:tcPr>
                <w:p>
                  <w:pPr>
                    <w:spacing w:line="0" w:lineRule="atLeast"/>
                    <w:jc w:val="center"/>
                    <w:rPr>
                      <w:rFonts w:ascii="宋体" w:hAnsi="宋体" w:cs="宋体"/>
                      <w:i/>
                      <w:iCs/>
                      <w:szCs w:val="21"/>
                      <w:u w:val="single"/>
                    </w:rPr>
                  </w:pPr>
                  <w:r>
                    <w:rPr>
                      <w:rFonts w:hint="eastAsia" w:ascii="宋体" w:hAnsi="宋体" w:cs="宋体"/>
                      <w:i/>
                      <w:iCs/>
                      <w:szCs w:val="21"/>
                      <w:u w:val="single"/>
                    </w:rPr>
                    <w:t>250</w:t>
                  </w:r>
                </w:p>
              </w:tc>
              <w:tc>
                <w:tcPr>
                  <w:tcW w:w="1222" w:type="dxa"/>
                  <w:vAlign w:val="center"/>
                </w:tcPr>
                <w:p>
                  <w:pPr>
                    <w:jc w:val="center"/>
                    <w:rPr>
                      <w:rFonts w:ascii="宋体" w:hAnsi="宋体" w:cs="宋体"/>
                      <w:i/>
                      <w:iCs/>
                      <w:szCs w:val="21"/>
                      <w:u w:val="single"/>
                    </w:rPr>
                  </w:pPr>
                  <w:r>
                    <w:rPr>
                      <w:rFonts w:hint="eastAsia" w:ascii="宋体" w:hAnsi="宋体" w:cs="宋体"/>
                      <w:i/>
                      <w:iCs/>
                      <w:kern w:val="0"/>
                      <w:szCs w:val="21"/>
                      <w:u w:val="single"/>
                    </w:rPr>
                    <w:t xml:space="preserve">72.1 </w:t>
                  </w:r>
                </w:p>
              </w:tc>
              <w:tc>
                <w:tcPr>
                  <w:tcW w:w="1349" w:type="dxa"/>
                  <w:vAlign w:val="center"/>
                </w:tcPr>
                <w:p>
                  <w:pPr>
                    <w:jc w:val="center"/>
                    <w:rPr>
                      <w:rFonts w:ascii="宋体" w:hAnsi="宋体" w:cs="宋体"/>
                      <w:i/>
                      <w:iCs/>
                      <w:szCs w:val="21"/>
                      <w:u w:val="single"/>
                    </w:rPr>
                  </w:pPr>
                  <w:r>
                    <w:rPr>
                      <w:rFonts w:hint="eastAsia" w:ascii="宋体" w:hAnsi="宋体" w:cs="宋体"/>
                      <w:i/>
                      <w:iCs/>
                      <w:szCs w:val="21"/>
                      <w:u w:val="single"/>
                    </w:rPr>
                    <w:t>mg/L</w:t>
                  </w:r>
                </w:p>
              </w:tc>
              <w:tc>
                <w:tcPr>
                  <w:tcW w:w="2571" w:type="dxa"/>
                  <w:vAlign w:val="top"/>
                </w:tcPr>
                <w:p>
                  <w:pPr>
                    <w:jc w:val="center"/>
                    <w:rPr>
                      <w:rFonts w:ascii="宋体" w:hAnsi="宋体" w:cs="宋体"/>
                      <w:i/>
                      <w:iCs/>
                      <w:szCs w:val="21"/>
                      <w:u w:val="single"/>
                    </w:rPr>
                  </w:pPr>
                  <w:r>
                    <w:rPr>
                      <w:rFonts w:hint="eastAsia" w:ascii="宋体" w:hAnsi="宋体" w:cs="宋体"/>
                      <w:i/>
                      <w:iCs/>
                      <w:szCs w:val="21"/>
                      <w:u w:val="single"/>
                    </w:rPr>
                    <w:t>0.29</w:t>
                  </w:r>
                </w:p>
              </w:tc>
            </w:tr>
            <w:tr>
              <w:trPr>
                <w:trHeight w:val="317" w:hRule="atLeast"/>
                <w:jc w:val="center"/>
              </w:trPr>
              <w:tc>
                <w:tcPr>
                  <w:tcW w:w="1981" w:type="dxa"/>
                  <w:vAlign w:val="center"/>
                </w:tcPr>
                <w:p>
                  <w:pPr>
                    <w:widowControl/>
                    <w:adjustRightInd w:val="0"/>
                    <w:snapToGrid w:val="0"/>
                    <w:jc w:val="center"/>
                    <w:rPr>
                      <w:rFonts w:ascii="宋体" w:hAnsi="宋体" w:cs="宋体"/>
                      <w:i/>
                      <w:iCs/>
                      <w:szCs w:val="21"/>
                      <w:u w:val="single"/>
                    </w:rPr>
                  </w:pPr>
                  <w:r>
                    <w:rPr>
                      <w:rFonts w:hint="eastAsia" w:ascii="宋体" w:hAnsi="宋体" w:cs="宋体"/>
                      <w:i/>
                      <w:iCs/>
                      <w:szCs w:val="21"/>
                      <w:u w:val="single"/>
                    </w:rPr>
                    <w:t>pH(无量纲)</w:t>
                  </w:r>
                </w:p>
              </w:tc>
              <w:tc>
                <w:tcPr>
                  <w:tcW w:w="1170" w:type="dxa"/>
                  <w:vAlign w:val="center"/>
                </w:tcPr>
                <w:p>
                  <w:pPr>
                    <w:spacing w:line="0" w:lineRule="atLeast"/>
                    <w:jc w:val="center"/>
                    <w:rPr>
                      <w:rFonts w:ascii="宋体" w:hAnsi="宋体" w:cs="宋体"/>
                      <w:i/>
                      <w:iCs/>
                      <w:szCs w:val="21"/>
                      <w:u w:val="single"/>
                    </w:rPr>
                  </w:pPr>
                  <w:r>
                    <w:rPr>
                      <w:rFonts w:hint="eastAsia" w:ascii="宋体" w:hAnsi="宋体" w:cs="宋体"/>
                      <w:bCs/>
                      <w:i/>
                      <w:iCs/>
                      <w:szCs w:val="21"/>
                      <w:u w:val="single"/>
                    </w:rPr>
                    <w:t>6.5-8.5</w:t>
                  </w:r>
                </w:p>
              </w:tc>
              <w:tc>
                <w:tcPr>
                  <w:tcW w:w="1222" w:type="dxa"/>
                  <w:vAlign w:val="center"/>
                </w:tcPr>
                <w:p>
                  <w:pPr>
                    <w:widowControl/>
                    <w:adjustRightInd w:val="0"/>
                    <w:snapToGrid w:val="0"/>
                    <w:jc w:val="center"/>
                    <w:rPr>
                      <w:rFonts w:ascii="宋体" w:hAnsi="宋体" w:cs="宋体"/>
                      <w:i/>
                      <w:iCs/>
                      <w:szCs w:val="21"/>
                      <w:u w:val="single"/>
                    </w:rPr>
                  </w:pPr>
                  <w:r>
                    <w:rPr>
                      <w:rFonts w:hint="eastAsia" w:ascii="宋体" w:hAnsi="宋体" w:cs="宋体"/>
                      <w:i/>
                      <w:iCs/>
                      <w:szCs w:val="21"/>
                      <w:u w:val="single"/>
                    </w:rPr>
                    <w:t>7.1</w:t>
                  </w:r>
                </w:p>
              </w:tc>
              <w:tc>
                <w:tcPr>
                  <w:tcW w:w="1349" w:type="dxa"/>
                  <w:vAlign w:val="center"/>
                </w:tcPr>
                <w:p>
                  <w:pPr>
                    <w:widowControl/>
                    <w:jc w:val="center"/>
                    <w:textAlignment w:val="center"/>
                    <w:rPr>
                      <w:rFonts w:ascii="宋体" w:hAnsi="宋体" w:cs="宋体"/>
                      <w:i/>
                      <w:iCs/>
                      <w:kern w:val="0"/>
                      <w:szCs w:val="21"/>
                      <w:u w:val="single"/>
                    </w:rPr>
                  </w:pPr>
                  <w:r>
                    <w:rPr>
                      <w:rFonts w:hint="eastAsia" w:ascii="宋体" w:hAnsi="宋体" w:cs="宋体"/>
                      <w:i/>
                      <w:iCs/>
                      <w:kern w:val="0"/>
                      <w:szCs w:val="21"/>
                      <w:u w:val="single"/>
                    </w:rPr>
                    <w:t>-</w:t>
                  </w:r>
                </w:p>
              </w:tc>
              <w:tc>
                <w:tcPr>
                  <w:tcW w:w="2571" w:type="dxa"/>
                  <w:vAlign w:val="top"/>
                </w:tcPr>
                <w:p>
                  <w:pPr>
                    <w:widowControl/>
                    <w:jc w:val="center"/>
                    <w:textAlignment w:val="center"/>
                    <w:rPr>
                      <w:rFonts w:ascii="宋体" w:hAnsi="宋体" w:cs="宋体"/>
                      <w:i/>
                      <w:iCs/>
                      <w:kern w:val="0"/>
                      <w:szCs w:val="21"/>
                      <w:u w:val="single"/>
                    </w:rPr>
                  </w:pPr>
                  <w:r>
                    <w:rPr>
                      <w:rFonts w:hint="eastAsia" w:ascii="宋体" w:hAnsi="宋体" w:cs="宋体"/>
                      <w:i/>
                      <w:iCs/>
                      <w:kern w:val="0"/>
                      <w:szCs w:val="21"/>
                      <w:u w:val="single"/>
                    </w:rPr>
                    <w:t>0.07</w:t>
                  </w:r>
                </w:p>
              </w:tc>
            </w:tr>
            <w:tr>
              <w:trPr>
                <w:trHeight w:val="317" w:hRule="atLeast"/>
                <w:jc w:val="center"/>
              </w:trPr>
              <w:tc>
                <w:tcPr>
                  <w:tcW w:w="1981" w:type="dxa"/>
                  <w:vAlign w:val="center"/>
                </w:tcPr>
                <w:p>
                  <w:pPr>
                    <w:spacing w:line="0" w:lineRule="atLeast"/>
                    <w:jc w:val="center"/>
                    <w:rPr>
                      <w:rFonts w:ascii="宋体" w:hAnsi="宋体" w:cs="宋体"/>
                      <w:bCs/>
                      <w:i/>
                      <w:iCs/>
                      <w:szCs w:val="21"/>
                      <w:u w:val="single"/>
                    </w:rPr>
                  </w:pPr>
                  <w:r>
                    <w:rPr>
                      <w:rFonts w:hint="eastAsia" w:ascii="宋体" w:hAnsi="宋体" w:cs="宋体"/>
                      <w:bCs/>
                      <w:i/>
                      <w:iCs/>
                      <w:szCs w:val="21"/>
                      <w:u w:val="single"/>
                    </w:rPr>
                    <w:t>氨氮</w:t>
                  </w:r>
                  <w:r>
                    <w:rPr>
                      <w:rFonts w:hint="eastAsia" w:ascii="宋体" w:hAnsi="宋体" w:cs="宋体"/>
                      <w:i/>
                      <w:iCs/>
                      <w:szCs w:val="21"/>
                      <w:u w:val="single"/>
                    </w:rPr>
                    <w:t>(mg/L)</w:t>
                  </w:r>
                </w:p>
              </w:tc>
              <w:tc>
                <w:tcPr>
                  <w:tcW w:w="1170" w:type="dxa"/>
                  <w:vAlign w:val="center"/>
                </w:tcPr>
                <w:p>
                  <w:pPr>
                    <w:spacing w:line="0" w:lineRule="atLeast"/>
                    <w:jc w:val="center"/>
                    <w:rPr>
                      <w:rFonts w:ascii="宋体" w:hAnsi="宋体" w:cs="宋体"/>
                      <w:i/>
                      <w:iCs/>
                      <w:szCs w:val="21"/>
                      <w:u w:val="single"/>
                    </w:rPr>
                  </w:pPr>
                  <w:r>
                    <w:rPr>
                      <w:rFonts w:hint="eastAsia" w:ascii="宋体" w:hAnsi="宋体" w:cs="宋体"/>
                      <w:i/>
                      <w:iCs/>
                      <w:szCs w:val="21"/>
                      <w:u w:val="single"/>
                    </w:rPr>
                    <w:t>0.5</w:t>
                  </w:r>
                </w:p>
              </w:tc>
              <w:tc>
                <w:tcPr>
                  <w:tcW w:w="1222" w:type="dxa"/>
                  <w:vAlign w:val="center"/>
                </w:tcPr>
                <w:p>
                  <w:pPr>
                    <w:widowControl/>
                    <w:wordWrap w:val="0"/>
                    <w:jc w:val="center"/>
                    <w:rPr>
                      <w:rFonts w:ascii="宋体" w:hAnsi="宋体" w:cs="宋体"/>
                      <w:i/>
                      <w:iCs/>
                      <w:szCs w:val="21"/>
                      <w:u w:val="single"/>
                    </w:rPr>
                  </w:pPr>
                  <w:r>
                    <w:rPr>
                      <w:rFonts w:hint="eastAsia" w:ascii="宋体" w:hAnsi="宋体" w:cs="宋体"/>
                      <w:i/>
                      <w:iCs/>
                      <w:u w:val="single"/>
                    </w:rPr>
                    <w:t>0.146</w:t>
                  </w:r>
                </w:p>
              </w:tc>
              <w:tc>
                <w:tcPr>
                  <w:tcW w:w="1349" w:type="dxa"/>
                  <w:vAlign w:val="center"/>
                </w:tcPr>
                <w:p>
                  <w:pPr>
                    <w:jc w:val="center"/>
                    <w:rPr>
                      <w:rFonts w:ascii="宋体" w:hAnsi="宋体" w:cs="宋体"/>
                      <w:i/>
                      <w:iCs/>
                      <w:szCs w:val="21"/>
                      <w:u w:val="single"/>
                    </w:rPr>
                  </w:pPr>
                  <w:r>
                    <w:rPr>
                      <w:rFonts w:hint="eastAsia" w:ascii="宋体" w:hAnsi="宋体" w:cs="宋体"/>
                      <w:i/>
                      <w:iCs/>
                      <w:szCs w:val="21"/>
                      <w:u w:val="single"/>
                    </w:rPr>
                    <w:t>mg/L</w:t>
                  </w:r>
                </w:p>
              </w:tc>
              <w:tc>
                <w:tcPr>
                  <w:tcW w:w="2571" w:type="dxa"/>
                  <w:vAlign w:val="top"/>
                </w:tcPr>
                <w:p>
                  <w:pPr>
                    <w:jc w:val="center"/>
                    <w:rPr>
                      <w:rFonts w:ascii="宋体" w:hAnsi="宋体" w:cs="宋体"/>
                      <w:i/>
                      <w:iCs/>
                      <w:szCs w:val="21"/>
                      <w:u w:val="single"/>
                    </w:rPr>
                  </w:pPr>
                  <w:r>
                    <w:rPr>
                      <w:rFonts w:hint="eastAsia" w:ascii="宋体" w:hAnsi="宋体" w:cs="宋体"/>
                      <w:i/>
                      <w:iCs/>
                      <w:szCs w:val="21"/>
                      <w:u w:val="single"/>
                    </w:rPr>
                    <w:t>0.292</w:t>
                  </w:r>
                </w:p>
              </w:tc>
            </w:tr>
            <w:tr>
              <w:trPr>
                <w:trHeight w:val="317" w:hRule="atLeast"/>
                <w:jc w:val="center"/>
              </w:trPr>
              <w:tc>
                <w:tcPr>
                  <w:tcW w:w="1981" w:type="dxa"/>
                  <w:vAlign w:val="center"/>
                </w:tcPr>
                <w:p>
                  <w:pPr>
                    <w:spacing w:line="0" w:lineRule="atLeast"/>
                    <w:jc w:val="center"/>
                    <w:rPr>
                      <w:rFonts w:ascii="宋体" w:hAnsi="宋体" w:cs="宋体"/>
                      <w:bCs/>
                      <w:i/>
                      <w:iCs/>
                      <w:szCs w:val="21"/>
                      <w:u w:val="single"/>
                    </w:rPr>
                  </w:pPr>
                  <w:r>
                    <w:rPr>
                      <w:rFonts w:hint="eastAsia" w:ascii="宋体" w:hAnsi="宋体" w:cs="宋体"/>
                      <w:bCs/>
                      <w:i/>
                      <w:iCs/>
                      <w:szCs w:val="21"/>
                      <w:u w:val="single"/>
                    </w:rPr>
                    <w:t>硝酸盐</w:t>
                  </w:r>
                  <w:r>
                    <w:rPr>
                      <w:rFonts w:hint="eastAsia" w:ascii="宋体" w:hAnsi="宋体" w:cs="宋体"/>
                      <w:i/>
                      <w:iCs/>
                      <w:szCs w:val="21"/>
                      <w:u w:val="single"/>
                    </w:rPr>
                    <w:t>(mg/L)</w:t>
                  </w:r>
                </w:p>
              </w:tc>
              <w:tc>
                <w:tcPr>
                  <w:tcW w:w="1170" w:type="dxa"/>
                  <w:vAlign w:val="center"/>
                </w:tcPr>
                <w:p>
                  <w:pPr>
                    <w:spacing w:line="0" w:lineRule="atLeast"/>
                    <w:jc w:val="center"/>
                    <w:rPr>
                      <w:rFonts w:ascii="宋体" w:hAnsi="宋体" w:cs="宋体"/>
                      <w:i/>
                      <w:iCs/>
                      <w:szCs w:val="21"/>
                      <w:u w:val="single"/>
                    </w:rPr>
                  </w:pPr>
                  <w:r>
                    <w:rPr>
                      <w:rFonts w:hint="eastAsia" w:ascii="宋体" w:hAnsi="宋体" w:cs="宋体"/>
                      <w:i/>
                      <w:iCs/>
                      <w:szCs w:val="21"/>
                      <w:u w:val="single"/>
                    </w:rPr>
                    <w:t>20</w:t>
                  </w:r>
                </w:p>
              </w:tc>
              <w:tc>
                <w:tcPr>
                  <w:tcW w:w="1222" w:type="dxa"/>
                  <w:vAlign w:val="center"/>
                </w:tcPr>
                <w:p>
                  <w:pPr>
                    <w:jc w:val="center"/>
                    <w:rPr>
                      <w:rFonts w:ascii="宋体" w:hAnsi="宋体" w:cs="宋体"/>
                      <w:i/>
                      <w:iCs/>
                      <w:kern w:val="0"/>
                      <w:szCs w:val="21"/>
                      <w:u w:val="single"/>
                    </w:rPr>
                  </w:pPr>
                  <w:r>
                    <w:rPr>
                      <w:rFonts w:hint="eastAsia" w:ascii="宋体" w:hAnsi="宋体" w:cs="宋体"/>
                      <w:i/>
                      <w:iCs/>
                      <w:u w:val="single"/>
                    </w:rPr>
                    <w:t>10.5</w:t>
                  </w:r>
                </w:p>
              </w:tc>
              <w:tc>
                <w:tcPr>
                  <w:tcW w:w="1349" w:type="dxa"/>
                  <w:vAlign w:val="center"/>
                </w:tcPr>
                <w:p>
                  <w:pPr>
                    <w:jc w:val="center"/>
                    <w:rPr>
                      <w:rFonts w:ascii="宋体" w:hAnsi="宋体" w:cs="宋体"/>
                      <w:i/>
                      <w:iCs/>
                      <w:szCs w:val="21"/>
                      <w:u w:val="single"/>
                    </w:rPr>
                  </w:pPr>
                  <w:r>
                    <w:rPr>
                      <w:rFonts w:hint="eastAsia" w:ascii="宋体" w:hAnsi="宋体" w:cs="宋体"/>
                      <w:i/>
                      <w:iCs/>
                      <w:szCs w:val="21"/>
                      <w:u w:val="single"/>
                    </w:rPr>
                    <w:t>mg/L</w:t>
                  </w:r>
                </w:p>
              </w:tc>
              <w:tc>
                <w:tcPr>
                  <w:tcW w:w="2571" w:type="dxa"/>
                  <w:vAlign w:val="top"/>
                </w:tcPr>
                <w:p>
                  <w:pPr>
                    <w:jc w:val="center"/>
                    <w:rPr>
                      <w:rFonts w:ascii="宋体" w:hAnsi="宋体" w:cs="宋体"/>
                      <w:i/>
                      <w:iCs/>
                      <w:szCs w:val="21"/>
                      <w:u w:val="single"/>
                    </w:rPr>
                  </w:pPr>
                  <w:r>
                    <w:rPr>
                      <w:rFonts w:hint="eastAsia" w:ascii="宋体" w:hAnsi="宋体" w:cs="宋体"/>
                      <w:i/>
                      <w:iCs/>
                      <w:szCs w:val="21"/>
                      <w:u w:val="single"/>
                    </w:rPr>
                    <w:t>0.525</w:t>
                  </w:r>
                </w:p>
              </w:tc>
            </w:tr>
            <w:tr>
              <w:trPr>
                <w:trHeight w:val="317" w:hRule="atLeast"/>
                <w:jc w:val="center"/>
              </w:trPr>
              <w:tc>
                <w:tcPr>
                  <w:tcW w:w="1981" w:type="dxa"/>
                  <w:vAlign w:val="center"/>
                </w:tcPr>
                <w:p>
                  <w:pPr>
                    <w:spacing w:line="0" w:lineRule="atLeast"/>
                    <w:jc w:val="center"/>
                    <w:rPr>
                      <w:rFonts w:ascii="宋体" w:hAnsi="宋体" w:cs="宋体"/>
                      <w:bCs/>
                      <w:i/>
                      <w:iCs/>
                      <w:szCs w:val="21"/>
                      <w:u w:val="single"/>
                    </w:rPr>
                  </w:pPr>
                  <w:r>
                    <w:rPr>
                      <w:rFonts w:hint="eastAsia" w:ascii="宋体" w:hAnsi="宋体" w:cs="宋体"/>
                      <w:bCs/>
                      <w:i/>
                      <w:iCs/>
                      <w:szCs w:val="21"/>
                      <w:u w:val="single"/>
                    </w:rPr>
                    <w:t>亚硝酸盐</w:t>
                  </w:r>
                  <w:r>
                    <w:rPr>
                      <w:rFonts w:hint="eastAsia" w:ascii="宋体" w:hAnsi="宋体" w:cs="宋体"/>
                      <w:i/>
                      <w:iCs/>
                      <w:szCs w:val="21"/>
                      <w:u w:val="single"/>
                    </w:rPr>
                    <w:t>(mg/L)</w:t>
                  </w:r>
                </w:p>
              </w:tc>
              <w:tc>
                <w:tcPr>
                  <w:tcW w:w="1170" w:type="dxa"/>
                  <w:vAlign w:val="center"/>
                </w:tcPr>
                <w:p>
                  <w:pPr>
                    <w:spacing w:line="0" w:lineRule="atLeast"/>
                    <w:jc w:val="center"/>
                    <w:rPr>
                      <w:rFonts w:ascii="宋体" w:hAnsi="宋体" w:cs="宋体"/>
                      <w:i/>
                      <w:iCs/>
                      <w:szCs w:val="21"/>
                      <w:u w:val="single"/>
                    </w:rPr>
                  </w:pPr>
                  <w:r>
                    <w:rPr>
                      <w:rFonts w:hint="eastAsia" w:ascii="宋体" w:hAnsi="宋体" w:cs="宋体"/>
                      <w:i/>
                      <w:iCs/>
                      <w:szCs w:val="21"/>
                      <w:u w:val="single"/>
                    </w:rPr>
                    <w:t>1.0</w:t>
                  </w:r>
                </w:p>
              </w:tc>
              <w:tc>
                <w:tcPr>
                  <w:tcW w:w="1222" w:type="dxa"/>
                  <w:vAlign w:val="center"/>
                </w:tcPr>
                <w:p>
                  <w:pPr>
                    <w:jc w:val="center"/>
                    <w:rPr>
                      <w:rFonts w:ascii="宋体" w:hAnsi="宋体" w:cs="宋体"/>
                      <w:i/>
                      <w:iCs/>
                      <w:kern w:val="0"/>
                      <w:szCs w:val="21"/>
                      <w:u w:val="single"/>
                    </w:rPr>
                  </w:pPr>
                  <w:r>
                    <w:rPr>
                      <w:rFonts w:hint="eastAsia" w:ascii="宋体" w:hAnsi="宋体" w:cs="宋体"/>
                      <w:i/>
                      <w:iCs/>
                      <w:u w:val="single"/>
                    </w:rPr>
                    <w:t>0.001L</w:t>
                  </w:r>
                </w:p>
              </w:tc>
              <w:tc>
                <w:tcPr>
                  <w:tcW w:w="1349" w:type="dxa"/>
                  <w:vAlign w:val="center"/>
                </w:tcPr>
                <w:p>
                  <w:pPr>
                    <w:jc w:val="center"/>
                    <w:rPr>
                      <w:rFonts w:ascii="宋体" w:hAnsi="宋体" w:cs="宋体"/>
                      <w:i/>
                      <w:iCs/>
                      <w:szCs w:val="21"/>
                      <w:u w:val="single"/>
                    </w:rPr>
                  </w:pPr>
                  <w:r>
                    <w:rPr>
                      <w:rFonts w:hint="eastAsia" w:ascii="宋体" w:hAnsi="宋体" w:cs="宋体"/>
                      <w:i/>
                      <w:iCs/>
                      <w:szCs w:val="21"/>
                      <w:u w:val="single"/>
                    </w:rPr>
                    <w:t>mg/L</w:t>
                  </w:r>
                </w:p>
              </w:tc>
              <w:tc>
                <w:tcPr>
                  <w:tcW w:w="2571" w:type="dxa"/>
                  <w:vAlign w:val="top"/>
                </w:tcPr>
                <w:p>
                  <w:pPr>
                    <w:jc w:val="center"/>
                    <w:rPr>
                      <w:rFonts w:ascii="宋体" w:hAnsi="宋体" w:cs="宋体"/>
                      <w:i/>
                      <w:iCs/>
                      <w:szCs w:val="21"/>
                      <w:u w:val="single"/>
                    </w:rPr>
                  </w:pPr>
                  <w:r>
                    <w:rPr>
                      <w:rFonts w:hint="eastAsia" w:ascii="宋体" w:hAnsi="宋体" w:cs="宋体"/>
                      <w:i/>
                      <w:iCs/>
                      <w:szCs w:val="21"/>
                      <w:u w:val="single"/>
                    </w:rPr>
                    <w:t>未检出</w:t>
                  </w:r>
                </w:p>
              </w:tc>
            </w:tr>
            <w:tr>
              <w:trPr>
                <w:trHeight w:val="317" w:hRule="atLeast"/>
                <w:jc w:val="center"/>
              </w:trPr>
              <w:tc>
                <w:tcPr>
                  <w:tcW w:w="1981" w:type="dxa"/>
                  <w:vAlign w:val="center"/>
                </w:tcPr>
                <w:p>
                  <w:pPr>
                    <w:spacing w:line="0" w:lineRule="atLeast"/>
                    <w:jc w:val="center"/>
                    <w:rPr>
                      <w:rFonts w:ascii="宋体" w:hAnsi="宋体" w:cs="宋体"/>
                      <w:bCs/>
                      <w:i/>
                      <w:iCs/>
                      <w:szCs w:val="21"/>
                      <w:u w:val="single"/>
                    </w:rPr>
                  </w:pPr>
                  <w:r>
                    <w:rPr>
                      <w:rFonts w:hint="eastAsia" w:ascii="宋体" w:hAnsi="宋体" w:cs="宋体"/>
                      <w:bCs/>
                      <w:i/>
                      <w:iCs/>
                      <w:szCs w:val="21"/>
                      <w:u w:val="single"/>
                    </w:rPr>
                    <w:t>挥发酚</w:t>
                  </w:r>
                  <w:r>
                    <w:rPr>
                      <w:rFonts w:hint="eastAsia" w:ascii="宋体" w:hAnsi="宋体" w:cs="宋体"/>
                      <w:i/>
                      <w:iCs/>
                      <w:szCs w:val="21"/>
                      <w:u w:val="single"/>
                    </w:rPr>
                    <w:t>(mg/L)</w:t>
                  </w:r>
                </w:p>
              </w:tc>
              <w:tc>
                <w:tcPr>
                  <w:tcW w:w="1170" w:type="dxa"/>
                  <w:vAlign w:val="center"/>
                </w:tcPr>
                <w:p>
                  <w:pPr>
                    <w:spacing w:line="0" w:lineRule="atLeast"/>
                    <w:jc w:val="center"/>
                    <w:rPr>
                      <w:rFonts w:ascii="宋体" w:hAnsi="宋体" w:cs="宋体"/>
                      <w:i/>
                      <w:iCs/>
                      <w:szCs w:val="21"/>
                      <w:u w:val="single"/>
                    </w:rPr>
                  </w:pPr>
                  <w:r>
                    <w:rPr>
                      <w:rFonts w:hint="eastAsia" w:ascii="宋体" w:hAnsi="宋体" w:cs="宋体"/>
                      <w:i/>
                      <w:iCs/>
                      <w:szCs w:val="21"/>
                      <w:u w:val="single"/>
                    </w:rPr>
                    <w:t>0.002</w:t>
                  </w:r>
                </w:p>
              </w:tc>
              <w:tc>
                <w:tcPr>
                  <w:tcW w:w="1222" w:type="dxa"/>
                  <w:vAlign w:val="center"/>
                </w:tcPr>
                <w:p>
                  <w:pPr>
                    <w:jc w:val="center"/>
                    <w:rPr>
                      <w:rFonts w:ascii="宋体" w:hAnsi="宋体" w:cs="宋体"/>
                      <w:i/>
                      <w:iCs/>
                      <w:kern w:val="0"/>
                      <w:szCs w:val="21"/>
                      <w:u w:val="single"/>
                    </w:rPr>
                  </w:pPr>
                  <w:r>
                    <w:rPr>
                      <w:rFonts w:hint="eastAsia" w:ascii="宋体" w:hAnsi="宋体" w:cs="宋体"/>
                      <w:i/>
                      <w:iCs/>
                      <w:u w:val="single"/>
                    </w:rPr>
                    <w:t>0.0003L</w:t>
                  </w:r>
                </w:p>
              </w:tc>
              <w:tc>
                <w:tcPr>
                  <w:tcW w:w="1349" w:type="dxa"/>
                  <w:vAlign w:val="center"/>
                </w:tcPr>
                <w:p>
                  <w:pPr>
                    <w:jc w:val="center"/>
                    <w:rPr>
                      <w:rFonts w:ascii="宋体" w:hAnsi="宋体" w:cs="宋体"/>
                      <w:i/>
                      <w:iCs/>
                      <w:szCs w:val="21"/>
                      <w:u w:val="single"/>
                    </w:rPr>
                  </w:pPr>
                  <w:r>
                    <w:rPr>
                      <w:rFonts w:hint="eastAsia" w:ascii="宋体" w:hAnsi="宋体" w:cs="宋体"/>
                      <w:i/>
                      <w:iCs/>
                      <w:szCs w:val="21"/>
                      <w:u w:val="single"/>
                    </w:rPr>
                    <w:t>mg/L</w:t>
                  </w:r>
                </w:p>
              </w:tc>
              <w:tc>
                <w:tcPr>
                  <w:tcW w:w="2571" w:type="dxa"/>
                  <w:vAlign w:val="top"/>
                </w:tcPr>
                <w:p>
                  <w:pPr>
                    <w:jc w:val="center"/>
                    <w:rPr>
                      <w:rFonts w:ascii="宋体" w:hAnsi="宋体" w:cs="宋体"/>
                      <w:i/>
                      <w:iCs/>
                      <w:szCs w:val="21"/>
                      <w:u w:val="single"/>
                    </w:rPr>
                  </w:pPr>
                  <w:r>
                    <w:rPr>
                      <w:rFonts w:hint="eastAsia" w:ascii="宋体" w:hAnsi="宋体" w:cs="宋体"/>
                      <w:i/>
                      <w:iCs/>
                      <w:szCs w:val="21"/>
                      <w:u w:val="single"/>
                    </w:rPr>
                    <w:t>未检出</w:t>
                  </w:r>
                </w:p>
              </w:tc>
            </w:tr>
            <w:tr>
              <w:trPr>
                <w:trHeight w:val="317" w:hRule="atLeast"/>
                <w:jc w:val="center"/>
              </w:trPr>
              <w:tc>
                <w:tcPr>
                  <w:tcW w:w="1981" w:type="dxa"/>
                  <w:vAlign w:val="center"/>
                </w:tcPr>
                <w:p>
                  <w:pPr>
                    <w:spacing w:line="0" w:lineRule="atLeast"/>
                    <w:jc w:val="center"/>
                    <w:rPr>
                      <w:rFonts w:ascii="宋体" w:hAnsi="宋体" w:cs="宋体"/>
                      <w:bCs/>
                      <w:i/>
                      <w:iCs/>
                      <w:szCs w:val="21"/>
                      <w:u w:val="single"/>
                    </w:rPr>
                  </w:pPr>
                  <w:r>
                    <w:rPr>
                      <w:rFonts w:hint="eastAsia" w:ascii="宋体" w:hAnsi="宋体" w:cs="宋体"/>
                      <w:bCs/>
                      <w:i/>
                      <w:iCs/>
                      <w:szCs w:val="21"/>
                      <w:u w:val="single"/>
                    </w:rPr>
                    <w:t>总硬度</w:t>
                  </w:r>
                  <w:r>
                    <w:rPr>
                      <w:rFonts w:ascii="宋体" w:hAnsi="宋体" w:cs="宋体"/>
                      <w:bCs/>
                      <w:i/>
                      <w:iCs/>
                      <w:szCs w:val="21"/>
                      <w:u w:val="single"/>
                    </w:rPr>
                    <w:t>(mmo</w:t>
                  </w:r>
                  <w:r>
                    <w:rPr>
                      <w:rFonts w:hint="eastAsia" w:ascii="宋体" w:hAnsi="宋体" w:cs="宋体"/>
                      <w:bCs/>
                      <w:i/>
                      <w:iCs/>
                      <w:szCs w:val="21"/>
                      <w:u w:val="single"/>
                    </w:rPr>
                    <w:t>l/</w:t>
                  </w:r>
                  <w:r>
                    <w:rPr>
                      <w:rFonts w:ascii="宋体" w:hAnsi="宋体" w:cs="宋体"/>
                      <w:bCs/>
                      <w:i/>
                      <w:iCs/>
                      <w:szCs w:val="21"/>
                      <w:u w:val="single"/>
                    </w:rPr>
                    <w:t>L)</w:t>
                  </w:r>
                </w:p>
              </w:tc>
              <w:tc>
                <w:tcPr>
                  <w:tcW w:w="1170" w:type="dxa"/>
                  <w:vAlign w:val="center"/>
                </w:tcPr>
                <w:p>
                  <w:pPr>
                    <w:spacing w:line="0" w:lineRule="atLeast"/>
                    <w:jc w:val="center"/>
                    <w:rPr>
                      <w:rFonts w:ascii="宋体" w:hAnsi="宋体" w:cs="宋体"/>
                      <w:i/>
                      <w:iCs/>
                      <w:szCs w:val="21"/>
                      <w:u w:val="single"/>
                    </w:rPr>
                  </w:pPr>
                  <w:r>
                    <w:rPr>
                      <w:rFonts w:hint="eastAsia" w:ascii="宋体" w:hAnsi="宋体" w:cs="宋体"/>
                      <w:i/>
                      <w:iCs/>
                      <w:szCs w:val="21"/>
                      <w:u w:val="single"/>
                    </w:rPr>
                    <w:t>450</w:t>
                  </w:r>
                </w:p>
              </w:tc>
              <w:tc>
                <w:tcPr>
                  <w:tcW w:w="1222" w:type="dxa"/>
                  <w:vAlign w:val="center"/>
                </w:tcPr>
                <w:p>
                  <w:pPr>
                    <w:jc w:val="center"/>
                    <w:rPr>
                      <w:rFonts w:ascii="宋体" w:hAnsi="宋体" w:cs="宋体"/>
                      <w:i/>
                      <w:iCs/>
                      <w:kern w:val="0"/>
                      <w:szCs w:val="21"/>
                      <w:u w:val="single"/>
                    </w:rPr>
                  </w:pPr>
                  <w:r>
                    <w:rPr>
                      <w:rFonts w:hint="eastAsia" w:ascii="宋体" w:hAnsi="宋体" w:cs="宋体"/>
                      <w:i/>
                      <w:iCs/>
                      <w:u w:val="single"/>
                    </w:rPr>
                    <w:t>2.85</w:t>
                  </w:r>
                </w:p>
              </w:tc>
              <w:tc>
                <w:tcPr>
                  <w:tcW w:w="1349" w:type="dxa"/>
                  <w:vAlign w:val="center"/>
                </w:tcPr>
                <w:p>
                  <w:pPr>
                    <w:pStyle w:val="12"/>
                    <w:jc w:val="center"/>
                    <w:rPr>
                      <w:rFonts w:ascii="宋体" w:hAnsi="宋体" w:cs="宋体"/>
                      <w:i/>
                      <w:iCs/>
                      <w:sz w:val="21"/>
                      <w:szCs w:val="21"/>
                      <w:u w:val="single"/>
                    </w:rPr>
                  </w:pPr>
                  <w:r>
                    <w:rPr>
                      <w:rFonts w:hint="eastAsia" w:ascii="宋体" w:hAnsi="宋体" w:cs="宋体"/>
                      <w:i/>
                      <w:iCs/>
                      <w:sz w:val="21"/>
                      <w:szCs w:val="21"/>
                      <w:u w:val="single"/>
                    </w:rPr>
                    <w:t>mg/L</w:t>
                  </w:r>
                </w:p>
              </w:tc>
              <w:tc>
                <w:tcPr>
                  <w:tcW w:w="2571" w:type="dxa"/>
                  <w:vAlign w:val="top"/>
                </w:tcPr>
                <w:p>
                  <w:pPr>
                    <w:pStyle w:val="12"/>
                    <w:jc w:val="center"/>
                    <w:rPr>
                      <w:rFonts w:ascii="宋体" w:hAnsi="宋体" w:cs="宋体"/>
                      <w:i/>
                      <w:iCs/>
                      <w:sz w:val="21"/>
                      <w:szCs w:val="21"/>
                      <w:u w:val="single"/>
                    </w:rPr>
                  </w:pPr>
                  <w:r>
                    <w:rPr>
                      <w:rFonts w:hint="eastAsia" w:ascii="宋体" w:hAnsi="宋体" w:cs="宋体"/>
                      <w:i/>
                      <w:iCs/>
                      <w:sz w:val="21"/>
                      <w:szCs w:val="21"/>
                      <w:u w:val="single"/>
                    </w:rPr>
                    <w:t>0.006</w:t>
                  </w:r>
                </w:p>
              </w:tc>
            </w:tr>
            <w:tr>
              <w:trPr>
                <w:trHeight w:val="317" w:hRule="atLeast"/>
                <w:jc w:val="center"/>
              </w:trPr>
              <w:tc>
                <w:tcPr>
                  <w:tcW w:w="1981" w:type="dxa"/>
                  <w:vAlign w:val="center"/>
                </w:tcPr>
                <w:p>
                  <w:pPr>
                    <w:spacing w:line="0" w:lineRule="atLeast"/>
                    <w:jc w:val="center"/>
                    <w:rPr>
                      <w:rFonts w:ascii="宋体" w:hAnsi="宋体" w:cs="宋体"/>
                      <w:bCs/>
                      <w:i/>
                      <w:iCs/>
                      <w:szCs w:val="21"/>
                      <w:u w:val="single"/>
                    </w:rPr>
                  </w:pPr>
                  <w:r>
                    <w:rPr>
                      <w:rFonts w:hint="eastAsia" w:ascii="宋体" w:hAnsi="宋体" w:cs="宋体"/>
                      <w:bCs/>
                      <w:i/>
                      <w:iCs/>
                      <w:szCs w:val="21"/>
                      <w:u w:val="single"/>
                    </w:rPr>
                    <w:t>溶解性总固体</w:t>
                  </w:r>
                  <w:r>
                    <w:rPr>
                      <w:rFonts w:hint="eastAsia" w:ascii="宋体" w:hAnsi="宋体" w:cs="宋体"/>
                      <w:i/>
                      <w:iCs/>
                      <w:szCs w:val="21"/>
                      <w:u w:val="single"/>
                    </w:rPr>
                    <w:t>(mg/L)</w:t>
                  </w:r>
                </w:p>
              </w:tc>
              <w:tc>
                <w:tcPr>
                  <w:tcW w:w="1170" w:type="dxa"/>
                  <w:vAlign w:val="center"/>
                </w:tcPr>
                <w:p>
                  <w:pPr>
                    <w:spacing w:line="0" w:lineRule="atLeast"/>
                    <w:jc w:val="center"/>
                    <w:rPr>
                      <w:rFonts w:ascii="宋体" w:hAnsi="宋体" w:cs="宋体"/>
                      <w:i/>
                      <w:iCs/>
                      <w:szCs w:val="21"/>
                      <w:u w:val="single"/>
                    </w:rPr>
                  </w:pPr>
                  <w:r>
                    <w:rPr>
                      <w:rFonts w:hint="eastAsia" w:ascii="宋体" w:hAnsi="宋体" w:cs="宋体"/>
                      <w:i/>
                      <w:iCs/>
                      <w:szCs w:val="21"/>
                      <w:u w:val="single"/>
                    </w:rPr>
                    <w:t>1000</w:t>
                  </w:r>
                </w:p>
              </w:tc>
              <w:tc>
                <w:tcPr>
                  <w:tcW w:w="1222" w:type="dxa"/>
                  <w:vAlign w:val="center"/>
                </w:tcPr>
                <w:p>
                  <w:pPr>
                    <w:jc w:val="center"/>
                    <w:rPr>
                      <w:rFonts w:ascii="宋体" w:hAnsi="宋体" w:cs="宋体"/>
                      <w:i/>
                      <w:iCs/>
                      <w:kern w:val="0"/>
                      <w:szCs w:val="21"/>
                      <w:u w:val="single"/>
                    </w:rPr>
                  </w:pPr>
                  <w:r>
                    <w:rPr>
                      <w:rFonts w:hint="eastAsia" w:ascii="宋体" w:hAnsi="宋体" w:cs="宋体"/>
                      <w:i/>
                      <w:iCs/>
                      <w:u w:val="single"/>
                    </w:rPr>
                    <w:t>418</w:t>
                  </w:r>
                </w:p>
              </w:tc>
              <w:tc>
                <w:tcPr>
                  <w:tcW w:w="1349" w:type="dxa"/>
                  <w:vAlign w:val="center"/>
                </w:tcPr>
                <w:p>
                  <w:pPr>
                    <w:pStyle w:val="12"/>
                    <w:jc w:val="center"/>
                    <w:rPr>
                      <w:rFonts w:ascii="宋体" w:hAnsi="宋体" w:cs="宋体"/>
                      <w:i/>
                      <w:iCs/>
                      <w:sz w:val="21"/>
                      <w:szCs w:val="21"/>
                      <w:u w:val="single"/>
                    </w:rPr>
                  </w:pPr>
                  <w:r>
                    <w:rPr>
                      <w:rFonts w:hint="eastAsia" w:ascii="宋体" w:hAnsi="宋体" w:cs="宋体"/>
                      <w:i/>
                      <w:iCs/>
                      <w:sz w:val="21"/>
                      <w:szCs w:val="21"/>
                      <w:u w:val="single"/>
                    </w:rPr>
                    <w:t>mg/L</w:t>
                  </w:r>
                </w:p>
              </w:tc>
              <w:tc>
                <w:tcPr>
                  <w:tcW w:w="2571" w:type="dxa"/>
                  <w:vAlign w:val="top"/>
                </w:tcPr>
                <w:p>
                  <w:pPr>
                    <w:pStyle w:val="12"/>
                    <w:jc w:val="center"/>
                    <w:rPr>
                      <w:rFonts w:ascii="宋体" w:hAnsi="宋体" w:cs="宋体"/>
                      <w:i/>
                      <w:iCs/>
                      <w:sz w:val="21"/>
                      <w:szCs w:val="21"/>
                      <w:u w:val="single"/>
                    </w:rPr>
                  </w:pPr>
                  <w:r>
                    <w:rPr>
                      <w:rFonts w:hint="eastAsia" w:ascii="宋体" w:hAnsi="宋体" w:cs="宋体"/>
                      <w:i/>
                      <w:iCs/>
                      <w:sz w:val="21"/>
                      <w:szCs w:val="21"/>
                      <w:u w:val="single"/>
                    </w:rPr>
                    <w:t>0.418</w:t>
                  </w:r>
                </w:p>
              </w:tc>
            </w:tr>
            <w:tr>
              <w:trPr>
                <w:trHeight w:val="317" w:hRule="atLeast"/>
                <w:jc w:val="center"/>
              </w:trPr>
              <w:tc>
                <w:tcPr>
                  <w:tcW w:w="1981" w:type="dxa"/>
                  <w:vAlign w:val="center"/>
                </w:tcPr>
                <w:p>
                  <w:pPr>
                    <w:spacing w:line="0" w:lineRule="atLeast"/>
                    <w:jc w:val="center"/>
                    <w:rPr>
                      <w:rFonts w:ascii="宋体" w:hAnsi="宋体" w:cs="宋体"/>
                      <w:bCs/>
                      <w:i/>
                      <w:iCs/>
                      <w:szCs w:val="21"/>
                      <w:u w:val="single"/>
                    </w:rPr>
                  </w:pPr>
                  <w:r>
                    <w:rPr>
                      <w:rFonts w:hint="eastAsia" w:ascii="宋体" w:hAnsi="宋体" w:cs="宋体"/>
                      <w:bCs/>
                      <w:i/>
                      <w:iCs/>
                      <w:szCs w:val="21"/>
                      <w:u w:val="single"/>
                    </w:rPr>
                    <w:t>高锰酸盐指数（以o</w:t>
                  </w:r>
                  <w:r>
                    <w:rPr>
                      <w:rFonts w:hint="eastAsia" w:ascii="宋体" w:hAnsi="宋体" w:cs="宋体"/>
                      <w:bCs/>
                      <w:i/>
                      <w:iCs/>
                      <w:szCs w:val="21"/>
                      <w:u w:val="single"/>
                      <w:vertAlign w:val="subscript"/>
                    </w:rPr>
                    <w:t>2</w:t>
                  </w:r>
                  <w:r>
                    <w:rPr>
                      <w:rFonts w:hint="eastAsia" w:ascii="宋体" w:hAnsi="宋体" w:cs="宋体"/>
                      <w:bCs/>
                      <w:i/>
                      <w:iCs/>
                      <w:szCs w:val="21"/>
                      <w:u w:val="single"/>
                    </w:rPr>
                    <w:t>计）</w:t>
                  </w:r>
                  <w:r>
                    <w:rPr>
                      <w:rFonts w:hint="eastAsia" w:ascii="宋体" w:hAnsi="宋体" w:cs="宋体"/>
                      <w:i/>
                      <w:iCs/>
                      <w:szCs w:val="21"/>
                      <w:u w:val="single"/>
                    </w:rPr>
                    <w:t>(mg/L)</w:t>
                  </w:r>
                </w:p>
              </w:tc>
              <w:tc>
                <w:tcPr>
                  <w:tcW w:w="1170" w:type="dxa"/>
                  <w:vAlign w:val="center"/>
                </w:tcPr>
                <w:p>
                  <w:pPr>
                    <w:spacing w:line="0" w:lineRule="atLeast"/>
                    <w:jc w:val="center"/>
                    <w:rPr>
                      <w:rFonts w:ascii="宋体" w:hAnsi="宋体" w:cs="宋体"/>
                      <w:i/>
                      <w:iCs/>
                      <w:szCs w:val="21"/>
                      <w:u w:val="single"/>
                    </w:rPr>
                  </w:pPr>
                  <w:r>
                    <w:rPr>
                      <w:rFonts w:hint="eastAsia" w:ascii="宋体" w:hAnsi="宋体" w:cs="宋体"/>
                      <w:i/>
                      <w:iCs/>
                      <w:szCs w:val="21"/>
                      <w:u w:val="single"/>
                    </w:rPr>
                    <w:t>3.0</w:t>
                  </w:r>
                </w:p>
              </w:tc>
              <w:tc>
                <w:tcPr>
                  <w:tcW w:w="1222" w:type="dxa"/>
                  <w:vAlign w:val="center"/>
                </w:tcPr>
                <w:p>
                  <w:pPr>
                    <w:jc w:val="center"/>
                    <w:rPr>
                      <w:rFonts w:ascii="宋体" w:hAnsi="宋体" w:cs="宋体"/>
                      <w:i/>
                      <w:iCs/>
                      <w:szCs w:val="21"/>
                      <w:u w:val="single"/>
                    </w:rPr>
                  </w:pPr>
                  <w:r>
                    <w:rPr>
                      <w:rFonts w:hint="eastAsia" w:ascii="宋体" w:hAnsi="宋体" w:cs="宋体"/>
                      <w:i/>
                      <w:iCs/>
                      <w:u w:val="single"/>
                    </w:rPr>
                    <w:t>1.6</w:t>
                  </w:r>
                </w:p>
              </w:tc>
              <w:tc>
                <w:tcPr>
                  <w:tcW w:w="1349" w:type="dxa"/>
                  <w:vAlign w:val="center"/>
                </w:tcPr>
                <w:p>
                  <w:pPr>
                    <w:widowControl/>
                    <w:jc w:val="center"/>
                    <w:textAlignment w:val="center"/>
                    <w:rPr>
                      <w:rFonts w:ascii="宋体" w:hAnsi="宋体" w:cs="宋体"/>
                      <w:i/>
                      <w:iCs/>
                      <w:kern w:val="0"/>
                      <w:szCs w:val="21"/>
                      <w:u w:val="single"/>
                    </w:rPr>
                  </w:pPr>
                  <w:r>
                    <w:rPr>
                      <w:rFonts w:hint="eastAsia" w:ascii="宋体" w:hAnsi="宋体" w:cs="宋体"/>
                      <w:i/>
                      <w:iCs/>
                      <w:szCs w:val="21"/>
                      <w:u w:val="single"/>
                    </w:rPr>
                    <w:t>mg/L</w:t>
                  </w:r>
                </w:p>
              </w:tc>
              <w:tc>
                <w:tcPr>
                  <w:tcW w:w="2571" w:type="dxa"/>
                  <w:vAlign w:val="top"/>
                </w:tcPr>
                <w:p>
                  <w:pPr>
                    <w:widowControl/>
                    <w:jc w:val="center"/>
                    <w:textAlignment w:val="center"/>
                    <w:rPr>
                      <w:rFonts w:ascii="宋体" w:hAnsi="宋体" w:cs="宋体"/>
                      <w:i/>
                      <w:iCs/>
                      <w:szCs w:val="21"/>
                      <w:u w:val="single"/>
                    </w:rPr>
                  </w:pPr>
                  <w:r>
                    <w:rPr>
                      <w:rFonts w:hint="eastAsia" w:ascii="宋体" w:hAnsi="宋体" w:cs="宋体"/>
                      <w:i/>
                      <w:iCs/>
                      <w:szCs w:val="21"/>
                      <w:u w:val="single"/>
                    </w:rPr>
                    <w:t>0.533</w:t>
                  </w:r>
                </w:p>
              </w:tc>
            </w:tr>
            <w:tr>
              <w:trPr>
                <w:trHeight w:val="317" w:hRule="atLeast"/>
                <w:jc w:val="center"/>
              </w:trPr>
              <w:tc>
                <w:tcPr>
                  <w:tcW w:w="1981" w:type="dxa"/>
                  <w:vAlign w:val="center"/>
                </w:tcPr>
                <w:p>
                  <w:pPr>
                    <w:jc w:val="center"/>
                  </w:pPr>
                  <w:r>
                    <w:rPr>
                      <w:rFonts w:hint="eastAsia" w:ascii="宋体" w:hAnsi="宋体" w:cs="宋体"/>
                      <w:i/>
                      <w:iCs/>
                      <w:u w:val="single"/>
                    </w:rPr>
                    <w:t>总大肠菌群(MNP/100mL)</w:t>
                  </w:r>
                </w:p>
              </w:tc>
              <w:tc>
                <w:tcPr>
                  <w:tcW w:w="1170" w:type="dxa"/>
                  <w:vAlign w:val="center"/>
                </w:tcPr>
                <w:p>
                  <w:pPr>
                    <w:spacing w:line="0" w:lineRule="atLeast"/>
                    <w:jc w:val="center"/>
                    <w:rPr>
                      <w:rFonts w:ascii="宋体" w:hAnsi="宋体" w:cs="宋体"/>
                      <w:i/>
                      <w:iCs/>
                      <w:szCs w:val="21"/>
                      <w:u w:val="single"/>
                    </w:rPr>
                  </w:pPr>
                  <w:r>
                    <w:rPr>
                      <w:rFonts w:hint="eastAsia" w:ascii="宋体" w:hAnsi="宋体" w:cs="宋体"/>
                      <w:i/>
                      <w:iCs/>
                      <w:szCs w:val="21"/>
                      <w:u w:val="single"/>
                    </w:rPr>
                    <w:t>≤3.0</w:t>
                  </w:r>
                </w:p>
              </w:tc>
              <w:tc>
                <w:tcPr>
                  <w:tcW w:w="1222" w:type="dxa"/>
                  <w:vAlign w:val="center"/>
                </w:tcPr>
                <w:p>
                  <w:pPr>
                    <w:widowControl/>
                    <w:adjustRightInd w:val="0"/>
                    <w:snapToGrid w:val="0"/>
                    <w:jc w:val="center"/>
                    <w:rPr>
                      <w:rFonts w:ascii="宋体" w:hAnsi="宋体" w:cs="宋体"/>
                      <w:i/>
                      <w:iCs/>
                      <w:szCs w:val="21"/>
                      <w:u w:val="single"/>
                    </w:rPr>
                  </w:pPr>
                  <w:r>
                    <w:rPr>
                      <w:rFonts w:hint="eastAsia" w:ascii="宋体" w:hAnsi="宋体" w:cs="宋体"/>
                      <w:i/>
                      <w:iCs/>
                      <w:szCs w:val="21"/>
                      <w:u w:val="single"/>
                    </w:rPr>
                    <w:t>＜2</w:t>
                  </w:r>
                </w:p>
              </w:tc>
              <w:tc>
                <w:tcPr>
                  <w:tcW w:w="1349" w:type="dxa"/>
                  <w:vAlign w:val="center"/>
                </w:tcPr>
                <w:p>
                  <w:pPr>
                    <w:jc w:val="center"/>
                    <w:rPr>
                      <w:rFonts w:ascii="宋体" w:hAnsi="宋体" w:cs="宋体"/>
                      <w:i/>
                      <w:iCs/>
                      <w:szCs w:val="21"/>
                      <w:u w:val="single"/>
                    </w:rPr>
                  </w:pPr>
                  <w:r>
                    <w:rPr>
                      <w:rFonts w:hint="eastAsia" w:ascii="宋体" w:hAnsi="宋体" w:cs="宋体"/>
                      <w:i/>
                      <w:iCs/>
                      <w:szCs w:val="21"/>
                      <w:u w:val="single"/>
                    </w:rPr>
                    <w:t>MPN/100mL</w:t>
                  </w:r>
                </w:p>
              </w:tc>
              <w:tc>
                <w:tcPr>
                  <w:tcW w:w="2571" w:type="dxa"/>
                  <w:vAlign w:val="top"/>
                </w:tcPr>
                <w:p>
                  <w:pPr>
                    <w:jc w:val="center"/>
                    <w:rPr>
                      <w:rFonts w:ascii="宋体" w:hAnsi="宋体" w:cs="宋体"/>
                      <w:i/>
                      <w:iCs/>
                      <w:szCs w:val="21"/>
                      <w:u w:val="single"/>
                    </w:rPr>
                  </w:pPr>
                  <w:r>
                    <w:rPr>
                      <w:rFonts w:hint="eastAsia" w:ascii="宋体" w:hAnsi="宋体" w:cs="宋体"/>
                      <w:i/>
                      <w:iCs/>
                      <w:szCs w:val="21"/>
                      <w:u w:val="single"/>
                    </w:rPr>
                    <w:t>≤0.666</w:t>
                  </w:r>
                </w:p>
              </w:tc>
            </w:tr>
            <w:tr>
              <w:trPr>
                <w:trHeight w:val="317" w:hRule="atLeast"/>
                <w:jc w:val="center"/>
              </w:trPr>
              <w:tc>
                <w:tcPr>
                  <w:tcW w:w="1981" w:type="dxa"/>
                  <w:vAlign w:val="center"/>
                </w:tcPr>
                <w:p>
                  <w:pPr>
                    <w:jc w:val="center"/>
                    <w:rPr>
                      <w:rFonts w:ascii="宋体" w:hAnsi="宋体" w:cs="宋体"/>
                      <w:i/>
                      <w:iCs/>
                      <w:u w:val="single"/>
                    </w:rPr>
                  </w:pPr>
                  <w:r>
                    <w:rPr>
                      <w:rFonts w:hint="eastAsia" w:ascii="宋体" w:hAnsi="宋体" w:cs="宋体"/>
                      <w:i/>
                      <w:iCs/>
                      <w:u w:val="single"/>
                    </w:rPr>
                    <w:t>菌落总数(CFU/mL)</w:t>
                  </w:r>
                </w:p>
              </w:tc>
              <w:tc>
                <w:tcPr>
                  <w:tcW w:w="1170" w:type="dxa"/>
                  <w:vAlign w:val="center"/>
                </w:tcPr>
                <w:p>
                  <w:pPr>
                    <w:spacing w:line="0" w:lineRule="atLeast"/>
                    <w:jc w:val="center"/>
                    <w:rPr>
                      <w:rFonts w:ascii="宋体" w:hAnsi="宋体" w:cs="宋体"/>
                      <w:i/>
                      <w:iCs/>
                      <w:szCs w:val="21"/>
                      <w:u w:val="single"/>
                    </w:rPr>
                  </w:pPr>
                  <w:r>
                    <w:rPr>
                      <w:rFonts w:hint="eastAsia" w:ascii="宋体" w:hAnsi="宋体" w:cs="宋体"/>
                      <w:i/>
                      <w:iCs/>
                      <w:szCs w:val="21"/>
                      <w:u w:val="single"/>
                    </w:rPr>
                    <w:t>100</w:t>
                  </w:r>
                </w:p>
              </w:tc>
              <w:tc>
                <w:tcPr>
                  <w:tcW w:w="1222" w:type="dxa"/>
                  <w:vAlign w:val="center"/>
                </w:tcPr>
                <w:p>
                  <w:pPr>
                    <w:widowControl/>
                    <w:adjustRightInd w:val="0"/>
                    <w:snapToGrid w:val="0"/>
                    <w:jc w:val="center"/>
                    <w:rPr>
                      <w:rFonts w:ascii="宋体" w:hAnsi="宋体" w:cs="宋体"/>
                      <w:i/>
                      <w:iCs/>
                      <w:szCs w:val="21"/>
                      <w:u w:val="single"/>
                    </w:rPr>
                  </w:pPr>
                  <w:r>
                    <w:rPr>
                      <w:rFonts w:hint="eastAsia" w:ascii="宋体" w:hAnsi="宋体" w:cs="宋体"/>
                      <w:i/>
                      <w:iCs/>
                      <w:szCs w:val="21"/>
                      <w:u w:val="single"/>
                    </w:rPr>
                    <w:t>44</w:t>
                  </w:r>
                </w:p>
              </w:tc>
              <w:tc>
                <w:tcPr>
                  <w:tcW w:w="1349" w:type="dxa"/>
                  <w:vAlign w:val="center"/>
                </w:tcPr>
                <w:p>
                  <w:pPr>
                    <w:jc w:val="center"/>
                    <w:rPr>
                      <w:rFonts w:ascii="宋体" w:hAnsi="宋体" w:cs="宋体"/>
                      <w:i/>
                      <w:iCs/>
                      <w:szCs w:val="21"/>
                      <w:u w:val="single"/>
                    </w:rPr>
                  </w:pPr>
                  <w:r>
                    <w:rPr>
                      <w:rFonts w:hint="eastAsia" w:ascii="宋体" w:hAnsi="宋体" w:cs="宋体"/>
                      <w:i/>
                      <w:iCs/>
                      <w:szCs w:val="21"/>
                      <w:u w:val="single"/>
                    </w:rPr>
                    <w:t>CFU/mL</w:t>
                  </w:r>
                </w:p>
              </w:tc>
              <w:tc>
                <w:tcPr>
                  <w:tcW w:w="2571" w:type="dxa"/>
                  <w:vAlign w:val="top"/>
                </w:tcPr>
                <w:p>
                  <w:pPr>
                    <w:jc w:val="center"/>
                    <w:rPr>
                      <w:rFonts w:ascii="宋体" w:hAnsi="宋体" w:cs="宋体"/>
                      <w:i/>
                      <w:iCs/>
                      <w:szCs w:val="21"/>
                      <w:u w:val="single"/>
                    </w:rPr>
                  </w:pPr>
                  <w:r>
                    <w:rPr>
                      <w:rFonts w:hint="eastAsia" w:ascii="宋体" w:hAnsi="宋体" w:cs="宋体"/>
                      <w:i/>
                      <w:iCs/>
                      <w:szCs w:val="21"/>
                      <w:u w:val="single"/>
                    </w:rPr>
                    <w:t>0.44</w:t>
                  </w:r>
                </w:p>
              </w:tc>
            </w:tr>
            <w:tr>
              <w:trPr>
                <w:trHeight w:val="317" w:hRule="atLeast"/>
                <w:jc w:val="center"/>
              </w:trPr>
              <w:tc>
                <w:tcPr>
                  <w:tcW w:w="1981" w:type="dxa"/>
                  <w:vAlign w:val="center"/>
                </w:tcPr>
                <w:p>
                  <w:pPr>
                    <w:spacing w:line="0" w:lineRule="atLeast"/>
                    <w:jc w:val="center"/>
                    <w:rPr>
                      <w:rFonts w:ascii="宋体" w:hAnsi="宋体" w:cs="宋体"/>
                      <w:bCs/>
                      <w:i/>
                      <w:iCs/>
                      <w:szCs w:val="21"/>
                      <w:u w:val="single"/>
                    </w:rPr>
                  </w:pPr>
                  <w:r>
                    <w:rPr>
                      <w:rFonts w:hint="eastAsia" w:ascii="宋体" w:hAnsi="宋体" w:cs="宋体"/>
                      <w:bCs/>
                      <w:i/>
                      <w:iCs/>
                      <w:szCs w:val="21"/>
                      <w:u w:val="single"/>
                    </w:rPr>
                    <w:t>铅</w:t>
                  </w:r>
                  <w:r>
                    <w:rPr>
                      <w:rFonts w:hint="eastAsia" w:ascii="宋体" w:hAnsi="宋体" w:cs="宋体"/>
                      <w:i/>
                      <w:iCs/>
                      <w:szCs w:val="21"/>
                      <w:u w:val="single"/>
                    </w:rPr>
                    <w:t>(mg/L)</w:t>
                  </w:r>
                </w:p>
              </w:tc>
              <w:tc>
                <w:tcPr>
                  <w:tcW w:w="1170" w:type="dxa"/>
                  <w:vAlign w:val="center"/>
                </w:tcPr>
                <w:p>
                  <w:pPr>
                    <w:spacing w:line="0" w:lineRule="atLeast"/>
                    <w:jc w:val="center"/>
                    <w:rPr>
                      <w:rFonts w:ascii="宋体" w:hAnsi="宋体" w:cs="宋体"/>
                      <w:i/>
                      <w:iCs/>
                      <w:szCs w:val="21"/>
                      <w:u w:val="single"/>
                    </w:rPr>
                  </w:pPr>
                  <w:r>
                    <w:rPr>
                      <w:rFonts w:hint="eastAsia" w:ascii="宋体" w:hAnsi="宋体" w:cs="宋体"/>
                      <w:i/>
                      <w:iCs/>
                      <w:szCs w:val="21"/>
                      <w:u w:val="single"/>
                    </w:rPr>
                    <w:t>0.01</w:t>
                  </w:r>
                </w:p>
              </w:tc>
              <w:tc>
                <w:tcPr>
                  <w:tcW w:w="1222" w:type="dxa"/>
                  <w:vAlign w:val="center"/>
                </w:tcPr>
                <w:p>
                  <w:pPr>
                    <w:widowControl/>
                    <w:adjustRightInd w:val="0"/>
                    <w:snapToGrid w:val="0"/>
                    <w:jc w:val="center"/>
                    <w:rPr>
                      <w:rFonts w:ascii="宋体" w:hAnsi="宋体" w:cs="宋体"/>
                      <w:i/>
                      <w:iCs/>
                      <w:szCs w:val="21"/>
                      <w:u w:val="single"/>
                    </w:rPr>
                  </w:pPr>
                  <w:r>
                    <w:rPr>
                      <w:rFonts w:hint="eastAsia" w:ascii="宋体" w:hAnsi="宋体" w:cs="宋体"/>
                      <w:i/>
                      <w:iCs/>
                      <w:szCs w:val="21"/>
                      <w:u w:val="single"/>
                    </w:rPr>
                    <w:t>0.2L</w:t>
                  </w:r>
                </w:p>
              </w:tc>
              <w:tc>
                <w:tcPr>
                  <w:tcW w:w="1349" w:type="dxa"/>
                  <w:vAlign w:val="center"/>
                </w:tcPr>
                <w:p>
                  <w:pPr>
                    <w:pStyle w:val="12"/>
                    <w:jc w:val="center"/>
                    <w:rPr>
                      <w:rFonts w:ascii="宋体" w:hAnsi="宋体" w:cs="宋体"/>
                      <w:i/>
                      <w:iCs/>
                      <w:sz w:val="21"/>
                      <w:szCs w:val="21"/>
                      <w:u w:val="single"/>
                    </w:rPr>
                  </w:pPr>
                  <w:r>
                    <w:rPr>
                      <w:rFonts w:hint="eastAsia" w:ascii="宋体" w:hAnsi="宋体" w:cs="宋体"/>
                      <w:i/>
                      <w:iCs/>
                      <w:sz w:val="21"/>
                      <w:szCs w:val="21"/>
                      <w:u w:val="single"/>
                    </w:rPr>
                    <w:t>µg/L</w:t>
                  </w:r>
                </w:p>
              </w:tc>
              <w:tc>
                <w:tcPr>
                  <w:tcW w:w="2571" w:type="dxa"/>
                  <w:vAlign w:val="top"/>
                </w:tcPr>
                <w:p>
                  <w:pPr>
                    <w:pStyle w:val="12"/>
                    <w:jc w:val="center"/>
                    <w:rPr>
                      <w:rFonts w:ascii="宋体" w:hAnsi="宋体" w:cs="宋体"/>
                      <w:i/>
                      <w:iCs/>
                      <w:sz w:val="21"/>
                      <w:szCs w:val="21"/>
                      <w:u w:val="single"/>
                    </w:rPr>
                  </w:pPr>
                  <w:r>
                    <w:rPr>
                      <w:rFonts w:hint="eastAsia" w:ascii="宋体" w:hAnsi="宋体" w:cs="宋体"/>
                      <w:i/>
                      <w:iCs/>
                      <w:sz w:val="21"/>
                      <w:szCs w:val="21"/>
                      <w:u w:val="single"/>
                    </w:rPr>
                    <w:t>未检出</w:t>
                  </w:r>
                </w:p>
              </w:tc>
            </w:tr>
            <w:tr>
              <w:trPr>
                <w:trHeight w:val="428" w:hRule="atLeast"/>
                <w:jc w:val="center"/>
              </w:trPr>
              <w:tc>
                <w:tcPr>
                  <w:tcW w:w="1981" w:type="dxa"/>
                  <w:vAlign w:val="center"/>
                </w:tcPr>
                <w:p>
                  <w:pPr>
                    <w:pStyle w:val="30"/>
                    <w:adjustRightInd/>
                    <w:spacing w:line="0" w:lineRule="atLeast"/>
                    <w:jc w:val="center"/>
                    <w:rPr>
                      <w:rFonts w:ascii="宋体" w:hAnsi="宋体" w:eastAsia="宋体" w:cs="宋体"/>
                      <w:i/>
                      <w:iCs/>
                      <w:color w:val="auto"/>
                      <w:sz w:val="21"/>
                      <w:szCs w:val="21"/>
                      <w:u w:val="single"/>
                    </w:rPr>
                  </w:pPr>
                  <w:r>
                    <w:rPr>
                      <w:rFonts w:hint="eastAsia" w:ascii="宋体" w:hAnsi="宋体" w:eastAsia="宋体" w:cs="宋体"/>
                      <w:i/>
                      <w:iCs/>
                      <w:color w:val="auto"/>
                      <w:sz w:val="21"/>
                      <w:szCs w:val="21"/>
                      <w:u w:val="single"/>
                    </w:rPr>
                    <w:t>石油类</w:t>
                  </w:r>
                  <w:r>
                    <w:rPr>
                      <w:rFonts w:hint="eastAsia" w:ascii="宋体" w:hAnsi="宋体" w:cs="宋体"/>
                      <w:i/>
                      <w:iCs/>
                      <w:color w:val="auto"/>
                      <w:szCs w:val="21"/>
                      <w:u w:val="single"/>
                    </w:rPr>
                    <w:t>(mg/L)</w:t>
                  </w:r>
                </w:p>
              </w:tc>
              <w:tc>
                <w:tcPr>
                  <w:tcW w:w="1170" w:type="dxa"/>
                  <w:vAlign w:val="center"/>
                </w:tcPr>
                <w:p>
                  <w:pPr>
                    <w:spacing w:line="0" w:lineRule="atLeast"/>
                    <w:jc w:val="center"/>
                    <w:rPr>
                      <w:rFonts w:ascii="宋体" w:hAnsi="宋体" w:cs="宋体"/>
                      <w:i/>
                      <w:iCs/>
                      <w:szCs w:val="21"/>
                      <w:u w:val="single"/>
                    </w:rPr>
                  </w:pPr>
                  <w:r>
                    <w:rPr>
                      <w:rFonts w:hint="eastAsia" w:ascii="宋体" w:hAnsi="宋体" w:cs="宋体"/>
                      <w:i/>
                      <w:iCs/>
                      <w:szCs w:val="21"/>
                      <w:u w:val="single"/>
                    </w:rPr>
                    <w:t>0.05</w:t>
                  </w:r>
                </w:p>
              </w:tc>
              <w:tc>
                <w:tcPr>
                  <w:tcW w:w="1222" w:type="dxa"/>
                  <w:vAlign w:val="center"/>
                </w:tcPr>
                <w:p>
                  <w:pPr>
                    <w:widowControl/>
                    <w:wordWrap w:val="0"/>
                    <w:jc w:val="center"/>
                    <w:rPr>
                      <w:rFonts w:ascii="宋体" w:hAnsi="宋体" w:cs="宋体"/>
                      <w:i/>
                      <w:iCs/>
                      <w:kern w:val="0"/>
                      <w:szCs w:val="21"/>
                      <w:u w:val="single"/>
                    </w:rPr>
                  </w:pPr>
                  <w:r>
                    <w:rPr>
                      <w:rFonts w:hint="eastAsia" w:ascii="宋体" w:hAnsi="宋体" w:cs="宋体"/>
                      <w:i/>
                      <w:iCs/>
                      <w:kern w:val="0"/>
                      <w:szCs w:val="21"/>
                      <w:u w:val="single"/>
                    </w:rPr>
                    <w:t>0.01L</w:t>
                  </w:r>
                </w:p>
              </w:tc>
              <w:tc>
                <w:tcPr>
                  <w:tcW w:w="1349" w:type="dxa"/>
                  <w:vAlign w:val="center"/>
                </w:tcPr>
                <w:p>
                  <w:pPr>
                    <w:pStyle w:val="12"/>
                    <w:jc w:val="center"/>
                    <w:rPr>
                      <w:rFonts w:ascii="宋体" w:hAnsi="宋体" w:cs="宋体"/>
                      <w:i/>
                      <w:iCs/>
                      <w:sz w:val="21"/>
                      <w:szCs w:val="21"/>
                      <w:u w:val="single"/>
                    </w:rPr>
                  </w:pPr>
                  <w:r>
                    <w:rPr>
                      <w:rFonts w:hint="eastAsia" w:ascii="宋体" w:hAnsi="宋体" w:cs="宋体"/>
                      <w:i/>
                      <w:iCs/>
                      <w:sz w:val="21"/>
                      <w:szCs w:val="21"/>
                      <w:u w:val="single"/>
                    </w:rPr>
                    <w:t>mg/L</w:t>
                  </w:r>
                </w:p>
              </w:tc>
              <w:tc>
                <w:tcPr>
                  <w:tcW w:w="2571" w:type="dxa"/>
                  <w:vAlign w:val="top"/>
                </w:tcPr>
                <w:p>
                  <w:pPr>
                    <w:pStyle w:val="12"/>
                    <w:jc w:val="center"/>
                    <w:rPr>
                      <w:rFonts w:ascii="宋体" w:hAnsi="宋体" w:cs="宋体"/>
                      <w:i/>
                      <w:iCs/>
                      <w:sz w:val="21"/>
                      <w:szCs w:val="21"/>
                      <w:u w:val="single"/>
                    </w:rPr>
                  </w:pPr>
                  <w:r>
                    <w:rPr>
                      <w:rFonts w:hint="eastAsia" w:ascii="宋体" w:hAnsi="宋体" w:cs="宋体"/>
                      <w:i/>
                      <w:iCs/>
                      <w:sz w:val="21"/>
                      <w:szCs w:val="21"/>
                      <w:u w:val="single"/>
                    </w:rPr>
                    <w:t>未检出</w:t>
                  </w:r>
                </w:p>
              </w:tc>
            </w:tr>
          </w:tbl>
          <w:p>
            <w:pPr>
              <w:pStyle w:val="13"/>
              <w:spacing w:line="360" w:lineRule="auto"/>
              <w:ind w:firstLine="480" w:firstLineChars="200"/>
              <w:jc w:val="both"/>
              <w:rPr>
                <w:rFonts w:ascii="宋体" w:hAnsi="宋体" w:cs="宋体"/>
                <w:i/>
                <w:iCs/>
                <w:sz w:val="24"/>
                <w:highlight w:val="yellow"/>
                <w:u w:val="single"/>
              </w:rPr>
            </w:pPr>
          </w:p>
          <w:p>
            <w:pPr>
              <w:pStyle w:val="13"/>
              <w:spacing w:line="360" w:lineRule="auto"/>
              <w:ind w:firstLine="480" w:firstLineChars="200"/>
              <w:jc w:val="both"/>
              <w:rPr>
                <w:rFonts w:ascii="宋体" w:hAnsi="宋体" w:cs="宋体"/>
                <w:i/>
                <w:iCs/>
                <w:sz w:val="32"/>
                <w:szCs w:val="22"/>
                <w:u w:val="single"/>
              </w:rPr>
            </w:pPr>
            <w:r>
              <w:rPr>
                <w:i/>
                <w:iCs/>
                <w:sz w:val="24"/>
                <w:szCs w:val="22"/>
                <w:u w:val="single"/>
              </w:rPr>
              <w:t>选取 K⁺、Na⁺、Ca²⁺、Mg²⁺、CO₃²⁻、HCO₃⁻、Cl⁻、SO₄²⁻ 八大离子作为主要分析对象，采用电荷当量法进行化学平衡分析。</w:t>
            </w:r>
          </w:p>
          <w:p>
            <w:pPr>
              <w:pStyle w:val="13"/>
              <w:spacing w:line="360" w:lineRule="auto"/>
              <w:ind w:firstLine="482" w:firstLineChars="200"/>
              <w:jc w:val="center"/>
              <w:rPr>
                <w:rFonts w:ascii="宋体" w:hAnsi="宋体" w:cs="宋体"/>
                <w:i/>
                <w:iCs/>
                <w:sz w:val="24"/>
                <w:u w:val="single"/>
              </w:rPr>
            </w:pPr>
            <w:r>
              <w:rPr>
                <w:rFonts w:hint="eastAsia"/>
                <w:b/>
                <w:i/>
                <w:iCs/>
                <w:sz w:val="24"/>
                <w:u w:val="single"/>
              </w:rPr>
              <w:t>表3-7  地下水</w:t>
            </w:r>
            <w:r>
              <w:rPr>
                <w:rFonts w:hint="eastAsia"/>
                <w:b/>
                <w:i/>
                <w:iCs/>
                <w:kern w:val="2"/>
                <w:sz w:val="24"/>
                <w:szCs w:val="24"/>
                <w:u w:val="single"/>
              </w:rPr>
              <w:t>八大离子化学平衡分析结果表</w:t>
            </w:r>
          </w:p>
          <w:tbl>
            <w:tblPr>
              <w:tblW w:w="8164"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737"/>
              <w:gridCol w:w="1247"/>
              <w:gridCol w:w="1191"/>
              <w:gridCol w:w="1304"/>
              <w:gridCol w:w="1474"/>
              <w:gridCol w:w="1361"/>
              <w:gridCol w:w="850"/>
            </w:tblGrid>
            <w:tr>
              <w:tc>
                <w:tcPr>
                  <w:tcW w:w="737" w:type="dxa"/>
                  <w:vAlign w:val="center"/>
                </w:tcPr>
                <w:p>
                  <w:pPr>
                    <w:rPr>
                      <w:rFonts w:ascii="宋体" w:hAnsi="宋体"/>
                      <w:b/>
                      <w:i/>
                      <w:iCs/>
                      <w:sz w:val="21"/>
                      <w:szCs w:val="21"/>
                      <w:u w:val="single"/>
                    </w:rPr>
                  </w:pPr>
                  <w:r>
                    <w:rPr>
                      <w:rFonts w:ascii="宋体" w:hAnsi="宋体"/>
                      <w:b/>
                      <w:i/>
                      <w:iCs/>
                      <w:sz w:val="21"/>
                      <w:szCs w:val="21"/>
                      <w:u w:val="single"/>
                    </w:rPr>
                    <w:t>序号</w:t>
                  </w:r>
                </w:p>
              </w:tc>
              <w:tc>
                <w:tcPr>
                  <w:tcW w:w="1247" w:type="dxa"/>
                  <w:vAlign w:val="center"/>
                </w:tcPr>
                <w:p>
                  <w:pPr>
                    <w:rPr>
                      <w:rFonts w:ascii="宋体" w:hAnsi="宋体"/>
                      <w:b/>
                      <w:i/>
                      <w:iCs/>
                      <w:sz w:val="21"/>
                      <w:szCs w:val="21"/>
                      <w:u w:val="single"/>
                    </w:rPr>
                  </w:pPr>
                  <w:r>
                    <w:rPr>
                      <w:rFonts w:ascii="宋体" w:hAnsi="宋体"/>
                      <w:b/>
                      <w:i/>
                      <w:iCs/>
                      <w:sz w:val="21"/>
                      <w:szCs w:val="21"/>
                      <w:u w:val="single"/>
                    </w:rPr>
                    <w:t>离子</w:t>
                  </w:r>
                </w:p>
              </w:tc>
              <w:tc>
                <w:tcPr>
                  <w:tcW w:w="1191" w:type="dxa"/>
                  <w:vAlign w:val="center"/>
                </w:tcPr>
                <w:p>
                  <w:pPr>
                    <w:rPr>
                      <w:rFonts w:ascii="宋体" w:hAnsi="宋体"/>
                      <w:b/>
                      <w:i/>
                      <w:iCs/>
                      <w:sz w:val="21"/>
                      <w:szCs w:val="21"/>
                      <w:u w:val="single"/>
                    </w:rPr>
                  </w:pPr>
                  <w:r>
                    <w:rPr>
                      <w:rFonts w:ascii="宋体" w:hAnsi="宋体"/>
                      <w:b/>
                      <w:i/>
                      <w:iCs/>
                      <w:sz w:val="21"/>
                      <w:szCs w:val="21"/>
                      <w:u w:val="single"/>
                    </w:rPr>
                    <w:t>监测值</w:t>
                  </w:r>
                  <w:r>
                    <w:rPr>
                      <w:rFonts w:ascii="宋体" w:hAnsi="宋体"/>
                      <w:b/>
                      <w:i/>
                      <w:iCs/>
                      <w:sz w:val="21"/>
                      <w:szCs w:val="21"/>
                      <w:u w:val="single"/>
                    </w:rPr>
                    <w:br/>
                  </w:r>
                  <w:r>
                    <w:rPr>
                      <w:rFonts w:ascii="宋体" w:hAnsi="宋体"/>
                      <w:b/>
                      <w:i/>
                      <w:iCs/>
                      <w:sz w:val="21"/>
                      <w:szCs w:val="21"/>
                      <w:u w:val="single"/>
                    </w:rPr>
                    <w:t>（mg/L）</w:t>
                  </w:r>
                </w:p>
              </w:tc>
              <w:tc>
                <w:tcPr>
                  <w:tcW w:w="1304" w:type="dxa"/>
                  <w:vAlign w:val="center"/>
                </w:tcPr>
                <w:p>
                  <w:pPr>
                    <w:rPr>
                      <w:rFonts w:ascii="宋体" w:hAnsi="宋体"/>
                      <w:b/>
                      <w:i/>
                      <w:iCs/>
                      <w:sz w:val="21"/>
                      <w:szCs w:val="21"/>
                      <w:u w:val="single"/>
                    </w:rPr>
                  </w:pPr>
                  <w:r>
                    <w:rPr>
                      <w:rFonts w:ascii="宋体" w:hAnsi="宋体"/>
                      <w:b/>
                      <w:i/>
                      <w:iCs/>
                      <w:sz w:val="21"/>
                      <w:szCs w:val="21"/>
                      <w:u w:val="single"/>
                    </w:rPr>
                    <w:t>原子量/</w:t>
                  </w:r>
                  <w:r>
                    <w:rPr>
                      <w:rFonts w:ascii="宋体" w:hAnsi="宋体"/>
                      <w:b/>
                      <w:i/>
                      <w:iCs/>
                      <w:sz w:val="21"/>
                      <w:szCs w:val="21"/>
                      <w:u w:val="single"/>
                    </w:rPr>
                    <w:br/>
                  </w:r>
                  <w:r>
                    <w:rPr>
                      <w:rFonts w:ascii="宋体" w:hAnsi="宋体"/>
                      <w:b/>
                      <w:i/>
                      <w:iCs/>
                      <w:sz w:val="21"/>
                      <w:szCs w:val="21"/>
                      <w:u w:val="single"/>
                    </w:rPr>
                    <w:t>离子价</w:t>
                  </w:r>
                </w:p>
              </w:tc>
              <w:tc>
                <w:tcPr>
                  <w:tcW w:w="1474" w:type="dxa"/>
                  <w:vAlign w:val="center"/>
                </w:tcPr>
                <w:p>
                  <w:pPr>
                    <w:rPr>
                      <w:rFonts w:ascii="宋体" w:hAnsi="宋体"/>
                      <w:b/>
                      <w:i/>
                      <w:iCs/>
                      <w:sz w:val="21"/>
                      <w:szCs w:val="21"/>
                      <w:u w:val="single"/>
                    </w:rPr>
                  </w:pPr>
                  <w:r>
                    <w:rPr>
                      <w:rFonts w:ascii="宋体" w:hAnsi="宋体"/>
                      <w:b/>
                      <w:i/>
                      <w:iCs/>
                      <w:sz w:val="21"/>
                      <w:szCs w:val="21"/>
                      <w:u w:val="single"/>
                    </w:rPr>
                    <w:t>电荷当量浓度</w:t>
                  </w:r>
                  <w:r>
                    <w:rPr>
                      <w:rFonts w:ascii="宋体" w:hAnsi="宋体"/>
                      <w:b/>
                      <w:i/>
                      <w:iCs/>
                      <w:sz w:val="21"/>
                      <w:szCs w:val="21"/>
                      <w:u w:val="single"/>
                    </w:rPr>
                    <w:br/>
                  </w:r>
                  <w:r>
                    <w:rPr>
                      <w:rFonts w:ascii="宋体" w:hAnsi="宋体"/>
                      <w:b/>
                      <w:i/>
                      <w:iCs/>
                      <w:sz w:val="21"/>
                      <w:szCs w:val="21"/>
                      <w:u w:val="single"/>
                    </w:rPr>
                    <w:t>（meq/L）</w:t>
                  </w:r>
                </w:p>
              </w:tc>
              <w:tc>
                <w:tcPr>
                  <w:tcW w:w="1361" w:type="dxa"/>
                  <w:vAlign w:val="center"/>
                </w:tcPr>
                <w:p>
                  <w:pPr>
                    <w:rPr>
                      <w:rFonts w:ascii="宋体" w:hAnsi="宋体"/>
                      <w:b/>
                      <w:i/>
                      <w:iCs/>
                      <w:sz w:val="21"/>
                      <w:szCs w:val="21"/>
                      <w:u w:val="single"/>
                    </w:rPr>
                  </w:pPr>
                  <w:r>
                    <w:rPr>
                      <w:rFonts w:ascii="宋体" w:hAnsi="宋体"/>
                      <w:b/>
                      <w:i/>
                      <w:iCs/>
                      <w:sz w:val="21"/>
                      <w:szCs w:val="21"/>
                      <w:u w:val="single"/>
                    </w:rPr>
                    <w:t>占同类离子</w:t>
                  </w:r>
                  <w:r>
                    <w:rPr>
                      <w:rFonts w:ascii="宋体" w:hAnsi="宋体"/>
                      <w:b/>
                      <w:i/>
                      <w:iCs/>
                      <w:sz w:val="21"/>
                      <w:szCs w:val="21"/>
                      <w:u w:val="single"/>
                    </w:rPr>
                    <w:br/>
                  </w:r>
                  <w:r>
                    <w:rPr>
                      <w:rFonts w:ascii="宋体" w:hAnsi="宋体"/>
                      <w:b/>
                      <w:i/>
                      <w:iCs/>
                      <w:sz w:val="21"/>
                      <w:szCs w:val="21"/>
                      <w:u w:val="single"/>
                    </w:rPr>
                    <w:t>比例（%）</w:t>
                  </w:r>
                </w:p>
              </w:tc>
              <w:tc>
                <w:tcPr>
                  <w:tcW w:w="850" w:type="dxa"/>
                  <w:vAlign w:val="center"/>
                </w:tcPr>
                <w:p>
                  <w:pPr>
                    <w:rPr>
                      <w:rFonts w:ascii="宋体" w:hAnsi="宋体"/>
                      <w:b/>
                      <w:i/>
                      <w:iCs/>
                      <w:sz w:val="21"/>
                      <w:szCs w:val="21"/>
                      <w:u w:val="single"/>
                    </w:rPr>
                  </w:pPr>
                  <w:r>
                    <w:rPr>
                      <w:rFonts w:ascii="宋体" w:hAnsi="宋体"/>
                      <w:b/>
                      <w:i/>
                      <w:iCs/>
                      <w:sz w:val="21"/>
                      <w:szCs w:val="21"/>
                      <w:u w:val="single"/>
                    </w:rPr>
                    <w:t>排序</w:t>
                  </w:r>
                </w:p>
              </w:tc>
            </w:tr>
            <w:tr>
              <w:tc>
                <w:tcPr>
                  <w:tcW w:w="737" w:type="dxa"/>
                  <w:vAlign w:val="center"/>
                </w:tcPr>
                <w:p>
                  <w:pPr>
                    <w:rPr>
                      <w:rFonts w:ascii="宋体" w:hAnsi="宋体"/>
                      <w:i/>
                      <w:iCs/>
                      <w:sz w:val="21"/>
                      <w:szCs w:val="21"/>
                      <w:u w:val="single"/>
                    </w:rPr>
                  </w:pPr>
                  <w:r>
                    <w:rPr>
                      <w:rFonts w:ascii="宋体" w:hAnsi="宋体"/>
                      <w:i/>
                      <w:iCs/>
                      <w:sz w:val="21"/>
                      <w:szCs w:val="21"/>
                      <w:u w:val="single"/>
                    </w:rPr>
                    <w:t>1</w:t>
                  </w:r>
                </w:p>
              </w:tc>
              <w:tc>
                <w:tcPr>
                  <w:tcW w:w="1247" w:type="dxa"/>
                  <w:vAlign w:val="center"/>
                </w:tcPr>
                <w:p>
                  <w:pPr>
                    <w:rPr>
                      <w:rFonts w:ascii="宋体" w:hAnsi="宋体"/>
                      <w:i/>
                      <w:iCs/>
                      <w:sz w:val="21"/>
                      <w:szCs w:val="21"/>
                      <w:u w:val="single"/>
                    </w:rPr>
                  </w:pPr>
                  <w:r>
                    <w:rPr>
                      <w:rFonts w:ascii="宋体" w:hAnsi="宋体"/>
                      <w:i/>
                      <w:iCs/>
                      <w:sz w:val="21"/>
                      <w:szCs w:val="21"/>
                      <w:u w:val="single"/>
                    </w:rPr>
                    <w:t>K</w:t>
                  </w:r>
                  <w:r>
                    <w:rPr>
                      <w:rFonts w:ascii="Cambria Math" w:hAnsi="Cambria Math" w:cs="Cambria Math"/>
                      <w:i/>
                      <w:iCs/>
                      <w:sz w:val="21"/>
                      <w:szCs w:val="21"/>
                      <w:u w:val="single"/>
                    </w:rPr>
                    <w:t>⁺</w:t>
                  </w:r>
                </w:p>
              </w:tc>
              <w:tc>
                <w:tcPr>
                  <w:tcW w:w="1191" w:type="dxa"/>
                  <w:vAlign w:val="center"/>
                </w:tcPr>
                <w:p>
                  <w:pPr>
                    <w:rPr>
                      <w:rFonts w:ascii="宋体" w:hAnsi="宋体"/>
                      <w:i/>
                      <w:iCs/>
                      <w:sz w:val="21"/>
                      <w:szCs w:val="21"/>
                      <w:u w:val="single"/>
                    </w:rPr>
                  </w:pPr>
                  <w:r>
                    <w:rPr>
                      <w:rFonts w:ascii="宋体" w:hAnsi="宋体"/>
                      <w:i/>
                      <w:iCs/>
                      <w:sz w:val="21"/>
                      <w:szCs w:val="21"/>
                      <w:u w:val="single"/>
                    </w:rPr>
                    <w:t>29.6</w:t>
                  </w:r>
                </w:p>
              </w:tc>
              <w:tc>
                <w:tcPr>
                  <w:tcW w:w="1304" w:type="dxa"/>
                  <w:vAlign w:val="center"/>
                </w:tcPr>
                <w:p>
                  <w:pPr>
                    <w:rPr>
                      <w:rFonts w:ascii="宋体" w:hAnsi="宋体"/>
                      <w:i/>
                      <w:iCs/>
                      <w:sz w:val="21"/>
                      <w:szCs w:val="21"/>
                      <w:u w:val="single"/>
                    </w:rPr>
                  </w:pPr>
                  <w:r>
                    <w:rPr>
                      <w:rFonts w:ascii="宋体" w:hAnsi="宋体"/>
                      <w:i/>
                      <w:iCs/>
                      <w:sz w:val="21"/>
                      <w:szCs w:val="21"/>
                      <w:u w:val="single"/>
                    </w:rPr>
                    <w:t>39.10 / +1</w:t>
                  </w:r>
                </w:p>
              </w:tc>
              <w:tc>
                <w:tcPr>
                  <w:tcW w:w="1474" w:type="dxa"/>
                  <w:vAlign w:val="center"/>
                </w:tcPr>
                <w:p>
                  <w:pPr>
                    <w:rPr>
                      <w:rFonts w:ascii="宋体" w:hAnsi="宋体"/>
                      <w:i/>
                      <w:iCs/>
                      <w:sz w:val="21"/>
                      <w:szCs w:val="21"/>
                      <w:u w:val="single"/>
                    </w:rPr>
                  </w:pPr>
                  <w:r>
                    <w:rPr>
                      <w:rFonts w:ascii="宋体" w:hAnsi="宋体"/>
                      <w:i/>
                      <w:iCs/>
                      <w:sz w:val="21"/>
                      <w:szCs w:val="21"/>
                      <w:u w:val="single"/>
                    </w:rPr>
                    <w:t>0.757</w:t>
                  </w:r>
                </w:p>
              </w:tc>
              <w:tc>
                <w:tcPr>
                  <w:tcW w:w="1361" w:type="dxa"/>
                  <w:vAlign w:val="center"/>
                </w:tcPr>
                <w:p>
                  <w:pPr>
                    <w:rPr>
                      <w:rFonts w:ascii="宋体" w:hAnsi="宋体"/>
                      <w:i/>
                      <w:iCs/>
                      <w:sz w:val="21"/>
                      <w:szCs w:val="21"/>
                      <w:u w:val="single"/>
                    </w:rPr>
                  </w:pPr>
                  <w:r>
                    <w:rPr>
                      <w:rFonts w:ascii="宋体" w:hAnsi="宋体"/>
                      <w:i/>
                      <w:iCs/>
                      <w:sz w:val="21"/>
                      <w:szCs w:val="21"/>
                      <w:u w:val="single"/>
                    </w:rPr>
                    <w:t>9.21</w:t>
                  </w:r>
                </w:p>
              </w:tc>
              <w:tc>
                <w:tcPr>
                  <w:tcW w:w="850" w:type="dxa"/>
                  <w:vAlign w:val="center"/>
                </w:tcPr>
                <w:p>
                  <w:pPr>
                    <w:rPr>
                      <w:rFonts w:ascii="宋体" w:hAnsi="宋体"/>
                      <w:i/>
                      <w:iCs/>
                      <w:sz w:val="21"/>
                      <w:szCs w:val="21"/>
                      <w:u w:val="single"/>
                    </w:rPr>
                  </w:pPr>
                  <w:r>
                    <w:rPr>
                      <w:rFonts w:ascii="宋体" w:hAnsi="宋体"/>
                      <w:i/>
                      <w:iCs/>
                      <w:sz w:val="21"/>
                      <w:szCs w:val="21"/>
                      <w:u w:val="single"/>
                    </w:rPr>
                    <w:t>4</w:t>
                  </w:r>
                </w:p>
              </w:tc>
            </w:tr>
            <w:tr>
              <w:tc>
                <w:tcPr>
                  <w:tcW w:w="737" w:type="dxa"/>
                  <w:vAlign w:val="center"/>
                </w:tcPr>
                <w:p>
                  <w:pPr>
                    <w:rPr>
                      <w:rFonts w:ascii="宋体" w:hAnsi="宋体"/>
                      <w:i/>
                      <w:iCs/>
                      <w:sz w:val="21"/>
                      <w:szCs w:val="21"/>
                      <w:u w:val="single"/>
                    </w:rPr>
                  </w:pPr>
                  <w:r>
                    <w:rPr>
                      <w:rFonts w:ascii="宋体" w:hAnsi="宋体"/>
                      <w:i/>
                      <w:iCs/>
                      <w:sz w:val="21"/>
                      <w:szCs w:val="21"/>
                      <w:u w:val="single"/>
                    </w:rPr>
                    <w:t>2</w:t>
                  </w:r>
                </w:p>
              </w:tc>
              <w:tc>
                <w:tcPr>
                  <w:tcW w:w="1247" w:type="dxa"/>
                  <w:vAlign w:val="center"/>
                </w:tcPr>
                <w:p>
                  <w:pPr>
                    <w:rPr>
                      <w:rFonts w:ascii="宋体" w:hAnsi="宋体"/>
                      <w:i/>
                      <w:iCs/>
                      <w:sz w:val="21"/>
                      <w:szCs w:val="21"/>
                      <w:u w:val="single"/>
                    </w:rPr>
                  </w:pPr>
                  <w:r>
                    <w:rPr>
                      <w:rFonts w:ascii="宋体" w:hAnsi="宋体"/>
                      <w:i/>
                      <w:iCs/>
                      <w:sz w:val="21"/>
                      <w:szCs w:val="21"/>
                      <w:u w:val="single"/>
                    </w:rPr>
                    <w:t>Na</w:t>
                  </w:r>
                  <w:r>
                    <w:rPr>
                      <w:rFonts w:ascii="Cambria Math" w:hAnsi="Cambria Math" w:cs="Cambria Math"/>
                      <w:i/>
                      <w:iCs/>
                      <w:sz w:val="21"/>
                      <w:szCs w:val="21"/>
                      <w:u w:val="single"/>
                    </w:rPr>
                    <w:t>⁺</w:t>
                  </w:r>
                </w:p>
              </w:tc>
              <w:tc>
                <w:tcPr>
                  <w:tcW w:w="1191" w:type="dxa"/>
                  <w:vAlign w:val="center"/>
                </w:tcPr>
                <w:p>
                  <w:pPr>
                    <w:rPr>
                      <w:rFonts w:ascii="宋体" w:hAnsi="宋体"/>
                      <w:i/>
                      <w:iCs/>
                      <w:sz w:val="21"/>
                      <w:szCs w:val="21"/>
                      <w:u w:val="single"/>
                    </w:rPr>
                  </w:pPr>
                  <w:r>
                    <w:rPr>
                      <w:rFonts w:ascii="宋体" w:hAnsi="宋体"/>
                      <w:i/>
                      <w:iCs/>
                      <w:sz w:val="21"/>
                      <w:szCs w:val="21"/>
                      <w:u w:val="single"/>
                    </w:rPr>
                    <w:t>71.5</w:t>
                  </w:r>
                </w:p>
              </w:tc>
              <w:tc>
                <w:tcPr>
                  <w:tcW w:w="1304" w:type="dxa"/>
                  <w:vAlign w:val="center"/>
                </w:tcPr>
                <w:p>
                  <w:pPr>
                    <w:rPr>
                      <w:rFonts w:ascii="宋体" w:hAnsi="宋体"/>
                      <w:i/>
                      <w:iCs/>
                      <w:sz w:val="21"/>
                      <w:szCs w:val="21"/>
                      <w:u w:val="single"/>
                    </w:rPr>
                  </w:pPr>
                  <w:r>
                    <w:rPr>
                      <w:rFonts w:ascii="宋体" w:hAnsi="宋体"/>
                      <w:i/>
                      <w:iCs/>
                      <w:sz w:val="21"/>
                      <w:szCs w:val="21"/>
                      <w:u w:val="single"/>
                    </w:rPr>
                    <w:t>22.99 / +1</w:t>
                  </w:r>
                </w:p>
              </w:tc>
              <w:tc>
                <w:tcPr>
                  <w:tcW w:w="1474" w:type="dxa"/>
                  <w:vAlign w:val="center"/>
                </w:tcPr>
                <w:p>
                  <w:pPr>
                    <w:rPr>
                      <w:rFonts w:ascii="宋体" w:hAnsi="宋体"/>
                      <w:i/>
                      <w:iCs/>
                      <w:sz w:val="21"/>
                      <w:szCs w:val="21"/>
                      <w:u w:val="single"/>
                    </w:rPr>
                  </w:pPr>
                  <w:r>
                    <w:rPr>
                      <w:rFonts w:ascii="宋体" w:hAnsi="宋体"/>
                      <w:i/>
                      <w:iCs/>
                      <w:sz w:val="21"/>
                      <w:szCs w:val="21"/>
                      <w:u w:val="single"/>
                    </w:rPr>
                    <w:t>3.110</w:t>
                  </w:r>
                </w:p>
              </w:tc>
              <w:tc>
                <w:tcPr>
                  <w:tcW w:w="1361" w:type="dxa"/>
                  <w:vAlign w:val="center"/>
                </w:tcPr>
                <w:p>
                  <w:pPr>
                    <w:rPr>
                      <w:rFonts w:ascii="宋体" w:hAnsi="宋体"/>
                      <w:i/>
                      <w:iCs/>
                      <w:sz w:val="21"/>
                      <w:szCs w:val="21"/>
                      <w:u w:val="single"/>
                    </w:rPr>
                  </w:pPr>
                  <w:r>
                    <w:rPr>
                      <w:rFonts w:ascii="宋体" w:hAnsi="宋体"/>
                      <w:i/>
                      <w:iCs/>
                      <w:sz w:val="21"/>
                      <w:szCs w:val="21"/>
                      <w:u w:val="single"/>
                    </w:rPr>
                    <w:t>37.82</w:t>
                  </w:r>
                </w:p>
              </w:tc>
              <w:tc>
                <w:tcPr>
                  <w:tcW w:w="850" w:type="dxa"/>
                  <w:vAlign w:val="center"/>
                </w:tcPr>
                <w:p>
                  <w:pPr>
                    <w:rPr>
                      <w:rFonts w:ascii="宋体" w:hAnsi="宋体"/>
                      <w:i/>
                      <w:iCs/>
                      <w:sz w:val="21"/>
                      <w:szCs w:val="21"/>
                      <w:u w:val="single"/>
                    </w:rPr>
                  </w:pPr>
                  <w:r>
                    <w:rPr>
                      <w:rFonts w:ascii="宋体" w:hAnsi="宋体"/>
                      <w:i/>
                      <w:iCs/>
                      <w:sz w:val="21"/>
                      <w:szCs w:val="21"/>
                      <w:u w:val="single"/>
                    </w:rPr>
                    <w:t>1</w:t>
                  </w:r>
                </w:p>
              </w:tc>
            </w:tr>
            <w:tr>
              <w:tc>
                <w:tcPr>
                  <w:tcW w:w="737" w:type="dxa"/>
                  <w:vAlign w:val="center"/>
                </w:tcPr>
                <w:p>
                  <w:pPr>
                    <w:rPr>
                      <w:rFonts w:ascii="宋体" w:hAnsi="宋体"/>
                      <w:i/>
                      <w:iCs/>
                      <w:sz w:val="21"/>
                      <w:szCs w:val="21"/>
                      <w:u w:val="single"/>
                    </w:rPr>
                  </w:pPr>
                  <w:r>
                    <w:rPr>
                      <w:rFonts w:ascii="宋体" w:hAnsi="宋体"/>
                      <w:i/>
                      <w:iCs/>
                      <w:sz w:val="21"/>
                      <w:szCs w:val="21"/>
                      <w:u w:val="single"/>
                    </w:rPr>
                    <w:t>3</w:t>
                  </w:r>
                </w:p>
              </w:tc>
              <w:tc>
                <w:tcPr>
                  <w:tcW w:w="1247" w:type="dxa"/>
                  <w:vAlign w:val="center"/>
                </w:tcPr>
                <w:p>
                  <w:pPr>
                    <w:rPr>
                      <w:rFonts w:ascii="宋体" w:hAnsi="宋体"/>
                      <w:i/>
                      <w:iCs/>
                      <w:sz w:val="21"/>
                      <w:szCs w:val="21"/>
                      <w:u w:val="single"/>
                    </w:rPr>
                  </w:pPr>
                  <w:r>
                    <w:rPr>
                      <w:rFonts w:ascii="宋体" w:hAnsi="宋体"/>
                      <w:i/>
                      <w:iCs/>
                      <w:sz w:val="21"/>
                      <w:szCs w:val="21"/>
                      <w:u w:val="single"/>
                    </w:rPr>
                    <w:t>Ca²</w:t>
                  </w:r>
                  <w:r>
                    <w:rPr>
                      <w:rFonts w:ascii="Cambria Math" w:hAnsi="Cambria Math" w:cs="Cambria Math"/>
                      <w:i/>
                      <w:iCs/>
                      <w:sz w:val="21"/>
                      <w:szCs w:val="21"/>
                      <w:u w:val="single"/>
                    </w:rPr>
                    <w:t>⁺</w:t>
                  </w:r>
                </w:p>
              </w:tc>
              <w:tc>
                <w:tcPr>
                  <w:tcW w:w="1191" w:type="dxa"/>
                  <w:vAlign w:val="center"/>
                </w:tcPr>
                <w:p>
                  <w:pPr>
                    <w:rPr>
                      <w:rFonts w:ascii="宋体" w:hAnsi="宋体"/>
                      <w:i/>
                      <w:iCs/>
                      <w:sz w:val="21"/>
                      <w:szCs w:val="21"/>
                      <w:u w:val="single"/>
                    </w:rPr>
                  </w:pPr>
                  <w:r>
                    <w:rPr>
                      <w:rFonts w:ascii="宋体" w:hAnsi="宋体"/>
                      <w:i/>
                      <w:iCs/>
                      <w:sz w:val="21"/>
                      <w:szCs w:val="21"/>
                      <w:u w:val="single"/>
                    </w:rPr>
                    <w:t>60.6</w:t>
                  </w:r>
                </w:p>
              </w:tc>
              <w:tc>
                <w:tcPr>
                  <w:tcW w:w="1304" w:type="dxa"/>
                  <w:vAlign w:val="center"/>
                </w:tcPr>
                <w:p>
                  <w:pPr>
                    <w:rPr>
                      <w:rFonts w:ascii="宋体" w:hAnsi="宋体"/>
                      <w:i/>
                      <w:iCs/>
                      <w:sz w:val="21"/>
                      <w:szCs w:val="21"/>
                      <w:u w:val="single"/>
                    </w:rPr>
                  </w:pPr>
                  <w:r>
                    <w:rPr>
                      <w:rFonts w:ascii="宋体" w:hAnsi="宋体"/>
                      <w:i/>
                      <w:iCs/>
                      <w:sz w:val="21"/>
                      <w:szCs w:val="21"/>
                      <w:u w:val="single"/>
                    </w:rPr>
                    <w:t>40.08 / +2</w:t>
                  </w:r>
                </w:p>
              </w:tc>
              <w:tc>
                <w:tcPr>
                  <w:tcW w:w="1474" w:type="dxa"/>
                  <w:vAlign w:val="center"/>
                </w:tcPr>
                <w:p>
                  <w:pPr>
                    <w:rPr>
                      <w:rFonts w:ascii="宋体" w:hAnsi="宋体"/>
                      <w:i/>
                      <w:iCs/>
                      <w:sz w:val="21"/>
                      <w:szCs w:val="21"/>
                      <w:u w:val="single"/>
                    </w:rPr>
                  </w:pPr>
                  <w:r>
                    <w:rPr>
                      <w:rFonts w:ascii="宋体" w:hAnsi="宋体"/>
                      <w:i/>
                      <w:iCs/>
                      <w:sz w:val="21"/>
                      <w:szCs w:val="21"/>
                      <w:u w:val="single"/>
                    </w:rPr>
                    <w:t>3.024</w:t>
                  </w:r>
                </w:p>
              </w:tc>
              <w:tc>
                <w:tcPr>
                  <w:tcW w:w="1361" w:type="dxa"/>
                  <w:vAlign w:val="center"/>
                </w:tcPr>
                <w:p>
                  <w:pPr>
                    <w:rPr>
                      <w:rFonts w:ascii="宋体" w:hAnsi="宋体"/>
                      <w:i/>
                      <w:iCs/>
                      <w:sz w:val="21"/>
                      <w:szCs w:val="21"/>
                      <w:u w:val="single"/>
                    </w:rPr>
                  </w:pPr>
                  <w:r>
                    <w:rPr>
                      <w:rFonts w:ascii="宋体" w:hAnsi="宋体"/>
                      <w:i/>
                      <w:iCs/>
                      <w:sz w:val="21"/>
                      <w:szCs w:val="21"/>
                      <w:u w:val="single"/>
                    </w:rPr>
                    <w:t>36.77</w:t>
                  </w:r>
                </w:p>
              </w:tc>
              <w:tc>
                <w:tcPr>
                  <w:tcW w:w="850" w:type="dxa"/>
                  <w:vAlign w:val="center"/>
                </w:tcPr>
                <w:p>
                  <w:pPr>
                    <w:rPr>
                      <w:rFonts w:ascii="宋体" w:hAnsi="宋体"/>
                      <w:i/>
                      <w:iCs/>
                      <w:sz w:val="21"/>
                      <w:szCs w:val="21"/>
                      <w:u w:val="single"/>
                    </w:rPr>
                  </w:pPr>
                  <w:r>
                    <w:rPr>
                      <w:rFonts w:ascii="宋体" w:hAnsi="宋体"/>
                      <w:i/>
                      <w:iCs/>
                      <w:sz w:val="21"/>
                      <w:szCs w:val="21"/>
                      <w:u w:val="single"/>
                    </w:rPr>
                    <w:t>2</w:t>
                  </w:r>
                </w:p>
              </w:tc>
            </w:tr>
            <w:tr>
              <w:tc>
                <w:tcPr>
                  <w:tcW w:w="737" w:type="dxa"/>
                  <w:vAlign w:val="center"/>
                </w:tcPr>
                <w:p>
                  <w:pPr>
                    <w:rPr>
                      <w:rFonts w:ascii="宋体" w:hAnsi="宋体"/>
                      <w:i/>
                      <w:iCs/>
                      <w:sz w:val="21"/>
                      <w:szCs w:val="21"/>
                      <w:u w:val="single"/>
                    </w:rPr>
                  </w:pPr>
                  <w:r>
                    <w:rPr>
                      <w:rFonts w:ascii="宋体" w:hAnsi="宋体"/>
                      <w:i/>
                      <w:iCs/>
                      <w:sz w:val="21"/>
                      <w:szCs w:val="21"/>
                      <w:u w:val="single"/>
                    </w:rPr>
                    <w:t>4</w:t>
                  </w:r>
                </w:p>
              </w:tc>
              <w:tc>
                <w:tcPr>
                  <w:tcW w:w="1247" w:type="dxa"/>
                  <w:vAlign w:val="center"/>
                </w:tcPr>
                <w:p>
                  <w:pPr>
                    <w:rPr>
                      <w:rFonts w:ascii="宋体" w:hAnsi="宋体"/>
                      <w:i/>
                      <w:iCs/>
                      <w:sz w:val="21"/>
                      <w:szCs w:val="21"/>
                      <w:u w:val="single"/>
                    </w:rPr>
                  </w:pPr>
                  <w:r>
                    <w:rPr>
                      <w:rFonts w:ascii="宋体" w:hAnsi="宋体"/>
                      <w:i/>
                      <w:iCs/>
                      <w:sz w:val="21"/>
                      <w:szCs w:val="21"/>
                      <w:u w:val="single"/>
                    </w:rPr>
                    <w:t>Mg²</w:t>
                  </w:r>
                  <w:r>
                    <w:rPr>
                      <w:rFonts w:ascii="Cambria Math" w:hAnsi="Cambria Math" w:cs="Cambria Math"/>
                      <w:i/>
                      <w:iCs/>
                      <w:sz w:val="21"/>
                      <w:szCs w:val="21"/>
                      <w:u w:val="single"/>
                    </w:rPr>
                    <w:t>⁺</w:t>
                  </w:r>
                </w:p>
              </w:tc>
              <w:tc>
                <w:tcPr>
                  <w:tcW w:w="1191" w:type="dxa"/>
                  <w:vAlign w:val="center"/>
                </w:tcPr>
                <w:p>
                  <w:pPr>
                    <w:rPr>
                      <w:rFonts w:ascii="宋体" w:hAnsi="宋体"/>
                      <w:i/>
                      <w:iCs/>
                      <w:sz w:val="21"/>
                      <w:szCs w:val="21"/>
                      <w:u w:val="single"/>
                    </w:rPr>
                  </w:pPr>
                  <w:r>
                    <w:rPr>
                      <w:rFonts w:ascii="宋体" w:hAnsi="宋体"/>
                      <w:i/>
                      <w:iCs/>
                      <w:sz w:val="21"/>
                      <w:szCs w:val="21"/>
                      <w:u w:val="single"/>
                    </w:rPr>
                    <w:t>16.20</w:t>
                  </w:r>
                </w:p>
              </w:tc>
              <w:tc>
                <w:tcPr>
                  <w:tcW w:w="1304" w:type="dxa"/>
                  <w:vAlign w:val="center"/>
                </w:tcPr>
                <w:p>
                  <w:pPr>
                    <w:rPr>
                      <w:rFonts w:ascii="宋体" w:hAnsi="宋体"/>
                      <w:i/>
                      <w:iCs/>
                      <w:sz w:val="21"/>
                      <w:szCs w:val="21"/>
                      <w:u w:val="single"/>
                    </w:rPr>
                  </w:pPr>
                  <w:r>
                    <w:rPr>
                      <w:rFonts w:ascii="宋体" w:hAnsi="宋体"/>
                      <w:i/>
                      <w:iCs/>
                      <w:sz w:val="21"/>
                      <w:szCs w:val="21"/>
                      <w:u w:val="single"/>
                    </w:rPr>
                    <w:t>24.31 / +2</w:t>
                  </w:r>
                </w:p>
              </w:tc>
              <w:tc>
                <w:tcPr>
                  <w:tcW w:w="1474" w:type="dxa"/>
                  <w:vAlign w:val="center"/>
                </w:tcPr>
                <w:p>
                  <w:pPr>
                    <w:rPr>
                      <w:rFonts w:ascii="宋体" w:hAnsi="宋体"/>
                      <w:i/>
                      <w:iCs/>
                      <w:sz w:val="21"/>
                      <w:szCs w:val="21"/>
                      <w:u w:val="single"/>
                    </w:rPr>
                  </w:pPr>
                  <w:r>
                    <w:rPr>
                      <w:rFonts w:ascii="宋体" w:hAnsi="宋体"/>
                      <w:i/>
                      <w:iCs/>
                      <w:sz w:val="21"/>
                      <w:szCs w:val="21"/>
                      <w:u w:val="single"/>
                    </w:rPr>
                    <w:t>1.333</w:t>
                  </w:r>
                </w:p>
              </w:tc>
              <w:tc>
                <w:tcPr>
                  <w:tcW w:w="1361" w:type="dxa"/>
                  <w:vAlign w:val="center"/>
                </w:tcPr>
                <w:p>
                  <w:pPr>
                    <w:rPr>
                      <w:rFonts w:ascii="宋体" w:hAnsi="宋体"/>
                      <w:i/>
                      <w:iCs/>
                      <w:sz w:val="21"/>
                      <w:szCs w:val="21"/>
                      <w:u w:val="single"/>
                    </w:rPr>
                  </w:pPr>
                  <w:r>
                    <w:rPr>
                      <w:rFonts w:ascii="宋体" w:hAnsi="宋体"/>
                      <w:i/>
                      <w:iCs/>
                      <w:sz w:val="21"/>
                      <w:szCs w:val="21"/>
                      <w:u w:val="single"/>
                    </w:rPr>
                    <w:t>16.21</w:t>
                  </w:r>
                </w:p>
              </w:tc>
              <w:tc>
                <w:tcPr>
                  <w:tcW w:w="850" w:type="dxa"/>
                  <w:vAlign w:val="center"/>
                </w:tcPr>
                <w:p>
                  <w:pPr>
                    <w:rPr>
                      <w:rFonts w:ascii="宋体" w:hAnsi="宋体"/>
                      <w:i/>
                      <w:iCs/>
                      <w:sz w:val="21"/>
                      <w:szCs w:val="21"/>
                      <w:u w:val="single"/>
                    </w:rPr>
                  </w:pPr>
                  <w:r>
                    <w:rPr>
                      <w:rFonts w:ascii="宋体" w:hAnsi="宋体"/>
                      <w:i/>
                      <w:iCs/>
                      <w:sz w:val="21"/>
                      <w:szCs w:val="21"/>
                      <w:u w:val="single"/>
                    </w:rPr>
                    <w:t>3</w:t>
                  </w:r>
                </w:p>
              </w:tc>
            </w:tr>
            <w:tr>
              <w:tc>
                <w:tcPr>
                  <w:tcW w:w="737" w:type="dxa"/>
                  <w:vAlign w:val="center"/>
                </w:tcPr>
                <w:p>
                  <w:pPr>
                    <w:rPr>
                      <w:rFonts w:ascii="宋体" w:hAnsi="宋体"/>
                      <w:i/>
                      <w:iCs/>
                      <w:sz w:val="21"/>
                      <w:szCs w:val="21"/>
                      <w:u w:val="single"/>
                    </w:rPr>
                  </w:pPr>
                </w:p>
              </w:tc>
              <w:tc>
                <w:tcPr>
                  <w:tcW w:w="1247" w:type="dxa"/>
                  <w:vAlign w:val="center"/>
                </w:tcPr>
                <w:p>
                  <w:pPr>
                    <w:rPr>
                      <w:rFonts w:ascii="宋体" w:hAnsi="宋体"/>
                      <w:i/>
                      <w:iCs/>
                      <w:sz w:val="21"/>
                      <w:szCs w:val="21"/>
                      <w:u w:val="single"/>
                    </w:rPr>
                  </w:pPr>
                  <w:r>
                    <w:rPr>
                      <w:rFonts w:ascii="宋体" w:hAnsi="宋体"/>
                      <w:i/>
                      <w:iCs/>
                      <w:sz w:val="21"/>
                      <w:szCs w:val="21"/>
                      <w:u w:val="single"/>
                    </w:rPr>
                    <w:t>阳离子合计</w:t>
                  </w:r>
                </w:p>
              </w:tc>
              <w:tc>
                <w:tcPr>
                  <w:tcW w:w="1191" w:type="dxa"/>
                  <w:vAlign w:val="center"/>
                </w:tcPr>
                <w:p>
                  <w:pPr>
                    <w:rPr>
                      <w:rFonts w:ascii="宋体" w:hAnsi="宋体"/>
                      <w:i/>
                      <w:iCs/>
                      <w:sz w:val="21"/>
                      <w:szCs w:val="21"/>
                      <w:u w:val="single"/>
                    </w:rPr>
                  </w:pPr>
                  <w:r>
                    <w:rPr>
                      <w:rFonts w:ascii="宋体" w:hAnsi="宋体"/>
                      <w:i/>
                      <w:iCs/>
                      <w:sz w:val="21"/>
                      <w:szCs w:val="21"/>
                      <w:u w:val="single"/>
                    </w:rPr>
                    <w:t>—</w:t>
                  </w:r>
                </w:p>
              </w:tc>
              <w:tc>
                <w:tcPr>
                  <w:tcW w:w="1304" w:type="dxa"/>
                  <w:vAlign w:val="center"/>
                </w:tcPr>
                <w:p>
                  <w:pPr>
                    <w:rPr>
                      <w:rFonts w:ascii="宋体" w:hAnsi="宋体"/>
                      <w:i/>
                      <w:iCs/>
                      <w:sz w:val="21"/>
                      <w:szCs w:val="21"/>
                      <w:u w:val="single"/>
                    </w:rPr>
                  </w:pPr>
                  <w:r>
                    <w:rPr>
                      <w:rFonts w:ascii="宋体" w:hAnsi="宋体"/>
                      <w:i/>
                      <w:iCs/>
                      <w:sz w:val="21"/>
                      <w:szCs w:val="21"/>
                      <w:u w:val="single"/>
                    </w:rPr>
                    <w:t>—</w:t>
                  </w:r>
                </w:p>
              </w:tc>
              <w:tc>
                <w:tcPr>
                  <w:tcW w:w="1474" w:type="dxa"/>
                  <w:vAlign w:val="center"/>
                </w:tcPr>
                <w:p>
                  <w:pPr>
                    <w:rPr>
                      <w:rFonts w:ascii="宋体" w:hAnsi="宋体"/>
                      <w:i/>
                      <w:iCs/>
                      <w:sz w:val="21"/>
                      <w:szCs w:val="21"/>
                      <w:u w:val="single"/>
                    </w:rPr>
                  </w:pPr>
                  <w:r>
                    <w:rPr>
                      <w:rFonts w:ascii="宋体" w:hAnsi="宋体"/>
                      <w:i/>
                      <w:iCs/>
                      <w:sz w:val="21"/>
                      <w:szCs w:val="21"/>
                      <w:u w:val="single"/>
                    </w:rPr>
                    <w:t>8.224</w:t>
                  </w:r>
                </w:p>
              </w:tc>
              <w:tc>
                <w:tcPr>
                  <w:tcW w:w="1361" w:type="dxa"/>
                  <w:vAlign w:val="center"/>
                </w:tcPr>
                <w:p>
                  <w:pPr>
                    <w:rPr>
                      <w:rFonts w:ascii="宋体" w:hAnsi="宋体"/>
                      <w:i/>
                      <w:iCs/>
                      <w:sz w:val="21"/>
                      <w:szCs w:val="21"/>
                      <w:u w:val="single"/>
                    </w:rPr>
                  </w:pPr>
                  <w:r>
                    <w:rPr>
                      <w:rFonts w:ascii="宋体" w:hAnsi="宋体"/>
                      <w:i/>
                      <w:iCs/>
                      <w:sz w:val="21"/>
                      <w:szCs w:val="21"/>
                      <w:u w:val="single"/>
                    </w:rPr>
                    <w:t>100.00</w:t>
                  </w:r>
                </w:p>
              </w:tc>
              <w:tc>
                <w:tcPr>
                  <w:tcW w:w="850" w:type="dxa"/>
                  <w:vAlign w:val="center"/>
                </w:tcPr>
                <w:p>
                  <w:pPr>
                    <w:rPr>
                      <w:rFonts w:ascii="宋体" w:hAnsi="宋体"/>
                      <w:i/>
                      <w:iCs/>
                      <w:sz w:val="21"/>
                      <w:szCs w:val="21"/>
                      <w:u w:val="single"/>
                    </w:rPr>
                  </w:pPr>
                  <w:r>
                    <w:rPr>
                      <w:rFonts w:ascii="宋体" w:hAnsi="宋体"/>
                      <w:i/>
                      <w:iCs/>
                      <w:sz w:val="21"/>
                      <w:szCs w:val="21"/>
                      <w:u w:val="single"/>
                    </w:rPr>
                    <w:t>—</w:t>
                  </w:r>
                </w:p>
              </w:tc>
            </w:tr>
            <w:tr>
              <w:tc>
                <w:tcPr>
                  <w:tcW w:w="737" w:type="dxa"/>
                  <w:vAlign w:val="center"/>
                </w:tcPr>
                <w:p>
                  <w:pPr>
                    <w:rPr>
                      <w:rFonts w:ascii="宋体" w:hAnsi="宋体"/>
                      <w:i/>
                      <w:iCs/>
                      <w:sz w:val="21"/>
                      <w:szCs w:val="21"/>
                      <w:u w:val="single"/>
                    </w:rPr>
                  </w:pPr>
                  <w:r>
                    <w:rPr>
                      <w:rFonts w:ascii="宋体" w:hAnsi="宋体"/>
                      <w:i/>
                      <w:iCs/>
                      <w:sz w:val="21"/>
                      <w:szCs w:val="21"/>
                      <w:u w:val="single"/>
                    </w:rPr>
                    <w:t>5</w:t>
                  </w:r>
                </w:p>
              </w:tc>
              <w:tc>
                <w:tcPr>
                  <w:tcW w:w="1247" w:type="dxa"/>
                  <w:vAlign w:val="center"/>
                </w:tcPr>
                <w:p>
                  <w:pPr>
                    <w:rPr>
                      <w:rFonts w:ascii="宋体" w:hAnsi="宋体"/>
                      <w:i/>
                      <w:iCs/>
                      <w:sz w:val="21"/>
                      <w:szCs w:val="21"/>
                      <w:u w:val="single"/>
                    </w:rPr>
                  </w:pPr>
                  <w:r>
                    <w:rPr>
                      <w:rFonts w:ascii="宋体" w:hAnsi="宋体"/>
                      <w:i/>
                      <w:iCs/>
                      <w:sz w:val="21"/>
                      <w:szCs w:val="21"/>
                      <w:u w:val="single"/>
                    </w:rPr>
                    <w:t>CO</w:t>
                  </w:r>
                  <w:r>
                    <w:rPr>
                      <w:rFonts w:ascii="Cambria Math" w:hAnsi="Cambria Math" w:cs="Cambria Math"/>
                      <w:i/>
                      <w:iCs/>
                      <w:sz w:val="21"/>
                      <w:szCs w:val="21"/>
                      <w:u w:val="single"/>
                    </w:rPr>
                    <w:t>₃</w:t>
                  </w:r>
                  <w:r>
                    <w:rPr>
                      <w:rFonts w:hint="eastAsia" w:ascii="宋体" w:hAnsi="宋体" w:cs="宋体"/>
                      <w:i/>
                      <w:iCs/>
                      <w:sz w:val="21"/>
                      <w:szCs w:val="21"/>
                      <w:u w:val="single"/>
                    </w:rPr>
                    <w:t>²</w:t>
                  </w:r>
                  <w:r>
                    <w:rPr>
                      <w:rFonts w:ascii="Cambria Math" w:hAnsi="Cambria Math" w:cs="Cambria Math"/>
                      <w:i/>
                      <w:iCs/>
                      <w:sz w:val="21"/>
                      <w:szCs w:val="21"/>
                      <w:u w:val="single"/>
                    </w:rPr>
                    <w:t>⁻</w:t>
                  </w:r>
                </w:p>
              </w:tc>
              <w:tc>
                <w:tcPr>
                  <w:tcW w:w="1191" w:type="dxa"/>
                  <w:vAlign w:val="center"/>
                </w:tcPr>
                <w:p>
                  <w:pPr>
                    <w:rPr>
                      <w:rFonts w:ascii="宋体" w:hAnsi="宋体"/>
                      <w:i/>
                      <w:iCs/>
                      <w:sz w:val="21"/>
                      <w:szCs w:val="21"/>
                      <w:u w:val="single"/>
                    </w:rPr>
                  </w:pPr>
                  <w:r>
                    <w:rPr>
                      <w:rFonts w:ascii="宋体" w:hAnsi="宋体"/>
                      <w:i/>
                      <w:iCs/>
                      <w:sz w:val="21"/>
                      <w:szCs w:val="21"/>
                      <w:u w:val="single"/>
                    </w:rPr>
                    <w:t>未检出</w:t>
                  </w:r>
                </w:p>
              </w:tc>
              <w:tc>
                <w:tcPr>
                  <w:tcW w:w="1304" w:type="dxa"/>
                  <w:vAlign w:val="center"/>
                </w:tcPr>
                <w:p>
                  <w:pPr>
                    <w:rPr>
                      <w:rFonts w:ascii="宋体" w:hAnsi="宋体"/>
                      <w:i/>
                      <w:iCs/>
                      <w:sz w:val="21"/>
                      <w:szCs w:val="21"/>
                      <w:u w:val="single"/>
                    </w:rPr>
                  </w:pPr>
                  <w:r>
                    <w:rPr>
                      <w:rFonts w:ascii="宋体" w:hAnsi="宋体"/>
                      <w:i/>
                      <w:iCs/>
                      <w:sz w:val="21"/>
                      <w:szCs w:val="21"/>
                      <w:u w:val="single"/>
                    </w:rPr>
                    <w:t>30.00 / -2</w:t>
                  </w:r>
                </w:p>
              </w:tc>
              <w:tc>
                <w:tcPr>
                  <w:tcW w:w="1474" w:type="dxa"/>
                  <w:vAlign w:val="center"/>
                </w:tcPr>
                <w:p>
                  <w:pPr>
                    <w:rPr>
                      <w:rFonts w:ascii="宋体" w:hAnsi="宋体"/>
                      <w:i/>
                      <w:iCs/>
                      <w:sz w:val="21"/>
                      <w:szCs w:val="21"/>
                      <w:u w:val="single"/>
                    </w:rPr>
                  </w:pPr>
                  <w:r>
                    <w:rPr>
                      <w:rFonts w:ascii="宋体" w:hAnsi="宋体"/>
                      <w:i/>
                      <w:iCs/>
                      <w:sz w:val="21"/>
                      <w:szCs w:val="21"/>
                      <w:u w:val="single"/>
                    </w:rPr>
                    <w:t>0.000</w:t>
                  </w:r>
                </w:p>
              </w:tc>
              <w:tc>
                <w:tcPr>
                  <w:tcW w:w="1361" w:type="dxa"/>
                  <w:vAlign w:val="center"/>
                </w:tcPr>
                <w:p>
                  <w:pPr>
                    <w:rPr>
                      <w:rFonts w:ascii="宋体" w:hAnsi="宋体"/>
                      <w:i/>
                      <w:iCs/>
                      <w:sz w:val="21"/>
                      <w:szCs w:val="21"/>
                      <w:u w:val="single"/>
                    </w:rPr>
                  </w:pPr>
                  <w:r>
                    <w:rPr>
                      <w:rFonts w:ascii="宋体" w:hAnsi="宋体"/>
                      <w:i/>
                      <w:iCs/>
                      <w:sz w:val="21"/>
                      <w:szCs w:val="21"/>
                      <w:u w:val="single"/>
                    </w:rPr>
                    <w:t>0.00</w:t>
                  </w:r>
                </w:p>
              </w:tc>
              <w:tc>
                <w:tcPr>
                  <w:tcW w:w="850" w:type="dxa"/>
                  <w:vAlign w:val="center"/>
                </w:tcPr>
                <w:p>
                  <w:pPr>
                    <w:rPr>
                      <w:rFonts w:ascii="宋体" w:hAnsi="宋体"/>
                      <w:i/>
                      <w:iCs/>
                      <w:sz w:val="21"/>
                      <w:szCs w:val="21"/>
                      <w:u w:val="single"/>
                    </w:rPr>
                  </w:pPr>
                  <w:r>
                    <w:rPr>
                      <w:rFonts w:ascii="宋体" w:hAnsi="宋体"/>
                      <w:i/>
                      <w:iCs/>
                      <w:sz w:val="21"/>
                      <w:szCs w:val="21"/>
                      <w:u w:val="single"/>
                    </w:rPr>
                    <w:t>4</w:t>
                  </w:r>
                </w:p>
              </w:tc>
            </w:tr>
            <w:tr>
              <w:tc>
                <w:tcPr>
                  <w:tcW w:w="737" w:type="dxa"/>
                  <w:vAlign w:val="center"/>
                </w:tcPr>
                <w:p>
                  <w:pPr>
                    <w:rPr>
                      <w:rFonts w:ascii="宋体" w:hAnsi="宋体"/>
                      <w:i/>
                      <w:iCs/>
                      <w:sz w:val="21"/>
                      <w:szCs w:val="21"/>
                      <w:u w:val="single"/>
                    </w:rPr>
                  </w:pPr>
                  <w:r>
                    <w:rPr>
                      <w:rFonts w:ascii="宋体" w:hAnsi="宋体"/>
                      <w:i/>
                      <w:iCs/>
                      <w:sz w:val="21"/>
                      <w:szCs w:val="21"/>
                      <w:u w:val="single"/>
                    </w:rPr>
                    <w:t>6</w:t>
                  </w:r>
                </w:p>
              </w:tc>
              <w:tc>
                <w:tcPr>
                  <w:tcW w:w="1247" w:type="dxa"/>
                  <w:vAlign w:val="center"/>
                </w:tcPr>
                <w:p>
                  <w:pPr>
                    <w:rPr>
                      <w:rFonts w:ascii="宋体" w:hAnsi="宋体"/>
                      <w:i/>
                      <w:iCs/>
                      <w:sz w:val="21"/>
                      <w:szCs w:val="21"/>
                      <w:u w:val="single"/>
                    </w:rPr>
                  </w:pPr>
                  <w:r>
                    <w:rPr>
                      <w:rFonts w:ascii="宋体" w:hAnsi="宋体"/>
                      <w:i/>
                      <w:iCs/>
                      <w:sz w:val="21"/>
                      <w:szCs w:val="21"/>
                      <w:u w:val="single"/>
                    </w:rPr>
                    <w:t>HCO</w:t>
                  </w:r>
                  <w:r>
                    <w:rPr>
                      <w:rFonts w:ascii="Cambria Math" w:hAnsi="Cambria Math" w:cs="Cambria Math"/>
                      <w:i/>
                      <w:iCs/>
                      <w:sz w:val="21"/>
                      <w:szCs w:val="21"/>
                      <w:u w:val="single"/>
                    </w:rPr>
                    <w:t>₃⁻</w:t>
                  </w:r>
                </w:p>
              </w:tc>
              <w:tc>
                <w:tcPr>
                  <w:tcW w:w="1191" w:type="dxa"/>
                  <w:vAlign w:val="center"/>
                </w:tcPr>
                <w:p>
                  <w:pPr>
                    <w:rPr>
                      <w:rFonts w:ascii="宋体" w:hAnsi="宋体"/>
                      <w:i/>
                      <w:iCs/>
                      <w:sz w:val="21"/>
                      <w:szCs w:val="21"/>
                      <w:u w:val="single"/>
                    </w:rPr>
                  </w:pPr>
                  <w:r>
                    <w:rPr>
                      <w:rFonts w:ascii="宋体" w:hAnsi="宋体"/>
                      <w:i/>
                      <w:iCs/>
                      <w:sz w:val="21"/>
                      <w:szCs w:val="21"/>
                      <w:u w:val="single"/>
                    </w:rPr>
                    <w:t>377</w:t>
                  </w:r>
                </w:p>
              </w:tc>
              <w:tc>
                <w:tcPr>
                  <w:tcW w:w="1304" w:type="dxa"/>
                  <w:vAlign w:val="center"/>
                </w:tcPr>
                <w:p>
                  <w:pPr>
                    <w:rPr>
                      <w:rFonts w:ascii="宋体" w:hAnsi="宋体"/>
                      <w:i/>
                      <w:iCs/>
                      <w:sz w:val="21"/>
                      <w:szCs w:val="21"/>
                      <w:u w:val="single"/>
                    </w:rPr>
                  </w:pPr>
                  <w:r>
                    <w:rPr>
                      <w:rFonts w:ascii="宋体" w:hAnsi="宋体"/>
                      <w:i/>
                      <w:iCs/>
                      <w:sz w:val="21"/>
                      <w:szCs w:val="21"/>
                      <w:u w:val="single"/>
                    </w:rPr>
                    <w:t>61.02 / -1</w:t>
                  </w:r>
                </w:p>
              </w:tc>
              <w:tc>
                <w:tcPr>
                  <w:tcW w:w="1474" w:type="dxa"/>
                  <w:vAlign w:val="center"/>
                </w:tcPr>
                <w:p>
                  <w:pPr>
                    <w:rPr>
                      <w:rFonts w:ascii="宋体" w:hAnsi="宋体"/>
                      <w:i/>
                      <w:iCs/>
                      <w:sz w:val="21"/>
                      <w:szCs w:val="21"/>
                      <w:u w:val="single"/>
                    </w:rPr>
                  </w:pPr>
                  <w:r>
                    <w:rPr>
                      <w:rFonts w:ascii="宋体" w:hAnsi="宋体"/>
                      <w:i/>
                      <w:iCs/>
                      <w:sz w:val="21"/>
                      <w:szCs w:val="21"/>
                      <w:u w:val="single"/>
                    </w:rPr>
                    <w:t>6.178</w:t>
                  </w:r>
                </w:p>
              </w:tc>
              <w:tc>
                <w:tcPr>
                  <w:tcW w:w="1361" w:type="dxa"/>
                  <w:vAlign w:val="center"/>
                </w:tcPr>
                <w:p>
                  <w:pPr>
                    <w:rPr>
                      <w:rFonts w:ascii="宋体" w:hAnsi="宋体"/>
                      <w:i/>
                      <w:iCs/>
                      <w:sz w:val="21"/>
                      <w:szCs w:val="21"/>
                      <w:u w:val="single"/>
                    </w:rPr>
                  </w:pPr>
                  <w:r>
                    <w:rPr>
                      <w:rFonts w:ascii="宋体" w:hAnsi="宋体"/>
                      <w:i/>
                      <w:iCs/>
                      <w:sz w:val="21"/>
                      <w:szCs w:val="21"/>
                      <w:u w:val="single"/>
                    </w:rPr>
                    <w:t>73.24</w:t>
                  </w:r>
                </w:p>
              </w:tc>
              <w:tc>
                <w:tcPr>
                  <w:tcW w:w="850" w:type="dxa"/>
                  <w:vAlign w:val="center"/>
                </w:tcPr>
                <w:p>
                  <w:pPr>
                    <w:rPr>
                      <w:rFonts w:ascii="宋体" w:hAnsi="宋体"/>
                      <w:i/>
                      <w:iCs/>
                      <w:sz w:val="21"/>
                      <w:szCs w:val="21"/>
                      <w:u w:val="single"/>
                    </w:rPr>
                  </w:pPr>
                  <w:r>
                    <w:rPr>
                      <w:rFonts w:ascii="宋体" w:hAnsi="宋体"/>
                      <w:i/>
                      <w:iCs/>
                      <w:sz w:val="21"/>
                      <w:szCs w:val="21"/>
                      <w:u w:val="single"/>
                    </w:rPr>
                    <w:t>1</w:t>
                  </w:r>
                </w:p>
              </w:tc>
            </w:tr>
            <w:tr>
              <w:tc>
                <w:tcPr>
                  <w:tcW w:w="737" w:type="dxa"/>
                  <w:vAlign w:val="center"/>
                </w:tcPr>
                <w:p>
                  <w:pPr>
                    <w:rPr>
                      <w:rFonts w:ascii="宋体" w:hAnsi="宋体"/>
                      <w:i/>
                      <w:iCs/>
                      <w:sz w:val="21"/>
                      <w:szCs w:val="21"/>
                      <w:u w:val="single"/>
                    </w:rPr>
                  </w:pPr>
                  <w:r>
                    <w:rPr>
                      <w:rFonts w:ascii="宋体" w:hAnsi="宋体"/>
                      <w:i/>
                      <w:iCs/>
                      <w:sz w:val="21"/>
                      <w:szCs w:val="21"/>
                      <w:u w:val="single"/>
                    </w:rPr>
                    <w:t>7</w:t>
                  </w:r>
                </w:p>
              </w:tc>
              <w:tc>
                <w:tcPr>
                  <w:tcW w:w="1247" w:type="dxa"/>
                  <w:vAlign w:val="center"/>
                </w:tcPr>
                <w:p>
                  <w:pPr>
                    <w:rPr>
                      <w:rFonts w:ascii="宋体" w:hAnsi="宋体"/>
                      <w:i/>
                      <w:iCs/>
                      <w:sz w:val="21"/>
                      <w:szCs w:val="21"/>
                      <w:u w:val="single"/>
                    </w:rPr>
                  </w:pPr>
                  <w:r>
                    <w:rPr>
                      <w:rFonts w:ascii="宋体" w:hAnsi="宋体"/>
                      <w:i/>
                      <w:iCs/>
                      <w:sz w:val="21"/>
                      <w:szCs w:val="21"/>
                      <w:u w:val="single"/>
                    </w:rPr>
                    <w:t>Cl</w:t>
                  </w:r>
                  <w:r>
                    <w:rPr>
                      <w:rFonts w:ascii="Cambria Math" w:hAnsi="Cambria Math" w:cs="Cambria Math"/>
                      <w:i/>
                      <w:iCs/>
                      <w:sz w:val="21"/>
                      <w:szCs w:val="21"/>
                      <w:u w:val="single"/>
                    </w:rPr>
                    <w:t>⁻</w:t>
                  </w:r>
                </w:p>
              </w:tc>
              <w:tc>
                <w:tcPr>
                  <w:tcW w:w="1191" w:type="dxa"/>
                  <w:vAlign w:val="center"/>
                </w:tcPr>
                <w:p>
                  <w:pPr>
                    <w:rPr>
                      <w:rFonts w:ascii="宋体" w:hAnsi="宋体"/>
                      <w:i/>
                      <w:iCs/>
                      <w:sz w:val="21"/>
                      <w:szCs w:val="21"/>
                      <w:u w:val="single"/>
                    </w:rPr>
                  </w:pPr>
                  <w:r>
                    <w:rPr>
                      <w:rFonts w:ascii="宋体" w:hAnsi="宋体"/>
                      <w:i/>
                      <w:iCs/>
                      <w:sz w:val="21"/>
                      <w:szCs w:val="21"/>
                      <w:u w:val="single"/>
                    </w:rPr>
                    <w:t>26.8</w:t>
                  </w:r>
                </w:p>
              </w:tc>
              <w:tc>
                <w:tcPr>
                  <w:tcW w:w="1304" w:type="dxa"/>
                  <w:vAlign w:val="center"/>
                </w:tcPr>
                <w:p>
                  <w:pPr>
                    <w:rPr>
                      <w:rFonts w:ascii="宋体" w:hAnsi="宋体"/>
                      <w:i/>
                      <w:iCs/>
                      <w:sz w:val="21"/>
                      <w:szCs w:val="21"/>
                      <w:u w:val="single"/>
                    </w:rPr>
                  </w:pPr>
                  <w:r>
                    <w:rPr>
                      <w:rFonts w:ascii="宋体" w:hAnsi="宋体"/>
                      <w:i/>
                      <w:iCs/>
                      <w:sz w:val="21"/>
                      <w:szCs w:val="21"/>
                      <w:u w:val="single"/>
                    </w:rPr>
                    <w:t>35.45 / -1</w:t>
                  </w:r>
                </w:p>
              </w:tc>
              <w:tc>
                <w:tcPr>
                  <w:tcW w:w="1474" w:type="dxa"/>
                  <w:vAlign w:val="center"/>
                </w:tcPr>
                <w:p>
                  <w:pPr>
                    <w:rPr>
                      <w:rFonts w:ascii="宋体" w:hAnsi="宋体"/>
                      <w:i/>
                      <w:iCs/>
                      <w:sz w:val="21"/>
                      <w:szCs w:val="21"/>
                      <w:u w:val="single"/>
                    </w:rPr>
                  </w:pPr>
                  <w:r>
                    <w:rPr>
                      <w:rFonts w:ascii="宋体" w:hAnsi="宋体"/>
                      <w:i/>
                      <w:iCs/>
                      <w:sz w:val="21"/>
                      <w:szCs w:val="21"/>
                      <w:u w:val="single"/>
                    </w:rPr>
                    <w:t>0.756</w:t>
                  </w:r>
                </w:p>
              </w:tc>
              <w:tc>
                <w:tcPr>
                  <w:tcW w:w="1361" w:type="dxa"/>
                  <w:vAlign w:val="center"/>
                </w:tcPr>
                <w:p>
                  <w:pPr>
                    <w:rPr>
                      <w:rFonts w:ascii="宋体" w:hAnsi="宋体"/>
                      <w:i/>
                      <w:iCs/>
                      <w:sz w:val="21"/>
                      <w:szCs w:val="21"/>
                      <w:u w:val="single"/>
                    </w:rPr>
                  </w:pPr>
                  <w:r>
                    <w:rPr>
                      <w:rFonts w:ascii="宋体" w:hAnsi="宋体"/>
                      <w:i/>
                      <w:iCs/>
                      <w:sz w:val="21"/>
                      <w:szCs w:val="21"/>
                      <w:u w:val="single"/>
                    </w:rPr>
                    <w:t>8.96</w:t>
                  </w:r>
                </w:p>
              </w:tc>
              <w:tc>
                <w:tcPr>
                  <w:tcW w:w="850" w:type="dxa"/>
                  <w:vAlign w:val="center"/>
                </w:tcPr>
                <w:p>
                  <w:pPr>
                    <w:rPr>
                      <w:rFonts w:ascii="宋体" w:hAnsi="宋体"/>
                      <w:i/>
                      <w:iCs/>
                      <w:sz w:val="21"/>
                      <w:szCs w:val="21"/>
                      <w:u w:val="single"/>
                    </w:rPr>
                  </w:pPr>
                  <w:r>
                    <w:rPr>
                      <w:rFonts w:ascii="宋体" w:hAnsi="宋体"/>
                      <w:i/>
                      <w:iCs/>
                      <w:sz w:val="21"/>
                      <w:szCs w:val="21"/>
                      <w:u w:val="single"/>
                    </w:rPr>
                    <w:t>3</w:t>
                  </w:r>
                </w:p>
              </w:tc>
            </w:tr>
            <w:tr>
              <w:tc>
                <w:tcPr>
                  <w:tcW w:w="737" w:type="dxa"/>
                  <w:vAlign w:val="center"/>
                </w:tcPr>
                <w:p>
                  <w:pPr>
                    <w:rPr>
                      <w:rFonts w:ascii="宋体" w:hAnsi="宋体"/>
                      <w:i/>
                      <w:iCs/>
                      <w:sz w:val="21"/>
                      <w:szCs w:val="21"/>
                      <w:u w:val="single"/>
                    </w:rPr>
                  </w:pPr>
                  <w:r>
                    <w:rPr>
                      <w:rFonts w:ascii="宋体" w:hAnsi="宋体"/>
                      <w:i/>
                      <w:iCs/>
                      <w:sz w:val="21"/>
                      <w:szCs w:val="21"/>
                      <w:u w:val="single"/>
                    </w:rPr>
                    <w:t>8</w:t>
                  </w:r>
                </w:p>
              </w:tc>
              <w:tc>
                <w:tcPr>
                  <w:tcW w:w="1247" w:type="dxa"/>
                  <w:vAlign w:val="center"/>
                </w:tcPr>
                <w:p>
                  <w:pPr>
                    <w:rPr>
                      <w:rFonts w:ascii="宋体" w:hAnsi="宋体"/>
                      <w:i/>
                      <w:iCs/>
                      <w:sz w:val="21"/>
                      <w:szCs w:val="21"/>
                      <w:u w:val="single"/>
                    </w:rPr>
                  </w:pPr>
                  <w:r>
                    <w:rPr>
                      <w:rFonts w:ascii="宋体" w:hAnsi="宋体"/>
                      <w:i/>
                      <w:iCs/>
                      <w:sz w:val="21"/>
                      <w:szCs w:val="21"/>
                      <w:u w:val="single"/>
                    </w:rPr>
                    <w:t>SO</w:t>
                  </w:r>
                  <w:r>
                    <w:rPr>
                      <w:rFonts w:ascii="Cambria Math" w:hAnsi="Cambria Math" w:cs="Cambria Math"/>
                      <w:i/>
                      <w:iCs/>
                      <w:sz w:val="21"/>
                      <w:szCs w:val="21"/>
                      <w:u w:val="single"/>
                    </w:rPr>
                    <w:t>₄</w:t>
                  </w:r>
                  <w:r>
                    <w:rPr>
                      <w:rFonts w:hint="eastAsia" w:ascii="宋体" w:hAnsi="宋体" w:cs="宋体"/>
                      <w:i/>
                      <w:iCs/>
                      <w:sz w:val="21"/>
                      <w:szCs w:val="21"/>
                      <w:u w:val="single"/>
                    </w:rPr>
                    <w:t>²</w:t>
                  </w:r>
                  <w:r>
                    <w:rPr>
                      <w:rFonts w:ascii="Cambria Math" w:hAnsi="Cambria Math" w:cs="Cambria Math"/>
                      <w:i/>
                      <w:iCs/>
                      <w:sz w:val="21"/>
                      <w:szCs w:val="21"/>
                      <w:u w:val="single"/>
                    </w:rPr>
                    <w:t>⁻</w:t>
                  </w:r>
                </w:p>
              </w:tc>
              <w:tc>
                <w:tcPr>
                  <w:tcW w:w="1191" w:type="dxa"/>
                  <w:vAlign w:val="center"/>
                </w:tcPr>
                <w:p>
                  <w:pPr>
                    <w:rPr>
                      <w:rFonts w:ascii="宋体" w:hAnsi="宋体"/>
                      <w:i/>
                      <w:iCs/>
                      <w:sz w:val="21"/>
                      <w:szCs w:val="21"/>
                      <w:u w:val="single"/>
                    </w:rPr>
                  </w:pPr>
                  <w:r>
                    <w:rPr>
                      <w:rFonts w:ascii="宋体" w:hAnsi="宋体"/>
                      <w:i/>
                      <w:iCs/>
                      <w:sz w:val="21"/>
                      <w:szCs w:val="21"/>
                      <w:u w:val="single"/>
                    </w:rPr>
                    <w:t>72.1</w:t>
                  </w:r>
                </w:p>
              </w:tc>
              <w:tc>
                <w:tcPr>
                  <w:tcW w:w="1304" w:type="dxa"/>
                  <w:vAlign w:val="center"/>
                </w:tcPr>
                <w:p>
                  <w:pPr>
                    <w:rPr>
                      <w:rFonts w:ascii="宋体" w:hAnsi="宋体"/>
                      <w:i/>
                      <w:iCs/>
                      <w:sz w:val="21"/>
                      <w:szCs w:val="21"/>
                      <w:u w:val="single"/>
                    </w:rPr>
                  </w:pPr>
                  <w:r>
                    <w:rPr>
                      <w:rFonts w:ascii="宋体" w:hAnsi="宋体"/>
                      <w:i/>
                      <w:iCs/>
                      <w:sz w:val="21"/>
                      <w:szCs w:val="21"/>
                      <w:u w:val="single"/>
                    </w:rPr>
                    <w:t>96.06 / -2</w:t>
                  </w:r>
                </w:p>
              </w:tc>
              <w:tc>
                <w:tcPr>
                  <w:tcW w:w="1474" w:type="dxa"/>
                  <w:vAlign w:val="center"/>
                </w:tcPr>
                <w:p>
                  <w:pPr>
                    <w:rPr>
                      <w:rFonts w:ascii="宋体" w:hAnsi="宋体"/>
                      <w:i/>
                      <w:iCs/>
                      <w:sz w:val="21"/>
                      <w:szCs w:val="21"/>
                      <w:u w:val="single"/>
                    </w:rPr>
                  </w:pPr>
                  <w:r>
                    <w:rPr>
                      <w:rFonts w:ascii="宋体" w:hAnsi="宋体"/>
                      <w:i/>
                      <w:iCs/>
                      <w:sz w:val="21"/>
                      <w:szCs w:val="21"/>
                      <w:u w:val="single"/>
                    </w:rPr>
                    <w:t>1.501</w:t>
                  </w:r>
                </w:p>
              </w:tc>
              <w:tc>
                <w:tcPr>
                  <w:tcW w:w="1361" w:type="dxa"/>
                  <w:vAlign w:val="center"/>
                </w:tcPr>
                <w:p>
                  <w:pPr>
                    <w:rPr>
                      <w:rFonts w:ascii="宋体" w:hAnsi="宋体"/>
                      <w:i/>
                      <w:iCs/>
                      <w:sz w:val="21"/>
                      <w:szCs w:val="21"/>
                      <w:u w:val="single"/>
                    </w:rPr>
                  </w:pPr>
                  <w:r>
                    <w:rPr>
                      <w:rFonts w:ascii="宋体" w:hAnsi="宋体"/>
                      <w:i/>
                      <w:iCs/>
                      <w:sz w:val="21"/>
                      <w:szCs w:val="21"/>
                      <w:u w:val="single"/>
                    </w:rPr>
                    <w:t>17.80</w:t>
                  </w:r>
                </w:p>
              </w:tc>
              <w:tc>
                <w:tcPr>
                  <w:tcW w:w="850" w:type="dxa"/>
                  <w:vAlign w:val="center"/>
                </w:tcPr>
                <w:p>
                  <w:pPr>
                    <w:rPr>
                      <w:rFonts w:ascii="宋体" w:hAnsi="宋体"/>
                      <w:i/>
                      <w:iCs/>
                      <w:sz w:val="21"/>
                      <w:szCs w:val="21"/>
                      <w:u w:val="single"/>
                    </w:rPr>
                  </w:pPr>
                  <w:r>
                    <w:rPr>
                      <w:rFonts w:ascii="宋体" w:hAnsi="宋体"/>
                      <w:i/>
                      <w:iCs/>
                      <w:sz w:val="21"/>
                      <w:szCs w:val="21"/>
                      <w:u w:val="single"/>
                    </w:rPr>
                    <w:t>2</w:t>
                  </w:r>
                </w:p>
              </w:tc>
            </w:tr>
            <w:tr>
              <w:tc>
                <w:tcPr>
                  <w:tcW w:w="737" w:type="dxa"/>
                  <w:vAlign w:val="center"/>
                </w:tcPr>
                <w:p>
                  <w:pPr>
                    <w:rPr>
                      <w:rFonts w:ascii="宋体" w:hAnsi="宋体"/>
                      <w:i/>
                      <w:iCs/>
                      <w:sz w:val="21"/>
                      <w:szCs w:val="21"/>
                      <w:u w:val="single"/>
                    </w:rPr>
                  </w:pPr>
                </w:p>
              </w:tc>
              <w:tc>
                <w:tcPr>
                  <w:tcW w:w="1247" w:type="dxa"/>
                  <w:vAlign w:val="center"/>
                </w:tcPr>
                <w:p>
                  <w:pPr>
                    <w:rPr>
                      <w:rFonts w:ascii="宋体" w:hAnsi="宋体"/>
                      <w:i/>
                      <w:iCs/>
                      <w:sz w:val="21"/>
                      <w:szCs w:val="21"/>
                      <w:u w:val="single"/>
                    </w:rPr>
                  </w:pPr>
                  <w:r>
                    <w:rPr>
                      <w:rFonts w:ascii="宋体" w:hAnsi="宋体"/>
                      <w:i/>
                      <w:iCs/>
                      <w:sz w:val="21"/>
                      <w:szCs w:val="21"/>
                      <w:u w:val="single"/>
                    </w:rPr>
                    <w:t>阴离子合计</w:t>
                  </w:r>
                </w:p>
              </w:tc>
              <w:tc>
                <w:tcPr>
                  <w:tcW w:w="1191" w:type="dxa"/>
                  <w:vAlign w:val="center"/>
                </w:tcPr>
                <w:p>
                  <w:pPr>
                    <w:rPr>
                      <w:rFonts w:ascii="宋体" w:hAnsi="宋体"/>
                      <w:i/>
                      <w:iCs/>
                      <w:sz w:val="21"/>
                      <w:szCs w:val="21"/>
                      <w:u w:val="single"/>
                    </w:rPr>
                  </w:pPr>
                  <w:r>
                    <w:rPr>
                      <w:rFonts w:ascii="宋体" w:hAnsi="宋体"/>
                      <w:i/>
                      <w:iCs/>
                      <w:sz w:val="21"/>
                      <w:szCs w:val="21"/>
                      <w:u w:val="single"/>
                    </w:rPr>
                    <w:t>—</w:t>
                  </w:r>
                </w:p>
              </w:tc>
              <w:tc>
                <w:tcPr>
                  <w:tcW w:w="1304" w:type="dxa"/>
                  <w:vAlign w:val="center"/>
                </w:tcPr>
                <w:p>
                  <w:pPr>
                    <w:rPr>
                      <w:rFonts w:ascii="宋体" w:hAnsi="宋体"/>
                      <w:i/>
                      <w:iCs/>
                      <w:sz w:val="21"/>
                      <w:szCs w:val="21"/>
                      <w:u w:val="single"/>
                    </w:rPr>
                  </w:pPr>
                  <w:r>
                    <w:rPr>
                      <w:rFonts w:ascii="宋体" w:hAnsi="宋体"/>
                      <w:i/>
                      <w:iCs/>
                      <w:sz w:val="21"/>
                      <w:szCs w:val="21"/>
                      <w:u w:val="single"/>
                    </w:rPr>
                    <w:t>—</w:t>
                  </w:r>
                </w:p>
              </w:tc>
              <w:tc>
                <w:tcPr>
                  <w:tcW w:w="1474" w:type="dxa"/>
                  <w:vAlign w:val="center"/>
                </w:tcPr>
                <w:p>
                  <w:pPr>
                    <w:rPr>
                      <w:rFonts w:ascii="宋体" w:hAnsi="宋体"/>
                      <w:i/>
                      <w:iCs/>
                      <w:sz w:val="21"/>
                      <w:szCs w:val="21"/>
                      <w:u w:val="single"/>
                    </w:rPr>
                  </w:pPr>
                  <w:r>
                    <w:rPr>
                      <w:rFonts w:ascii="宋体" w:hAnsi="宋体"/>
                      <w:i/>
                      <w:iCs/>
                      <w:sz w:val="21"/>
                      <w:szCs w:val="21"/>
                      <w:u w:val="single"/>
                    </w:rPr>
                    <w:t>8.435</w:t>
                  </w:r>
                </w:p>
              </w:tc>
              <w:tc>
                <w:tcPr>
                  <w:tcW w:w="1361" w:type="dxa"/>
                  <w:vAlign w:val="center"/>
                </w:tcPr>
                <w:p>
                  <w:pPr>
                    <w:rPr>
                      <w:rFonts w:ascii="宋体" w:hAnsi="宋体"/>
                      <w:i/>
                      <w:iCs/>
                      <w:sz w:val="21"/>
                      <w:szCs w:val="21"/>
                      <w:u w:val="single"/>
                    </w:rPr>
                  </w:pPr>
                  <w:r>
                    <w:rPr>
                      <w:rFonts w:ascii="宋体" w:hAnsi="宋体"/>
                      <w:i/>
                      <w:iCs/>
                      <w:sz w:val="21"/>
                      <w:szCs w:val="21"/>
                      <w:u w:val="single"/>
                    </w:rPr>
                    <w:t>100.00</w:t>
                  </w:r>
                </w:p>
              </w:tc>
              <w:tc>
                <w:tcPr>
                  <w:tcW w:w="850" w:type="dxa"/>
                  <w:vAlign w:val="center"/>
                </w:tcPr>
                <w:p>
                  <w:pPr>
                    <w:rPr>
                      <w:rFonts w:ascii="宋体" w:hAnsi="宋体"/>
                      <w:i/>
                      <w:iCs/>
                      <w:sz w:val="21"/>
                      <w:szCs w:val="21"/>
                      <w:u w:val="single"/>
                    </w:rPr>
                  </w:pPr>
                  <w:r>
                    <w:rPr>
                      <w:rFonts w:ascii="宋体" w:hAnsi="宋体"/>
                      <w:i/>
                      <w:iCs/>
                      <w:sz w:val="21"/>
                      <w:szCs w:val="21"/>
                      <w:u w:val="single"/>
                    </w:rPr>
                    <w:t>—</w:t>
                  </w:r>
                </w:p>
              </w:tc>
            </w:tr>
          </w:tbl>
          <w:p>
            <w:pPr>
              <w:spacing w:line="360" w:lineRule="auto"/>
              <w:ind w:firstLine="480" w:firstLineChars="200"/>
              <w:rPr>
                <w:rFonts w:ascii="宋体" w:hAnsi="宋体" w:cs="宋体"/>
                <w:i/>
                <w:iCs/>
                <w:u w:val="single"/>
              </w:rPr>
            </w:pPr>
            <w:r>
              <w:rPr>
                <w:rFonts w:hint="eastAsia" w:ascii="宋体" w:hAnsi="宋体" w:cs="宋体"/>
                <w:i/>
                <w:iCs/>
                <w:sz w:val="24"/>
                <w:u w:val="single"/>
              </w:rPr>
              <w:t>由表3-6可见，监测井各项监测指标均能满足《地下水质量标准》（GB/T14848-2017）中Ⅲ类标准，石油类满足《生活饮用水卫生标准》（GB 5749-2022），</w:t>
            </w:r>
            <w:r>
              <w:rPr>
                <w:rFonts w:ascii="宋体" w:hAnsi="宋体"/>
                <w:i/>
                <w:iCs/>
                <w:sz w:val="24"/>
                <w:szCs w:val="32"/>
                <w:u w:val="single"/>
              </w:rPr>
              <w:t>由</w:t>
            </w:r>
            <w:r>
              <w:rPr>
                <w:rFonts w:hint="eastAsia" w:ascii="宋体" w:hAnsi="宋体"/>
                <w:i/>
                <w:iCs/>
                <w:sz w:val="24"/>
                <w:szCs w:val="32"/>
                <w:u w:val="single"/>
              </w:rPr>
              <w:t>上表3-7</w:t>
            </w:r>
            <w:r>
              <w:rPr>
                <w:rFonts w:ascii="宋体" w:hAnsi="宋体"/>
                <w:i/>
                <w:iCs/>
                <w:sz w:val="24"/>
                <w:szCs w:val="32"/>
                <w:u w:val="single"/>
              </w:rPr>
              <w:t>表可见，四个阳离子电荷当量浓度由大到小依次为 Na</w:t>
            </w:r>
            <w:r>
              <w:rPr>
                <w:rFonts w:ascii="Cambria Math" w:hAnsi="Cambria Math" w:cs="Cambria Math"/>
                <w:i/>
                <w:iCs/>
                <w:sz w:val="24"/>
                <w:szCs w:val="32"/>
                <w:u w:val="single"/>
              </w:rPr>
              <w:t>⁺</w:t>
            </w:r>
            <w:r>
              <w:rPr>
                <w:rFonts w:ascii="宋体" w:hAnsi="宋体"/>
                <w:i/>
                <w:iCs/>
                <w:sz w:val="24"/>
                <w:szCs w:val="32"/>
                <w:u w:val="single"/>
              </w:rPr>
              <w:t>（3.110 meq/L）&gt; Ca²</w:t>
            </w:r>
            <w:r>
              <w:rPr>
                <w:rFonts w:ascii="Cambria Math" w:hAnsi="Cambria Math" w:cs="Cambria Math"/>
                <w:i/>
                <w:iCs/>
                <w:sz w:val="24"/>
                <w:szCs w:val="32"/>
                <w:u w:val="single"/>
              </w:rPr>
              <w:t>⁺</w:t>
            </w:r>
            <w:r>
              <w:rPr>
                <w:rFonts w:ascii="宋体" w:hAnsi="宋体"/>
                <w:i/>
                <w:iCs/>
                <w:sz w:val="24"/>
                <w:szCs w:val="32"/>
                <w:u w:val="single"/>
              </w:rPr>
              <w:t>（3.024 meq/L）&gt; Mg²</w:t>
            </w:r>
            <w:r>
              <w:rPr>
                <w:rFonts w:ascii="Cambria Math" w:hAnsi="Cambria Math" w:cs="Cambria Math"/>
                <w:i/>
                <w:iCs/>
                <w:sz w:val="24"/>
                <w:szCs w:val="32"/>
                <w:u w:val="single"/>
              </w:rPr>
              <w:t>⁺</w:t>
            </w:r>
            <w:r>
              <w:rPr>
                <w:rFonts w:ascii="宋体" w:hAnsi="宋体"/>
                <w:i/>
                <w:iCs/>
                <w:sz w:val="24"/>
                <w:szCs w:val="32"/>
                <w:u w:val="single"/>
              </w:rPr>
              <w:t>（1.333 meq/L）&gt; K</w:t>
            </w:r>
            <w:r>
              <w:rPr>
                <w:rFonts w:ascii="Cambria Math" w:hAnsi="Cambria Math" w:cs="Cambria Math"/>
                <w:i/>
                <w:iCs/>
                <w:sz w:val="24"/>
                <w:szCs w:val="32"/>
                <w:u w:val="single"/>
              </w:rPr>
              <w:t>⁺</w:t>
            </w:r>
            <w:r>
              <w:rPr>
                <w:rFonts w:ascii="宋体" w:hAnsi="宋体"/>
                <w:i/>
                <w:iCs/>
                <w:sz w:val="24"/>
                <w:szCs w:val="32"/>
                <w:u w:val="single"/>
              </w:rPr>
              <w:t>（0.757 meq/L）；四个阴离子依次为 HCO</w:t>
            </w:r>
            <w:r>
              <w:rPr>
                <w:rFonts w:ascii="Cambria Math" w:hAnsi="Cambria Math" w:cs="Cambria Math"/>
                <w:i/>
                <w:iCs/>
                <w:sz w:val="24"/>
                <w:szCs w:val="32"/>
                <w:u w:val="single"/>
              </w:rPr>
              <w:t>₃⁻</w:t>
            </w:r>
            <w:r>
              <w:rPr>
                <w:rFonts w:ascii="宋体" w:hAnsi="宋体"/>
                <w:i/>
                <w:iCs/>
                <w:sz w:val="24"/>
                <w:szCs w:val="32"/>
                <w:u w:val="single"/>
              </w:rPr>
              <w:t>（6.178 meq/L）&gt; SO</w:t>
            </w:r>
            <w:r>
              <w:rPr>
                <w:rFonts w:ascii="Cambria Math" w:hAnsi="Cambria Math" w:cs="Cambria Math"/>
                <w:i/>
                <w:iCs/>
                <w:sz w:val="24"/>
                <w:szCs w:val="32"/>
                <w:u w:val="single"/>
              </w:rPr>
              <w:t>₄</w:t>
            </w:r>
            <w:r>
              <w:rPr>
                <w:rFonts w:hint="eastAsia" w:ascii="宋体" w:hAnsi="宋体" w:cs="宋体"/>
                <w:i/>
                <w:iCs/>
                <w:sz w:val="24"/>
                <w:szCs w:val="32"/>
                <w:u w:val="single"/>
              </w:rPr>
              <w:t>²</w:t>
            </w:r>
            <w:r>
              <w:rPr>
                <w:rFonts w:ascii="Cambria Math" w:hAnsi="Cambria Math" w:cs="Cambria Math"/>
                <w:i/>
                <w:iCs/>
                <w:sz w:val="24"/>
                <w:szCs w:val="32"/>
                <w:u w:val="single"/>
              </w:rPr>
              <w:t>⁻</w:t>
            </w:r>
            <w:r>
              <w:rPr>
                <w:rFonts w:ascii="宋体" w:hAnsi="宋体"/>
                <w:i/>
                <w:iCs/>
                <w:sz w:val="24"/>
                <w:szCs w:val="32"/>
                <w:u w:val="single"/>
              </w:rPr>
              <w:t>（1.501 meq/L）&gt; Cl</w:t>
            </w:r>
            <w:r>
              <w:rPr>
                <w:rFonts w:ascii="Cambria Math" w:hAnsi="Cambria Math" w:cs="Cambria Math"/>
                <w:i/>
                <w:iCs/>
                <w:sz w:val="24"/>
                <w:szCs w:val="32"/>
                <w:u w:val="single"/>
              </w:rPr>
              <w:t>⁻</w:t>
            </w:r>
            <w:r>
              <w:rPr>
                <w:rFonts w:ascii="宋体" w:hAnsi="宋体"/>
                <w:i/>
                <w:iCs/>
                <w:sz w:val="24"/>
                <w:szCs w:val="32"/>
                <w:u w:val="single"/>
              </w:rPr>
              <w:t>（0.756 meq/L）&gt; CO</w:t>
            </w:r>
            <w:r>
              <w:rPr>
                <w:rFonts w:ascii="Cambria Math" w:hAnsi="Cambria Math" w:cs="Cambria Math"/>
                <w:i/>
                <w:iCs/>
                <w:sz w:val="24"/>
                <w:szCs w:val="32"/>
                <w:u w:val="single"/>
              </w:rPr>
              <w:t>₃</w:t>
            </w:r>
            <w:r>
              <w:rPr>
                <w:rFonts w:hint="eastAsia" w:ascii="宋体" w:hAnsi="宋体" w:cs="宋体"/>
                <w:i/>
                <w:iCs/>
                <w:sz w:val="24"/>
                <w:szCs w:val="32"/>
                <w:u w:val="single"/>
              </w:rPr>
              <w:t>²</w:t>
            </w:r>
            <w:r>
              <w:rPr>
                <w:rFonts w:ascii="Cambria Math" w:hAnsi="Cambria Math" w:cs="Cambria Math"/>
                <w:i/>
                <w:iCs/>
                <w:sz w:val="24"/>
                <w:szCs w:val="32"/>
                <w:u w:val="single"/>
              </w:rPr>
              <w:t>⁻</w:t>
            </w:r>
            <w:r>
              <w:rPr>
                <w:rFonts w:ascii="宋体" w:hAnsi="宋体"/>
                <w:i/>
                <w:iCs/>
                <w:sz w:val="24"/>
                <w:szCs w:val="32"/>
                <w:u w:val="single"/>
              </w:rPr>
              <w:t>（未检出）。其中 Na</w:t>
            </w:r>
            <w:r>
              <w:rPr>
                <w:rFonts w:ascii="Cambria Math" w:hAnsi="Cambria Math" w:cs="Cambria Math"/>
                <w:i/>
                <w:iCs/>
                <w:sz w:val="24"/>
                <w:szCs w:val="32"/>
                <w:u w:val="single"/>
              </w:rPr>
              <w:t>⁺</w:t>
            </w:r>
            <w:r>
              <w:rPr>
                <w:rFonts w:ascii="宋体" w:hAnsi="宋体"/>
                <w:i/>
                <w:iCs/>
                <w:sz w:val="24"/>
                <w:szCs w:val="32"/>
                <w:u w:val="single"/>
              </w:rPr>
              <w:t xml:space="preserve"> 与 Ca²</w:t>
            </w:r>
            <w:r>
              <w:rPr>
                <w:rFonts w:ascii="Cambria Math" w:hAnsi="Cambria Math" w:cs="Cambria Math"/>
                <w:i/>
                <w:iCs/>
                <w:sz w:val="24"/>
                <w:szCs w:val="32"/>
                <w:u w:val="single"/>
              </w:rPr>
              <w:t>⁺</w:t>
            </w:r>
            <w:r>
              <w:rPr>
                <w:rFonts w:ascii="宋体" w:hAnsi="宋体"/>
                <w:i/>
                <w:iCs/>
                <w:sz w:val="24"/>
                <w:szCs w:val="32"/>
                <w:u w:val="single"/>
              </w:rPr>
              <w:t xml:space="preserve"> 含量接近，共同构成水体中的主导阳离子；HCO</w:t>
            </w:r>
            <w:r>
              <w:rPr>
                <w:rFonts w:ascii="Cambria Math" w:hAnsi="Cambria Math" w:cs="Cambria Math"/>
                <w:i/>
                <w:iCs/>
                <w:sz w:val="24"/>
                <w:szCs w:val="32"/>
                <w:u w:val="single"/>
              </w:rPr>
              <w:t>₃⁻</w:t>
            </w:r>
            <w:r>
              <w:rPr>
                <w:rFonts w:ascii="宋体" w:hAnsi="宋体"/>
                <w:i/>
                <w:iCs/>
                <w:sz w:val="24"/>
                <w:szCs w:val="32"/>
                <w:u w:val="single"/>
              </w:rPr>
              <w:t xml:space="preserve"> 独占阴离子总量的 73.24%，为绝对主导阴离子。综合判定，</w:t>
            </w:r>
            <w:r>
              <w:rPr>
                <w:rFonts w:hint="eastAsia" w:ascii="宋体" w:hAnsi="宋体"/>
                <w:i/>
                <w:iCs/>
                <w:sz w:val="24"/>
                <w:szCs w:val="32"/>
                <w:u w:val="single"/>
              </w:rPr>
              <w:t>厂区内</w:t>
            </w:r>
            <w:r>
              <w:rPr>
                <w:rFonts w:ascii="宋体" w:hAnsi="宋体"/>
                <w:i/>
                <w:iCs/>
                <w:sz w:val="24"/>
                <w:szCs w:val="32"/>
                <w:u w:val="single"/>
              </w:rPr>
              <w:t>地下水水化学类型为 Ca—Na—HCO</w:t>
            </w:r>
            <w:r>
              <w:rPr>
                <w:rFonts w:ascii="Cambria Math" w:hAnsi="Cambria Math" w:cs="Cambria Math"/>
                <w:i/>
                <w:iCs/>
                <w:sz w:val="24"/>
                <w:szCs w:val="32"/>
                <w:u w:val="single"/>
              </w:rPr>
              <w:t>₃</w:t>
            </w:r>
            <w:r>
              <w:rPr>
                <w:rFonts w:ascii="宋体" w:hAnsi="宋体"/>
                <w:i/>
                <w:iCs/>
                <w:sz w:val="24"/>
                <w:szCs w:val="32"/>
                <w:u w:val="single"/>
              </w:rPr>
              <w:t xml:space="preserve"> 型，即钙钠重碳酸盐型地下水。</w:t>
            </w:r>
            <w:r>
              <w:rPr>
                <w:rFonts w:hint="eastAsia" w:ascii="宋体" w:hAnsi="宋体" w:cs="宋体"/>
                <w:i/>
                <w:iCs/>
                <w:sz w:val="24"/>
                <w:u w:val="single"/>
              </w:rPr>
              <w:t>项目所在地区域地下水环境质量良好。</w:t>
            </w:r>
          </w:p>
          <w:p>
            <w:pPr>
              <w:spacing w:line="360" w:lineRule="auto"/>
              <w:ind w:firstLine="482" w:firstLineChars="200"/>
              <w:rPr>
                <w:rFonts w:ascii="宋体" w:hAnsi="宋体" w:cs="宋体"/>
                <w:kern w:val="0"/>
                <w:sz w:val="24"/>
              </w:rPr>
            </w:pPr>
            <w:r>
              <w:rPr>
                <w:rFonts w:hint="eastAsia" w:ascii="宋体" w:hAnsi="宋体" w:cs="宋体"/>
                <w:b/>
                <w:bCs/>
                <w:kern w:val="0"/>
                <w:sz w:val="24"/>
              </w:rPr>
              <w:t>5、土壤环境质量现状与评价</w:t>
            </w:r>
          </w:p>
          <w:p>
            <w:pPr>
              <w:spacing w:line="360" w:lineRule="auto"/>
              <w:ind w:firstLine="480" w:firstLineChars="200"/>
              <w:rPr>
                <w:rFonts w:ascii="宋体" w:hAnsi="宋体" w:cs="宋体"/>
                <w:sz w:val="24"/>
              </w:rPr>
            </w:pPr>
            <w:r>
              <w:rPr>
                <w:rFonts w:hint="eastAsia" w:ascii="宋体" w:hAnsi="宋体" w:cs="宋体"/>
                <w:kern w:val="0"/>
                <w:sz w:val="24"/>
              </w:rPr>
              <w:t>根据</w:t>
            </w:r>
            <w:r>
              <w:rPr>
                <w:rFonts w:hint="eastAsia" w:ascii="宋体" w:hAnsi="宋体" w:cs="宋体"/>
                <w:sz w:val="24"/>
              </w:rPr>
              <w:t>《建设项目环境影响报告表编制技术指南（污染影响类）》（试行）中的相关要求，土壤环境原则上不开展环境质量现状调查。存在土壤环境污染途径的，应结合污染源、保护目标分布情况开展现状调查以留作背景值。</w:t>
            </w:r>
            <w:r>
              <w:rPr>
                <w:rFonts w:ascii="宋体" w:hAnsi="宋体" w:cs="宋体"/>
                <w:sz w:val="24"/>
              </w:rPr>
              <w:t>本项目属于报废农机拆解项目，根据《环境影响评价技术导则 土壤环境（试行）》（HJ 964-2018）判定为Ⅳ类建设项目，</w:t>
            </w:r>
            <w:r>
              <w:rPr>
                <w:rFonts w:hint="eastAsia" w:ascii="宋体" w:hAnsi="宋体" w:cs="宋体"/>
                <w:sz w:val="24"/>
              </w:rPr>
              <w:t>本项目厂区地面及车间地坪均进行防渗处理，正常情况下无污染物下渗影响土壤环境，拆解车间及危废间排放少量有机废气，有机废气经处理后经15m高排气筒排放，对土壤存在微弱且影响有限的大气沉降影响途径。本次评价布设一处土壤现状监测点位作为背景值。</w:t>
            </w:r>
          </w:p>
          <w:p>
            <w:pPr>
              <w:pStyle w:val="58"/>
              <w:numPr>
                <w:ilvl w:val="0"/>
                <w:numId w:val="4"/>
              </w:numPr>
              <w:spacing w:line="360" w:lineRule="auto"/>
              <w:ind w:left="0" w:firstLine="564" w:firstLineChars="235"/>
              <w:jc w:val="left"/>
              <w:rPr>
                <w:rFonts w:ascii="宋体" w:hAnsi="宋体" w:cs="宋体"/>
                <w:sz w:val="24"/>
              </w:rPr>
            </w:pPr>
            <w:r>
              <w:rPr>
                <w:rFonts w:hint="eastAsia" w:ascii="宋体" w:hAnsi="宋体" w:cs="宋体"/>
                <w:sz w:val="24"/>
              </w:rPr>
              <w:t>监测点位：项目厂区内裸露土壤。</w:t>
            </w:r>
            <w:r>
              <w:rPr>
                <w:rFonts w:ascii="宋体" w:hAnsi="宋体" w:cs="宋体"/>
                <w:sz w:val="24"/>
              </w:rPr>
              <w:t>调查地块现状为闲置空地，地表无硬化覆盖，地表植被以少量杂草为主，地块现状无生产活动、无污水沟渠、无固废堆存痕迹；</w:t>
            </w:r>
            <w:r>
              <w:rPr>
                <w:rFonts w:hint="eastAsia" w:ascii="宋体" w:hAnsi="宋体" w:cs="宋体"/>
                <w:sz w:val="24"/>
              </w:rPr>
              <w:t>取样前清除表层杂草、碎石等杂物，</w:t>
            </w:r>
            <w:r>
              <w:rPr>
                <w:rFonts w:ascii="宋体" w:hAnsi="宋体" w:cs="宋体"/>
                <w:sz w:val="24"/>
              </w:rPr>
              <w:t>采用梅花布点混合采样法采集表层混合样</w:t>
            </w:r>
            <w:r>
              <w:rPr>
                <w:rFonts w:hint="eastAsia" w:ascii="宋体" w:hAnsi="宋体" w:cs="宋体"/>
                <w:sz w:val="24"/>
              </w:rPr>
              <w:t>，符合</w:t>
            </w:r>
            <w:r>
              <w:rPr>
                <w:rFonts w:ascii="宋体" w:hAnsi="宋体" w:cs="宋体"/>
                <w:sz w:val="24"/>
              </w:rPr>
              <w:t>《土壤环境监测技术规范》HJ/T 166</w:t>
            </w:r>
            <w:r>
              <w:rPr>
                <w:rFonts w:hint="eastAsia" w:ascii="宋体" w:hAnsi="宋体" w:cs="宋体"/>
                <w:sz w:val="24"/>
              </w:rPr>
              <w:t>。</w:t>
            </w:r>
          </w:p>
          <w:p>
            <w:pPr>
              <w:spacing w:line="360" w:lineRule="auto"/>
              <w:ind w:firstLine="480" w:firstLineChars="200"/>
              <w:jc w:val="left"/>
              <w:rPr>
                <w:rFonts w:ascii="宋体" w:hAnsi="宋体" w:cs="宋体"/>
                <w:sz w:val="24"/>
              </w:rPr>
            </w:pPr>
            <w:r>
              <w:rPr>
                <w:rFonts w:hint="eastAsia" w:ascii="宋体" w:hAnsi="宋体" w:cs="宋体"/>
                <w:sz w:val="24"/>
              </w:rPr>
              <w:t>②监测项目</w:t>
            </w:r>
          </w:p>
          <w:p>
            <w:pPr>
              <w:adjustRightInd w:val="0"/>
              <w:snapToGrid w:val="0"/>
              <w:spacing w:line="360" w:lineRule="auto"/>
              <w:ind w:firstLine="480" w:firstLineChars="200"/>
              <w:rPr>
                <w:rFonts w:ascii="宋体" w:hAnsi="宋体" w:cs="宋体"/>
                <w:sz w:val="24"/>
              </w:rPr>
            </w:pPr>
            <w:r>
              <w:rPr>
                <w:rFonts w:hint="eastAsia" w:ascii="宋体" w:hAnsi="宋体" w:cs="宋体"/>
                <w:sz w:val="24"/>
              </w:rPr>
              <w:t>砷、汞、镉、镍、铜、铅、六价铬、四氯化碳、氯仿、氯甲烷、1-1二氯乙烷、1-2二氯乙烷、1-1二氯乙烯、顺1-2二氯乙烯、反1-2二氯乙烯、二氯甲烷、1-2二氯丙烷、1,1,1,2四氯乙烷、1,1,2,2四氯乙烷、四氯乙烯、1,1,1三氯乙烷、1,1,2三氯乙烷、三氯乙烯、1,2,3三氯丙烷、氯乙烯、苯、氯苯、1,2二氯苯、1,4二氯苯、乙苯、苯乙烯、甲苯、间，对二甲苯、邻二甲苯、硝基苯、苯胺、2-氯酚、苯并[a]蒽、苯并[a]芘、苯并[b]荧蒽、苯并[k]荧蒽、䓛、二苯并[a，h]蒽、茚并[1,2,3-cd]芘、萘、石油烃共46项。表层样0-0.2m取样。</w:t>
            </w:r>
          </w:p>
          <w:p>
            <w:pPr>
              <w:spacing w:line="360" w:lineRule="auto"/>
              <w:ind w:firstLine="480" w:firstLineChars="200"/>
              <w:rPr>
                <w:rFonts w:ascii="宋体" w:hAnsi="宋体" w:cs="宋体"/>
                <w:i/>
                <w:iCs/>
                <w:sz w:val="24"/>
                <w:u w:val="single"/>
              </w:rPr>
            </w:pPr>
            <w:r>
              <w:rPr>
                <w:rFonts w:hint="eastAsia" w:ascii="宋体" w:hAnsi="宋体" w:cs="宋体"/>
                <w:i/>
                <w:iCs/>
                <w:sz w:val="24"/>
                <w:u w:val="single"/>
              </w:rPr>
              <w:t>③监测单位、时间</w:t>
            </w:r>
          </w:p>
          <w:p>
            <w:pPr>
              <w:spacing w:line="360" w:lineRule="auto"/>
              <w:ind w:firstLine="480" w:firstLineChars="200"/>
              <w:rPr>
                <w:rFonts w:ascii="宋体" w:hAnsi="宋体" w:cs="宋体"/>
                <w:i/>
                <w:iCs/>
                <w:sz w:val="24"/>
                <w:u w:val="single"/>
              </w:rPr>
            </w:pPr>
            <w:r>
              <w:rPr>
                <w:rFonts w:hint="eastAsia" w:ascii="宋体" w:hAnsi="宋体" w:cs="宋体"/>
                <w:i/>
                <w:iCs/>
                <w:sz w:val="24"/>
                <w:u w:val="single"/>
              </w:rPr>
              <w:t>吉林省长松运维检测有限公司于2026年9月22日进行采样。</w:t>
            </w:r>
          </w:p>
          <w:p>
            <w:pPr>
              <w:pStyle w:val="2"/>
              <w:spacing w:line="360" w:lineRule="auto"/>
              <w:ind w:firstLine="480"/>
              <w:rPr>
                <w:rFonts w:ascii="宋体" w:hAnsi="宋体" w:cs="宋体"/>
                <w:sz w:val="24"/>
              </w:rPr>
            </w:pPr>
            <w:r>
              <w:rPr>
                <w:rFonts w:hint="eastAsia" w:ascii="宋体" w:hAnsi="宋体" w:cs="宋体"/>
                <w:sz w:val="24"/>
              </w:rPr>
              <w:t>④监测结果</w:t>
            </w:r>
          </w:p>
          <w:p>
            <w:pPr>
              <w:adjustRightInd w:val="0"/>
              <w:snapToGrid w:val="0"/>
              <w:spacing w:line="360" w:lineRule="auto"/>
              <w:ind w:firstLine="480" w:firstLineChars="200"/>
              <w:rPr>
                <w:rFonts w:ascii="宋体" w:hAnsi="宋体" w:cs="宋体"/>
                <w:sz w:val="24"/>
              </w:rPr>
            </w:pPr>
            <w:r>
              <w:rPr>
                <w:rFonts w:hint="eastAsia" w:ascii="宋体" w:hAnsi="宋体" w:cs="宋体"/>
                <w:sz w:val="24"/>
              </w:rPr>
              <w:t>本项目土壤环境现状监测结果详见表3-8。</w:t>
            </w:r>
          </w:p>
          <w:p>
            <w:pPr>
              <w:jc w:val="center"/>
              <w:rPr>
                <w:b/>
                <w:sz w:val="24"/>
              </w:rPr>
            </w:pPr>
            <w:r>
              <w:rPr>
                <w:rFonts w:hint="eastAsia"/>
                <w:b/>
                <w:sz w:val="24"/>
              </w:rPr>
              <w:t>表3-8  土壤现状监测结果表</w:t>
            </w:r>
          </w:p>
          <w:tbl>
            <w:tblPr>
              <w:tblW w:w="8177"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left w:w="0" w:type="dxa"/>
                <w:right w:w="0" w:type="dxa"/>
              </w:tblCellMar>
            </w:tblPr>
            <w:tblGrid>
              <w:gridCol w:w="2008"/>
              <w:gridCol w:w="1252"/>
              <w:gridCol w:w="3040"/>
              <w:gridCol w:w="1877"/>
            </w:tblGrid>
            <w:tr>
              <w:trPr>
                <w:trHeight w:val="432" w:hRule="atLeast"/>
              </w:trPr>
              <w:tc>
                <w:tcPr>
                  <w:tcW w:w="2008" w:type="dxa"/>
                  <w:tcBorders>
                    <w:tl2br w:val="nil"/>
                    <w:tr2bl w:val="nil"/>
                  </w:tcBorders>
                  <w:tcMar>
                    <w:top w:w="15" w:type="dxa"/>
                    <w:left w:w="15" w:type="dxa"/>
                    <w:right w:w="15" w:type="dxa"/>
                  </w:tcMar>
                  <w:vAlign w:val="center"/>
                </w:tcPr>
                <w:p>
                  <w:pPr>
                    <w:jc w:val="center"/>
                    <w:rPr>
                      <w:rFonts w:ascii="宋体" w:hAnsi="宋体" w:cs="宋体"/>
                      <w:szCs w:val="21"/>
                    </w:rPr>
                  </w:pPr>
                  <w:r>
                    <w:rPr>
                      <w:rFonts w:hint="eastAsia" w:ascii="宋体" w:hAnsi="宋体" w:cs="宋体"/>
                      <w:szCs w:val="21"/>
                    </w:rPr>
                    <w:t>样品编号/监测点位</w:t>
                  </w:r>
                </w:p>
              </w:tc>
              <w:tc>
                <w:tcPr>
                  <w:tcW w:w="1252" w:type="dxa"/>
                  <w:tcBorders>
                    <w:tl2br w:val="nil"/>
                    <w:tr2bl w:val="nil"/>
                  </w:tcBorders>
                  <w:tcMar>
                    <w:top w:w="15" w:type="dxa"/>
                    <w:left w:w="15" w:type="dxa"/>
                    <w:right w:w="15" w:type="dxa"/>
                  </w:tcMar>
                  <w:vAlign w:val="center"/>
                </w:tcPr>
                <w:p>
                  <w:pPr>
                    <w:widowControl/>
                    <w:jc w:val="center"/>
                    <w:textAlignment w:val="center"/>
                    <w:rPr>
                      <w:rFonts w:ascii="宋体" w:hAnsi="宋体" w:cs="宋体"/>
                      <w:kern w:val="0"/>
                      <w:szCs w:val="21"/>
                    </w:rPr>
                  </w:pPr>
                  <w:r>
                    <w:rPr>
                      <w:rFonts w:hint="eastAsia" w:ascii="宋体" w:hAnsi="宋体" w:cs="宋体"/>
                      <w:kern w:val="0"/>
                      <w:szCs w:val="21"/>
                    </w:rPr>
                    <w:t>检测日期</w:t>
                  </w:r>
                </w:p>
              </w:tc>
              <w:tc>
                <w:tcPr>
                  <w:tcW w:w="3040" w:type="dxa"/>
                  <w:tcBorders>
                    <w:tl2br w:val="nil"/>
                    <w:tr2bl w:val="nil"/>
                  </w:tcBorders>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szCs w:val="21"/>
                    </w:rPr>
                    <w:t>检测项目</w:t>
                  </w:r>
                </w:p>
              </w:tc>
              <w:tc>
                <w:tcPr>
                  <w:tcW w:w="1877" w:type="dxa"/>
                  <w:tcBorders>
                    <w:tl2br w:val="nil"/>
                    <w:tr2bl w:val="nil"/>
                  </w:tcBorders>
                  <w:tcMar>
                    <w:top w:w="15" w:type="dxa"/>
                    <w:left w:w="15" w:type="dxa"/>
                    <w:right w:w="15" w:type="dxa"/>
                  </w:tcMar>
                  <w:vAlign w:val="center"/>
                </w:tcPr>
                <w:p>
                  <w:pPr>
                    <w:widowControl/>
                    <w:jc w:val="center"/>
                    <w:textAlignment w:val="center"/>
                    <w:rPr>
                      <w:rFonts w:ascii="宋体" w:hAnsi="宋体" w:cs="宋体"/>
                      <w:kern w:val="0"/>
                      <w:szCs w:val="21"/>
                    </w:rPr>
                  </w:pPr>
                  <w:r>
                    <w:rPr>
                      <w:rFonts w:hint="eastAsia" w:ascii="宋体" w:hAnsi="宋体" w:cs="宋体"/>
                      <w:kern w:val="0"/>
                      <w:szCs w:val="21"/>
                    </w:rPr>
                    <w:t>检测结果</w:t>
                  </w:r>
                </w:p>
              </w:tc>
            </w:tr>
            <w:tr>
              <w:trPr>
                <w:trHeight w:val="317" w:hRule="atLeast"/>
              </w:trPr>
              <w:tc>
                <w:tcPr>
                  <w:tcW w:w="2008" w:type="dxa"/>
                  <w:vMerge w:val="restart"/>
                  <w:tcBorders>
                    <w:tl2br w:val="nil"/>
                    <w:tr2bl w:val="nil"/>
                  </w:tcBorders>
                  <w:tcMar>
                    <w:top w:w="15" w:type="dxa"/>
                    <w:left w:w="15" w:type="dxa"/>
                    <w:right w:w="15" w:type="dxa"/>
                  </w:tcMar>
                  <w:vAlign w:val="center"/>
                </w:tcPr>
                <w:p>
                  <w:pPr>
                    <w:widowControl/>
                    <w:jc w:val="center"/>
                    <w:textAlignment w:val="center"/>
                    <w:rPr>
                      <w:szCs w:val="21"/>
                    </w:rPr>
                  </w:pPr>
                  <w:r>
                    <w:rPr>
                      <w:rFonts w:hint="eastAsia"/>
                      <w:szCs w:val="21"/>
                    </w:rPr>
                    <w:t>ZX</w:t>
                  </w:r>
                  <w:r>
                    <w:rPr>
                      <w:szCs w:val="21"/>
                    </w:rPr>
                    <w:t>-</w:t>
                  </w:r>
                  <w:r>
                    <w:rPr>
                      <w:rFonts w:hint="eastAsia"/>
                      <w:szCs w:val="21"/>
                    </w:rPr>
                    <w:t>T</w:t>
                  </w:r>
                  <w:r>
                    <w:rPr>
                      <w:szCs w:val="21"/>
                    </w:rPr>
                    <w:t>2</w:t>
                  </w:r>
                  <w:r>
                    <w:rPr>
                      <w:rFonts w:hint="eastAsia"/>
                      <w:szCs w:val="21"/>
                    </w:rPr>
                    <w:t>60516</w:t>
                  </w:r>
                  <w:r>
                    <w:rPr>
                      <w:szCs w:val="21"/>
                    </w:rPr>
                    <w:t>-0</w:t>
                  </w:r>
                  <w:r>
                    <w:rPr>
                      <w:rFonts w:hint="eastAsia"/>
                      <w:szCs w:val="21"/>
                    </w:rPr>
                    <w:t>01</w:t>
                  </w:r>
                </w:p>
                <w:p>
                  <w:pPr>
                    <w:widowControl/>
                    <w:jc w:val="center"/>
                    <w:textAlignment w:val="center"/>
                    <w:rPr>
                      <w:rFonts w:ascii="宋体" w:hAnsi="宋体" w:cs="宋体"/>
                      <w:kern w:val="0"/>
                      <w:szCs w:val="21"/>
                    </w:rPr>
                  </w:pPr>
                  <w:r>
                    <w:rPr>
                      <w:rFonts w:hint="eastAsia" w:ascii="宋体" w:hAnsi="宋体" w:cs="宋体"/>
                      <w:kern w:val="0"/>
                      <w:szCs w:val="21"/>
                    </w:rPr>
                    <w:t>厂区内</w:t>
                  </w:r>
                </w:p>
                <w:p>
                  <w:pPr>
                    <w:widowControl/>
                    <w:jc w:val="center"/>
                    <w:textAlignment w:val="center"/>
                    <w:rPr>
                      <w:rFonts w:ascii="宋体" w:hAnsi="宋体" w:cs="宋体"/>
                      <w:szCs w:val="21"/>
                    </w:rPr>
                  </w:pPr>
                  <w:r>
                    <w:rPr>
                      <w:rFonts w:hint="eastAsia" w:ascii="宋体" w:hAnsi="宋体" w:cs="宋体"/>
                      <w:kern w:val="0"/>
                      <w:szCs w:val="21"/>
                    </w:rPr>
                    <w:t>（表层，0-0.2m取样）</w:t>
                  </w:r>
                </w:p>
              </w:tc>
              <w:tc>
                <w:tcPr>
                  <w:tcW w:w="1252" w:type="dxa"/>
                  <w:vMerge w:val="restart"/>
                  <w:tcBorders>
                    <w:tl2br w:val="nil"/>
                    <w:tr2bl w:val="nil"/>
                  </w:tcBorders>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bCs/>
                      <w:szCs w:val="21"/>
                    </w:rPr>
                    <w:t>09月22日</w:t>
                  </w:r>
                </w:p>
              </w:tc>
              <w:tc>
                <w:tcPr>
                  <w:tcW w:w="3040" w:type="dxa"/>
                  <w:tcBorders>
                    <w:tl2br w:val="nil"/>
                    <w:tr2bl w:val="nil"/>
                  </w:tcBorders>
                  <w:tcMar>
                    <w:top w:w="15" w:type="dxa"/>
                    <w:left w:w="15" w:type="dxa"/>
                    <w:right w:w="15" w:type="dxa"/>
                  </w:tcMar>
                  <w:vAlign w:val="center"/>
                </w:tcPr>
                <w:p>
                  <w:pPr>
                    <w:jc w:val="center"/>
                    <w:rPr>
                      <w:rFonts w:ascii="宋体" w:hAnsi="宋体" w:cs="宋体"/>
                      <w:szCs w:val="21"/>
                      <w:highlight w:val="yellow"/>
                    </w:rPr>
                  </w:pPr>
                  <w:r>
                    <w:rPr>
                      <w:color w:val="000000"/>
                    </w:rPr>
                    <w:t>砷（mg/kg）</w:t>
                  </w:r>
                </w:p>
              </w:tc>
              <w:tc>
                <w:tcPr>
                  <w:tcW w:w="1877" w:type="dxa"/>
                  <w:tcBorders>
                    <w:tl2br w:val="nil"/>
                    <w:tr2bl w:val="nil"/>
                  </w:tcBorders>
                  <w:tcMar>
                    <w:top w:w="15" w:type="dxa"/>
                    <w:left w:w="15" w:type="dxa"/>
                    <w:right w:w="15" w:type="dxa"/>
                  </w:tcMar>
                  <w:vAlign w:val="center"/>
                </w:tcPr>
                <w:p>
                  <w:pPr>
                    <w:jc w:val="center"/>
                    <w:rPr>
                      <w:rFonts w:ascii="宋体" w:hAnsi="宋体" w:cs="宋体"/>
                      <w:szCs w:val="21"/>
                      <w:highlight w:val="yellow"/>
                    </w:rPr>
                  </w:pPr>
                  <w:r>
                    <w:rPr>
                      <w:rFonts w:hint="eastAsia"/>
                    </w:rPr>
                    <w:t>22.1</w:t>
                  </w:r>
                </w:p>
              </w:tc>
            </w:tr>
            <w:tr>
              <w:trPr>
                <w:trHeight w:val="263" w:hRule="atLeast"/>
              </w:trPr>
              <w:tc>
                <w:tcPr>
                  <w:tcW w:w="2008" w:type="dxa"/>
                  <w:vMerge w:val="continue"/>
                  <w:tcBorders>
                    <w:tl2br w:val="nil"/>
                    <w:tr2bl w:val="nil"/>
                  </w:tcBorders>
                  <w:tcMar>
                    <w:top w:w="15" w:type="dxa"/>
                    <w:left w:w="15" w:type="dxa"/>
                    <w:right w:w="15" w:type="dxa"/>
                  </w:tcMar>
                  <w:vAlign w:val="center"/>
                </w:tcPr>
                <w:p>
                  <w:pPr>
                    <w:widowControl/>
                    <w:jc w:val="center"/>
                    <w:textAlignment w:val="center"/>
                    <w:rPr>
                      <w:rFonts w:ascii="宋体" w:hAnsi="宋体" w:cs="宋体"/>
                      <w:szCs w:val="21"/>
                    </w:rPr>
                  </w:pPr>
                </w:p>
              </w:tc>
              <w:tc>
                <w:tcPr>
                  <w:tcW w:w="1252" w:type="dxa"/>
                  <w:vMerge w:val="continue"/>
                  <w:tcBorders>
                    <w:tl2br w:val="nil"/>
                    <w:tr2bl w:val="nil"/>
                  </w:tcBorders>
                  <w:tcMar>
                    <w:top w:w="15" w:type="dxa"/>
                    <w:left w:w="15" w:type="dxa"/>
                    <w:right w:w="15" w:type="dxa"/>
                  </w:tcMar>
                  <w:vAlign w:val="center"/>
                </w:tcPr>
                <w:p>
                  <w:pPr>
                    <w:widowControl/>
                    <w:jc w:val="center"/>
                    <w:textAlignment w:val="center"/>
                    <w:rPr>
                      <w:rFonts w:ascii="宋体" w:hAnsi="宋体" w:cs="宋体"/>
                      <w:szCs w:val="21"/>
                    </w:rPr>
                  </w:pPr>
                </w:p>
              </w:tc>
              <w:tc>
                <w:tcPr>
                  <w:tcW w:w="3040" w:type="dxa"/>
                  <w:tcBorders>
                    <w:tl2br w:val="nil"/>
                    <w:tr2bl w:val="nil"/>
                  </w:tcBorders>
                  <w:tcMar>
                    <w:top w:w="15" w:type="dxa"/>
                    <w:left w:w="15" w:type="dxa"/>
                    <w:right w:w="15" w:type="dxa"/>
                  </w:tcMar>
                  <w:vAlign w:val="center"/>
                </w:tcPr>
                <w:p>
                  <w:pPr>
                    <w:jc w:val="center"/>
                    <w:rPr>
                      <w:rFonts w:ascii="宋体" w:hAnsi="宋体" w:cs="宋体"/>
                      <w:szCs w:val="21"/>
                    </w:rPr>
                  </w:pPr>
                  <w:r>
                    <w:rPr>
                      <w:color w:val="000000"/>
                    </w:rPr>
                    <w:t>汞（mg/kg）</w:t>
                  </w:r>
                </w:p>
              </w:tc>
              <w:tc>
                <w:tcPr>
                  <w:tcW w:w="1877" w:type="dxa"/>
                  <w:tcBorders>
                    <w:tl2br w:val="nil"/>
                    <w:tr2bl w:val="nil"/>
                  </w:tcBorders>
                  <w:tcMar>
                    <w:top w:w="15" w:type="dxa"/>
                    <w:left w:w="15" w:type="dxa"/>
                    <w:right w:w="15" w:type="dxa"/>
                  </w:tcMar>
                  <w:vAlign w:val="center"/>
                </w:tcPr>
                <w:p>
                  <w:pPr>
                    <w:jc w:val="center"/>
                    <w:rPr>
                      <w:rFonts w:ascii="宋体" w:hAnsi="宋体" w:cs="宋体"/>
                      <w:szCs w:val="21"/>
                    </w:rPr>
                  </w:pPr>
                  <w:r>
                    <w:rPr>
                      <w:rFonts w:hint="eastAsia"/>
                    </w:rPr>
                    <w:t>0.463</w:t>
                  </w:r>
                </w:p>
              </w:tc>
            </w:tr>
            <w:tr>
              <w:trPr>
                <w:trHeight w:val="276" w:hRule="atLeast"/>
              </w:trPr>
              <w:tc>
                <w:tcPr>
                  <w:tcW w:w="2008" w:type="dxa"/>
                  <w:vMerge w:val="continue"/>
                  <w:tcBorders>
                    <w:tl2br w:val="nil"/>
                    <w:tr2bl w:val="nil"/>
                  </w:tcBorders>
                  <w:tcMar>
                    <w:top w:w="15" w:type="dxa"/>
                    <w:left w:w="15" w:type="dxa"/>
                    <w:right w:w="15" w:type="dxa"/>
                  </w:tcMar>
                  <w:vAlign w:val="center"/>
                </w:tcPr>
                <w:p>
                  <w:pPr>
                    <w:widowControl/>
                    <w:jc w:val="center"/>
                    <w:textAlignment w:val="center"/>
                    <w:rPr>
                      <w:rFonts w:ascii="宋体" w:hAnsi="宋体" w:cs="宋体"/>
                      <w:kern w:val="0"/>
                      <w:szCs w:val="21"/>
                    </w:rPr>
                  </w:pPr>
                </w:p>
              </w:tc>
              <w:tc>
                <w:tcPr>
                  <w:tcW w:w="1252" w:type="dxa"/>
                  <w:vMerge w:val="continue"/>
                  <w:tcBorders>
                    <w:tl2br w:val="nil"/>
                    <w:tr2bl w:val="nil"/>
                  </w:tcBorders>
                  <w:tcMar>
                    <w:top w:w="15" w:type="dxa"/>
                    <w:left w:w="15" w:type="dxa"/>
                    <w:right w:w="15" w:type="dxa"/>
                  </w:tcMar>
                  <w:vAlign w:val="center"/>
                </w:tcPr>
                <w:p>
                  <w:pPr>
                    <w:widowControl/>
                    <w:jc w:val="center"/>
                    <w:textAlignment w:val="center"/>
                    <w:rPr>
                      <w:rFonts w:ascii="宋体" w:hAnsi="宋体" w:cs="宋体"/>
                      <w:szCs w:val="21"/>
                    </w:rPr>
                  </w:pPr>
                </w:p>
              </w:tc>
              <w:tc>
                <w:tcPr>
                  <w:tcW w:w="3040" w:type="dxa"/>
                  <w:tcBorders>
                    <w:tl2br w:val="nil"/>
                    <w:tr2bl w:val="nil"/>
                  </w:tcBorders>
                  <w:tcMar>
                    <w:top w:w="15" w:type="dxa"/>
                    <w:left w:w="15" w:type="dxa"/>
                    <w:right w:w="15" w:type="dxa"/>
                  </w:tcMar>
                  <w:vAlign w:val="center"/>
                </w:tcPr>
                <w:p>
                  <w:pPr>
                    <w:jc w:val="center"/>
                    <w:rPr>
                      <w:rFonts w:ascii="宋体" w:hAnsi="宋体" w:cs="宋体"/>
                      <w:szCs w:val="21"/>
                    </w:rPr>
                  </w:pPr>
                  <w:r>
                    <w:rPr>
                      <w:color w:val="000000"/>
                    </w:rPr>
                    <w:t>镉（mg/kg）</w:t>
                  </w:r>
                </w:p>
              </w:tc>
              <w:tc>
                <w:tcPr>
                  <w:tcW w:w="1877" w:type="dxa"/>
                  <w:tcBorders>
                    <w:tl2br w:val="nil"/>
                    <w:tr2bl w:val="nil"/>
                  </w:tcBorders>
                  <w:tcMar>
                    <w:top w:w="15" w:type="dxa"/>
                    <w:left w:w="15" w:type="dxa"/>
                    <w:right w:w="15" w:type="dxa"/>
                  </w:tcMar>
                  <w:vAlign w:val="center"/>
                </w:tcPr>
                <w:p>
                  <w:pPr>
                    <w:jc w:val="center"/>
                    <w:rPr>
                      <w:rFonts w:ascii="宋体" w:hAnsi="宋体" w:cs="宋体"/>
                      <w:szCs w:val="21"/>
                    </w:rPr>
                  </w:pPr>
                  <w:r>
                    <w:rPr>
                      <w:rFonts w:hint="eastAsia"/>
                    </w:rPr>
                    <w:t>0.15</w:t>
                  </w:r>
                </w:p>
              </w:tc>
            </w:tr>
            <w:tr>
              <w:trPr>
                <w:trHeight w:val="201" w:hRule="atLeast"/>
              </w:trPr>
              <w:tc>
                <w:tcPr>
                  <w:tcW w:w="2008" w:type="dxa"/>
                  <w:vMerge w:val="continue"/>
                  <w:tcBorders>
                    <w:tl2br w:val="nil"/>
                    <w:tr2bl w:val="nil"/>
                  </w:tcBorders>
                  <w:tcMar>
                    <w:top w:w="15" w:type="dxa"/>
                    <w:left w:w="15" w:type="dxa"/>
                    <w:right w:w="15" w:type="dxa"/>
                  </w:tcMar>
                  <w:vAlign w:val="center"/>
                </w:tcPr>
                <w:p>
                  <w:pPr>
                    <w:widowControl/>
                    <w:jc w:val="center"/>
                    <w:textAlignment w:val="center"/>
                    <w:rPr>
                      <w:rFonts w:ascii="宋体" w:hAnsi="宋体" w:cs="宋体"/>
                      <w:kern w:val="0"/>
                      <w:szCs w:val="21"/>
                    </w:rPr>
                  </w:pPr>
                </w:p>
              </w:tc>
              <w:tc>
                <w:tcPr>
                  <w:tcW w:w="1252" w:type="dxa"/>
                  <w:vMerge w:val="continue"/>
                  <w:tcBorders>
                    <w:tl2br w:val="nil"/>
                    <w:tr2bl w:val="nil"/>
                  </w:tcBorders>
                  <w:tcMar>
                    <w:top w:w="15" w:type="dxa"/>
                    <w:left w:w="15" w:type="dxa"/>
                    <w:right w:w="15" w:type="dxa"/>
                  </w:tcMar>
                  <w:vAlign w:val="center"/>
                </w:tcPr>
                <w:p>
                  <w:pPr>
                    <w:widowControl/>
                    <w:jc w:val="center"/>
                    <w:textAlignment w:val="center"/>
                    <w:rPr>
                      <w:rFonts w:ascii="宋体" w:hAnsi="宋体" w:cs="宋体"/>
                      <w:szCs w:val="21"/>
                    </w:rPr>
                  </w:pPr>
                </w:p>
              </w:tc>
              <w:tc>
                <w:tcPr>
                  <w:tcW w:w="3040" w:type="dxa"/>
                  <w:tcBorders>
                    <w:tl2br w:val="nil"/>
                    <w:tr2bl w:val="nil"/>
                  </w:tcBorders>
                  <w:tcMar>
                    <w:top w:w="15" w:type="dxa"/>
                    <w:left w:w="15" w:type="dxa"/>
                    <w:right w:w="15" w:type="dxa"/>
                  </w:tcMar>
                  <w:vAlign w:val="center"/>
                </w:tcPr>
                <w:p>
                  <w:pPr>
                    <w:jc w:val="center"/>
                    <w:rPr>
                      <w:rFonts w:ascii="宋体" w:hAnsi="宋体" w:cs="宋体"/>
                      <w:szCs w:val="21"/>
                    </w:rPr>
                  </w:pPr>
                  <w:r>
                    <w:rPr>
                      <w:color w:val="000000"/>
                    </w:rPr>
                    <w:t>铜（mg/kg）</w:t>
                  </w:r>
                </w:p>
              </w:tc>
              <w:tc>
                <w:tcPr>
                  <w:tcW w:w="1877" w:type="dxa"/>
                  <w:tcBorders>
                    <w:tl2br w:val="nil"/>
                    <w:tr2bl w:val="nil"/>
                  </w:tcBorders>
                  <w:tcMar>
                    <w:top w:w="15" w:type="dxa"/>
                    <w:left w:w="15" w:type="dxa"/>
                    <w:right w:w="15" w:type="dxa"/>
                  </w:tcMar>
                  <w:vAlign w:val="center"/>
                </w:tcPr>
                <w:p>
                  <w:pPr>
                    <w:jc w:val="center"/>
                    <w:rPr>
                      <w:rFonts w:ascii="宋体" w:hAnsi="宋体" w:cs="宋体"/>
                      <w:szCs w:val="21"/>
                    </w:rPr>
                  </w:pPr>
                  <w:r>
                    <w:rPr>
                      <w:rFonts w:hint="eastAsia"/>
                    </w:rPr>
                    <w:t>46</w:t>
                  </w:r>
                </w:p>
              </w:tc>
            </w:tr>
            <w:tr>
              <w:trPr>
                <w:trHeight w:val="222" w:hRule="atLeast"/>
              </w:trPr>
              <w:tc>
                <w:tcPr>
                  <w:tcW w:w="2008" w:type="dxa"/>
                  <w:vMerge w:val="continue"/>
                  <w:tcBorders>
                    <w:tl2br w:val="nil"/>
                    <w:tr2bl w:val="nil"/>
                  </w:tcBorders>
                  <w:tcMar>
                    <w:top w:w="15" w:type="dxa"/>
                    <w:left w:w="15" w:type="dxa"/>
                    <w:right w:w="15" w:type="dxa"/>
                  </w:tcMar>
                  <w:vAlign w:val="center"/>
                </w:tcPr>
                <w:p>
                  <w:pPr>
                    <w:widowControl/>
                    <w:jc w:val="center"/>
                    <w:textAlignment w:val="center"/>
                    <w:rPr>
                      <w:rFonts w:ascii="宋体" w:hAnsi="宋体" w:cs="宋体"/>
                      <w:szCs w:val="21"/>
                    </w:rPr>
                  </w:pPr>
                </w:p>
              </w:tc>
              <w:tc>
                <w:tcPr>
                  <w:tcW w:w="1252" w:type="dxa"/>
                  <w:vMerge w:val="continue"/>
                  <w:tcBorders>
                    <w:tl2br w:val="nil"/>
                    <w:tr2bl w:val="nil"/>
                  </w:tcBorders>
                  <w:tcMar>
                    <w:top w:w="15" w:type="dxa"/>
                    <w:left w:w="15" w:type="dxa"/>
                    <w:right w:w="15" w:type="dxa"/>
                  </w:tcMar>
                  <w:vAlign w:val="center"/>
                </w:tcPr>
                <w:p>
                  <w:pPr>
                    <w:widowControl/>
                    <w:jc w:val="center"/>
                    <w:textAlignment w:val="center"/>
                    <w:rPr>
                      <w:rFonts w:ascii="宋体" w:hAnsi="宋体" w:cs="宋体"/>
                      <w:bCs/>
                      <w:szCs w:val="21"/>
                    </w:rPr>
                  </w:pPr>
                </w:p>
              </w:tc>
              <w:tc>
                <w:tcPr>
                  <w:tcW w:w="3040" w:type="dxa"/>
                  <w:tcBorders>
                    <w:tl2br w:val="nil"/>
                    <w:tr2bl w:val="nil"/>
                  </w:tcBorders>
                  <w:tcMar>
                    <w:top w:w="15" w:type="dxa"/>
                    <w:left w:w="15" w:type="dxa"/>
                    <w:right w:w="15" w:type="dxa"/>
                  </w:tcMar>
                  <w:vAlign w:val="center"/>
                </w:tcPr>
                <w:p>
                  <w:pPr>
                    <w:jc w:val="center"/>
                    <w:rPr>
                      <w:rFonts w:ascii="宋体" w:hAnsi="宋体" w:cs="宋体"/>
                      <w:szCs w:val="21"/>
                    </w:rPr>
                  </w:pPr>
                  <w:r>
                    <w:rPr>
                      <w:color w:val="000000"/>
                    </w:rPr>
                    <w:t>铅（mg/kg）</w:t>
                  </w:r>
                </w:p>
              </w:tc>
              <w:tc>
                <w:tcPr>
                  <w:tcW w:w="1877" w:type="dxa"/>
                  <w:tcBorders>
                    <w:tl2br w:val="nil"/>
                    <w:tr2bl w:val="nil"/>
                  </w:tcBorders>
                  <w:tcMar>
                    <w:top w:w="15" w:type="dxa"/>
                    <w:left w:w="15" w:type="dxa"/>
                    <w:right w:w="15" w:type="dxa"/>
                  </w:tcMar>
                  <w:vAlign w:val="center"/>
                </w:tcPr>
                <w:p>
                  <w:pPr>
                    <w:jc w:val="center"/>
                    <w:rPr>
                      <w:rFonts w:ascii="宋体" w:hAnsi="宋体" w:cs="宋体"/>
                      <w:szCs w:val="21"/>
                    </w:rPr>
                  </w:pPr>
                  <w:r>
                    <w:rPr>
                      <w:rFonts w:hint="eastAsia"/>
                    </w:rPr>
                    <w:t>39</w:t>
                  </w:r>
                </w:p>
              </w:tc>
            </w:tr>
            <w:tr>
              <w:trPr>
                <w:trHeight w:val="181" w:hRule="atLeast"/>
              </w:trPr>
              <w:tc>
                <w:tcPr>
                  <w:tcW w:w="2008" w:type="dxa"/>
                  <w:vMerge w:val="continue"/>
                  <w:tcBorders>
                    <w:tl2br w:val="nil"/>
                    <w:tr2bl w:val="nil"/>
                  </w:tcBorders>
                  <w:tcMar>
                    <w:top w:w="15" w:type="dxa"/>
                    <w:left w:w="15" w:type="dxa"/>
                    <w:right w:w="15" w:type="dxa"/>
                  </w:tcMar>
                  <w:vAlign w:val="center"/>
                </w:tcPr>
                <w:p>
                  <w:pPr>
                    <w:widowControl/>
                    <w:jc w:val="center"/>
                    <w:textAlignment w:val="center"/>
                    <w:rPr>
                      <w:rFonts w:ascii="宋体" w:hAnsi="宋体" w:cs="宋体"/>
                      <w:szCs w:val="21"/>
                    </w:rPr>
                  </w:pPr>
                </w:p>
              </w:tc>
              <w:tc>
                <w:tcPr>
                  <w:tcW w:w="1252" w:type="dxa"/>
                  <w:vMerge w:val="continue"/>
                  <w:tcBorders>
                    <w:tl2br w:val="nil"/>
                    <w:tr2bl w:val="nil"/>
                  </w:tcBorders>
                  <w:tcMar>
                    <w:top w:w="15" w:type="dxa"/>
                    <w:left w:w="15" w:type="dxa"/>
                    <w:right w:w="15" w:type="dxa"/>
                  </w:tcMar>
                  <w:vAlign w:val="center"/>
                </w:tcPr>
                <w:p>
                  <w:pPr>
                    <w:widowControl/>
                    <w:jc w:val="center"/>
                    <w:textAlignment w:val="center"/>
                    <w:rPr>
                      <w:rFonts w:ascii="宋体" w:hAnsi="宋体" w:cs="宋体"/>
                      <w:bCs/>
                      <w:szCs w:val="21"/>
                    </w:rPr>
                  </w:pPr>
                </w:p>
              </w:tc>
              <w:tc>
                <w:tcPr>
                  <w:tcW w:w="3040" w:type="dxa"/>
                  <w:tcBorders>
                    <w:tl2br w:val="nil"/>
                    <w:tr2bl w:val="nil"/>
                  </w:tcBorders>
                  <w:tcMar>
                    <w:top w:w="15" w:type="dxa"/>
                    <w:left w:w="15" w:type="dxa"/>
                    <w:right w:w="15" w:type="dxa"/>
                  </w:tcMar>
                  <w:vAlign w:val="center"/>
                </w:tcPr>
                <w:p>
                  <w:pPr>
                    <w:jc w:val="center"/>
                    <w:rPr>
                      <w:rFonts w:ascii="宋体" w:hAnsi="宋体" w:cs="宋体"/>
                      <w:szCs w:val="21"/>
                    </w:rPr>
                  </w:pPr>
                  <w:r>
                    <w:rPr>
                      <w:color w:val="000000"/>
                    </w:rPr>
                    <w:t>镍（mg/kg）</w:t>
                  </w:r>
                </w:p>
              </w:tc>
              <w:tc>
                <w:tcPr>
                  <w:tcW w:w="1877" w:type="dxa"/>
                  <w:tcBorders>
                    <w:tl2br w:val="nil"/>
                    <w:tr2bl w:val="nil"/>
                  </w:tcBorders>
                  <w:tcMar>
                    <w:top w:w="15" w:type="dxa"/>
                    <w:left w:w="15" w:type="dxa"/>
                    <w:right w:w="15" w:type="dxa"/>
                  </w:tcMar>
                  <w:vAlign w:val="center"/>
                </w:tcPr>
                <w:p>
                  <w:pPr>
                    <w:jc w:val="center"/>
                    <w:rPr>
                      <w:rFonts w:ascii="宋体" w:hAnsi="宋体" w:cs="宋体"/>
                      <w:szCs w:val="21"/>
                    </w:rPr>
                  </w:pPr>
                  <w:r>
                    <w:rPr>
                      <w:rFonts w:hint="eastAsia"/>
                    </w:rPr>
                    <w:t>33</w:t>
                  </w:r>
                </w:p>
              </w:tc>
            </w:tr>
            <w:tr>
              <w:trPr>
                <w:trHeight w:val="208" w:hRule="atLeast"/>
              </w:trPr>
              <w:tc>
                <w:tcPr>
                  <w:tcW w:w="2008" w:type="dxa"/>
                  <w:vMerge w:val="continue"/>
                  <w:tcBorders>
                    <w:tl2br w:val="nil"/>
                    <w:tr2bl w:val="nil"/>
                  </w:tcBorders>
                  <w:tcMar>
                    <w:top w:w="15" w:type="dxa"/>
                    <w:left w:w="15" w:type="dxa"/>
                    <w:right w:w="15" w:type="dxa"/>
                  </w:tcMar>
                  <w:vAlign w:val="center"/>
                </w:tcPr>
                <w:p>
                  <w:pPr>
                    <w:widowControl/>
                    <w:jc w:val="center"/>
                    <w:textAlignment w:val="center"/>
                    <w:rPr>
                      <w:rFonts w:ascii="宋体" w:hAnsi="宋体" w:cs="宋体"/>
                      <w:kern w:val="0"/>
                      <w:szCs w:val="21"/>
                    </w:rPr>
                  </w:pPr>
                </w:p>
              </w:tc>
              <w:tc>
                <w:tcPr>
                  <w:tcW w:w="1252" w:type="dxa"/>
                  <w:vMerge w:val="continue"/>
                  <w:tcBorders>
                    <w:tl2br w:val="nil"/>
                    <w:tr2bl w:val="nil"/>
                  </w:tcBorders>
                  <w:tcMar>
                    <w:top w:w="15" w:type="dxa"/>
                    <w:left w:w="15" w:type="dxa"/>
                    <w:right w:w="15" w:type="dxa"/>
                  </w:tcMar>
                  <w:vAlign w:val="center"/>
                </w:tcPr>
                <w:p>
                  <w:pPr>
                    <w:widowControl/>
                    <w:jc w:val="center"/>
                    <w:textAlignment w:val="center"/>
                    <w:rPr>
                      <w:rFonts w:ascii="宋体" w:hAnsi="宋体" w:cs="宋体"/>
                      <w:szCs w:val="21"/>
                    </w:rPr>
                  </w:pPr>
                </w:p>
              </w:tc>
              <w:tc>
                <w:tcPr>
                  <w:tcW w:w="3040" w:type="dxa"/>
                  <w:tcBorders>
                    <w:tl2br w:val="nil"/>
                    <w:tr2bl w:val="nil"/>
                  </w:tcBorders>
                  <w:tcMar>
                    <w:top w:w="15" w:type="dxa"/>
                    <w:left w:w="15" w:type="dxa"/>
                    <w:right w:w="15" w:type="dxa"/>
                  </w:tcMar>
                  <w:vAlign w:val="center"/>
                </w:tcPr>
                <w:p>
                  <w:pPr>
                    <w:jc w:val="center"/>
                    <w:rPr>
                      <w:rFonts w:ascii="宋体" w:hAnsi="宋体" w:cs="宋体"/>
                      <w:szCs w:val="21"/>
                    </w:rPr>
                  </w:pPr>
                  <w:r>
                    <w:rPr>
                      <w:rFonts w:hint="eastAsia"/>
                      <w:kern w:val="0"/>
                      <w:szCs w:val="21"/>
                    </w:rPr>
                    <w:t>六价</w:t>
                  </w:r>
                  <w:r>
                    <w:rPr>
                      <w:kern w:val="0"/>
                      <w:szCs w:val="21"/>
                    </w:rPr>
                    <w:t>铬</w:t>
                  </w:r>
                  <w:r>
                    <w:t>（mg/kg）</w:t>
                  </w:r>
                </w:p>
              </w:tc>
              <w:tc>
                <w:tcPr>
                  <w:tcW w:w="1877" w:type="dxa"/>
                  <w:tcBorders>
                    <w:tl2br w:val="nil"/>
                    <w:tr2bl w:val="nil"/>
                  </w:tcBorders>
                  <w:tcMar>
                    <w:top w:w="15" w:type="dxa"/>
                    <w:left w:w="15" w:type="dxa"/>
                    <w:right w:w="15" w:type="dxa"/>
                  </w:tcMar>
                  <w:vAlign w:val="center"/>
                </w:tcPr>
                <w:p>
                  <w:pPr>
                    <w:jc w:val="center"/>
                    <w:rPr>
                      <w:rFonts w:ascii="宋体" w:hAnsi="宋体" w:cs="宋体"/>
                      <w:szCs w:val="21"/>
                    </w:rPr>
                  </w:pPr>
                  <w:r>
                    <w:rPr>
                      <w:rFonts w:hint="eastAsia"/>
                    </w:rPr>
                    <w:t>0.5L</w:t>
                  </w:r>
                </w:p>
              </w:tc>
            </w:tr>
            <w:tr>
              <w:trPr>
                <w:trHeight w:val="167" w:hRule="atLeast"/>
              </w:trPr>
              <w:tc>
                <w:tcPr>
                  <w:tcW w:w="2008" w:type="dxa"/>
                  <w:vMerge w:val="continue"/>
                  <w:tcBorders>
                    <w:tl2br w:val="nil"/>
                    <w:tr2bl w:val="nil"/>
                  </w:tcBorders>
                  <w:tcMar>
                    <w:top w:w="15" w:type="dxa"/>
                    <w:left w:w="15" w:type="dxa"/>
                    <w:right w:w="15" w:type="dxa"/>
                  </w:tcMar>
                  <w:vAlign w:val="center"/>
                </w:tcPr>
                <w:p>
                  <w:pPr>
                    <w:widowControl/>
                    <w:jc w:val="center"/>
                    <w:textAlignment w:val="center"/>
                    <w:rPr>
                      <w:rFonts w:ascii="宋体" w:hAnsi="宋体" w:cs="宋体"/>
                      <w:kern w:val="0"/>
                      <w:szCs w:val="21"/>
                    </w:rPr>
                  </w:pPr>
                </w:p>
              </w:tc>
              <w:tc>
                <w:tcPr>
                  <w:tcW w:w="1252" w:type="dxa"/>
                  <w:vMerge w:val="continue"/>
                  <w:tcBorders>
                    <w:tl2br w:val="nil"/>
                    <w:tr2bl w:val="nil"/>
                  </w:tcBorders>
                  <w:tcMar>
                    <w:top w:w="15" w:type="dxa"/>
                    <w:left w:w="15" w:type="dxa"/>
                    <w:right w:w="15" w:type="dxa"/>
                  </w:tcMar>
                  <w:vAlign w:val="center"/>
                </w:tcPr>
                <w:p>
                  <w:pPr>
                    <w:widowControl/>
                    <w:jc w:val="center"/>
                    <w:textAlignment w:val="center"/>
                    <w:rPr>
                      <w:rFonts w:ascii="宋体" w:hAnsi="宋体" w:cs="宋体"/>
                      <w:szCs w:val="21"/>
                    </w:rPr>
                  </w:pPr>
                </w:p>
              </w:tc>
              <w:tc>
                <w:tcPr>
                  <w:tcW w:w="3040" w:type="dxa"/>
                  <w:tcBorders>
                    <w:tl2br w:val="nil"/>
                    <w:tr2bl w:val="nil"/>
                  </w:tcBorders>
                  <w:tcMar>
                    <w:top w:w="15" w:type="dxa"/>
                    <w:left w:w="15" w:type="dxa"/>
                    <w:right w:w="15" w:type="dxa"/>
                  </w:tcMar>
                  <w:vAlign w:val="center"/>
                </w:tcPr>
                <w:p>
                  <w:pPr>
                    <w:widowControl/>
                    <w:jc w:val="center"/>
                    <w:textAlignment w:val="center"/>
                    <w:rPr>
                      <w:rFonts w:ascii="宋体" w:hAnsi="宋体" w:cs="宋体"/>
                      <w:szCs w:val="21"/>
                    </w:rPr>
                  </w:pPr>
                  <w:r>
                    <w:rPr>
                      <w:rFonts w:hint="eastAsia" w:ascii="等线" w:hAnsi="等线" w:eastAsia="等线" w:cs="等线"/>
                      <w:szCs w:val="21"/>
                      <w:lang w:val="zh-CN"/>
                    </w:rPr>
                    <w:t>石油烃</w:t>
                  </w:r>
                  <w:r>
                    <w:rPr>
                      <w:spacing w:val="3"/>
                    </w:rPr>
                    <w:t>(C₁₀-C₄₀)</w:t>
                  </w:r>
                  <w:r>
                    <w:rPr>
                      <w:color w:val="000000"/>
                    </w:rPr>
                    <w:t>（mg/kg）</w:t>
                  </w:r>
                </w:p>
              </w:tc>
              <w:tc>
                <w:tcPr>
                  <w:tcW w:w="1877" w:type="dxa"/>
                  <w:tcBorders>
                    <w:tl2br w:val="nil"/>
                    <w:tr2bl w:val="nil"/>
                  </w:tcBorders>
                  <w:tcMar>
                    <w:top w:w="15" w:type="dxa"/>
                    <w:left w:w="15" w:type="dxa"/>
                    <w:right w:w="15" w:type="dxa"/>
                  </w:tcMar>
                  <w:vAlign w:val="center"/>
                </w:tcPr>
                <w:p>
                  <w:pPr>
                    <w:jc w:val="center"/>
                    <w:rPr>
                      <w:rFonts w:ascii="宋体" w:hAnsi="宋体" w:cs="宋体"/>
                      <w:szCs w:val="21"/>
                    </w:rPr>
                  </w:pPr>
                  <w:r>
                    <w:rPr>
                      <w:rFonts w:hint="eastAsia"/>
                    </w:rPr>
                    <w:t>6L</w:t>
                  </w:r>
                </w:p>
              </w:tc>
            </w:tr>
            <w:tr>
              <w:trPr>
                <w:trHeight w:val="126" w:hRule="atLeast"/>
              </w:trPr>
              <w:tc>
                <w:tcPr>
                  <w:tcW w:w="2008" w:type="dxa"/>
                  <w:vMerge w:val="continue"/>
                  <w:tcBorders>
                    <w:tl2br w:val="nil"/>
                    <w:tr2bl w:val="nil"/>
                  </w:tcBorders>
                  <w:tcMar>
                    <w:top w:w="15" w:type="dxa"/>
                    <w:left w:w="15" w:type="dxa"/>
                    <w:right w:w="15" w:type="dxa"/>
                  </w:tcMar>
                  <w:vAlign w:val="center"/>
                </w:tcPr>
                <w:p>
                  <w:pPr>
                    <w:widowControl/>
                    <w:jc w:val="center"/>
                    <w:textAlignment w:val="center"/>
                    <w:rPr>
                      <w:rFonts w:ascii="宋体" w:hAnsi="宋体" w:cs="宋体"/>
                      <w:kern w:val="0"/>
                      <w:szCs w:val="21"/>
                    </w:rPr>
                  </w:pPr>
                </w:p>
              </w:tc>
              <w:tc>
                <w:tcPr>
                  <w:tcW w:w="1252" w:type="dxa"/>
                  <w:vMerge w:val="continue"/>
                  <w:tcBorders>
                    <w:tl2br w:val="nil"/>
                    <w:tr2bl w:val="nil"/>
                  </w:tcBorders>
                  <w:tcMar>
                    <w:top w:w="15" w:type="dxa"/>
                    <w:left w:w="15" w:type="dxa"/>
                    <w:right w:w="15" w:type="dxa"/>
                  </w:tcMar>
                  <w:vAlign w:val="center"/>
                </w:tcPr>
                <w:p>
                  <w:pPr>
                    <w:widowControl/>
                    <w:jc w:val="center"/>
                    <w:textAlignment w:val="center"/>
                    <w:rPr>
                      <w:rFonts w:ascii="宋体" w:hAnsi="宋体" w:cs="宋体"/>
                      <w:szCs w:val="21"/>
                    </w:rPr>
                  </w:pPr>
                </w:p>
              </w:tc>
              <w:tc>
                <w:tcPr>
                  <w:tcW w:w="3040" w:type="dxa"/>
                  <w:tcBorders>
                    <w:tl2br w:val="nil"/>
                    <w:tr2bl w:val="nil"/>
                  </w:tcBorders>
                  <w:tcMar>
                    <w:top w:w="15" w:type="dxa"/>
                    <w:left w:w="15" w:type="dxa"/>
                    <w:right w:w="15" w:type="dxa"/>
                  </w:tcMar>
                  <w:vAlign w:val="center"/>
                </w:tcPr>
                <w:p>
                  <w:pPr>
                    <w:jc w:val="center"/>
                    <w:rPr>
                      <w:rFonts w:ascii="宋体" w:hAnsi="宋体" w:cs="宋体"/>
                      <w:szCs w:val="21"/>
                    </w:rPr>
                  </w:pPr>
                  <w:r>
                    <w:rPr>
                      <w:szCs w:val="21"/>
                    </w:rPr>
                    <w:t>四氯化碳</w:t>
                  </w:r>
                  <w:r>
                    <w:rPr>
                      <w:color w:val="000000"/>
                      <w:szCs w:val="21"/>
                    </w:rPr>
                    <w:t>(μg/kg)</w:t>
                  </w:r>
                </w:p>
              </w:tc>
              <w:tc>
                <w:tcPr>
                  <w:tcW w:w="1877" w:type="dxa"/>
                  <w:tcBorders>
                    <w:tl2br w:val="nil"/>
                    <w:tr2bl w:val="nil"/>
                  </w:tcBorders>
                  <w:tcMar>
                    <w:top w:w="15" w:type="dxa"/>
                    <w:left w:w="15" w:type="dxa"/>
                    <w:right w:w="15" w:type="dxa"/>
                  </w:tcMar>
                  <w:vAlign w:val="center"/>
                </w:tcPr>
                <w:p>
                  <w:pPr>
                    <w:jc w:val="center"/>
                    <w:rPr>
                      <w:rFonts w:ascii="宋体" w:hAnsi="宋体" w:cs="宋体"/>
                      <w:szCs w:val="21"/>
                    </w:rPr>
                  </w:pPr>
                  <w:r>
                    <w:rPr>
                      <w:szCs w:val="21"/>
                    </w:rPr>
                    <w:t>2.1L</w:t>
                  </w:r>
                </w:p>
              </w:tc>
            </w:tr>
            <w:tr>
              <w:trPr>
                <w:trHeight w:val="90" w:hRule="atLeast"/>
              </w:trPr>
              <w:tc>
                <w:tcPr>
                  <w:tcW w:w="2008" w:type="dxa"/>
                  <w:vMerge w:val="continue"/>
                  <w:tcBorders>
                    <w:tl2br w:val="nil"/>
                    <w:tr2bl w:val="nil"/>
                  </w:tcBorders>
                  <w:tcMar>
                    <w:top w:w="15" w:type="dxa"/>
                    <w:left w:w="15" w:type="dxa"/>
                    <w:right w:w="15" w:type="dxa"/>
                  </w:tcMar>
                  <w:vAlign w:val="center"/>
                </w:tcPr>
                <w:p>
                  <w:pPr>
                    <w:widowControl/>
                    <w:jc w:val="center"/>
                    <w:textAlignment w:val="center"/>
                    <w:rPr>
                      <w:rFonts w:ascii="宋体" w:hAnsi="宋体" w:cs="宋体"/>
                      <w:kern w:val="0"/>
                      <w:szCs w:val="21"/>
                    </w:rPr>
                  </w:pPr>
                </w:p>
              </w:tc>
              <w:tc>
                <w:tcPr>
                  <w:tcW w:w="1252" w:type="dxa"/>
                  <w:vMerge w:val="continue"/>
                  <w:tcBorders>
                    <w:tl2br w:val="nil"/>
                    <w:tr2bl w:val="nil"/>
                  </w:tcBorders>
                  <w:tcMar>
                    <w:top w:w="15" w:type="dxa"/>
                    <w:left w:w="15" w:type="dxa"/>
                    <w:right w:w="15" w:type="dxa"/>
                  </w:tcMar>
                  <w:vAlign w:val="center"/>
                </w:tcPr>
                <w:p>
                  <w:pPr>
                    <w:widowControl/>
                    <w:jc w:val="center"/>
                    <w:textAlignment w:val="center"/>
                    <w:rPr>
                      <w:rFonts w:ascii="宋体" w:hAnsi="宋体" w:cs="宋体"/>
                      <w:szCs w:val="21"/>
                    </w:rPr>
                  </w:pPr>
                </w:p>
              </w:tc>
              <w:tc>
                <w:tcPr>
                  <w:tcW w:w="3040" w:type="dxa"/>
                  <w:tcBorders>
                    <w:tl2br w:val="nil"/>
                    <w:tr2bl w:val="nil"/>
                  </w:tcBorders>
                  <w:tcMar>
                    <w:top w:w="15" w:type="dxa"/>
                    <w:left w:w="15" w:type="dxa"/>
                    <w:right w:w="15" w:type="dxa"/>
                  </w:tcMar>
                  <w:vAlign w:val="center"/>
                </w:tcPr>
                <w:p>
                  <w:pPr>
                    <w:widowControl/>
                    <w:jc w:val="center"/>
                    <w:textAlignment w:val="center"/>
                    <w:rPr>
                      <w:rFonts w:ascii="宋体" w:hAnsi="宋体" w:cs="宋体"/>
                      <w:szCs w:val="21"/>
                    </w:rPr>
                  </w:pPr>
                  <w:r>
                    <w:rPr>
                      <w:szCs w:val="21"/>
                    </w:rPr>
                    <w:t>氯仿</w:t>
                  </w:r>
                  <w:r>
                    <w:rPr>
                      <w:color w:val="000000"/>
                      <w:szCs w:val="21"/>
                    </w:rPr>
                    <w:t>(μg/kg)</w:t>
                  </w:r>
                </w:p>
              </w:tc>
              <w:tc>
                <w:tcPr>
                  <w:tcW w:w="1877" w:type="dxa"/>
                  <w:tcBorders>
                    <w:tl2br w:val="nil"/>
                    <w:tr2bl w:val="nil"/>
                  </w:tcBorders>
                  <w:tcMar>
                    <w:top w:w="15" w:type="dxa"/>
                    <w:left w:w="15" w:type="dxa"/>
                    <w:right w:w="15" w:type="dxa"/>
                  </w:tcMar>
                  <w:vAlign w:val="center"/>
                </w:tcPr>
                <w:p>
                  <w:pPr>
                    <w:jc w:val="center"/>
                    <w:rPr>
                      <w:rFonts w:ascii="宋体" w:hAnsi="宋体" w:cs="宋体"/>
                      <w:szCs w:val="21"/>
                    </w:rPr>
                  </w:pPr>
                  <w:r>
                    <w:rPr>
                      <w:szCs w:val="21"/>
                    </w:rPr>
                    <w:t>1.5L</w:t>
                  </w:r>
                </w:p>
              </w:tc>
            </w:tr>
            <w:tr>
              <w:trPr>
                <w:trHeight w:val="435" w:hRule="atLeast"/>
              </w:trPr>
              <w:tc>
                <w:tcPr>
                  <w:tcW w:w="2008" w:type="dxa"/>
                  <w:vMerge w:val="continue"/>
                  <w:tcBorders>
                    <w:tl2br w:val="nil"/>
                    <w:tr2bl w:val="nil"/>
                  </w:tcBorders>
                  <w:tcMar>
                    <w:top w:w="15" w:type="dxa"/>
                    <w:left w:w="15" w:type="dxa"/>
                    <w:right w:w="15" w:type="dxa"/>
                  </w:tcMar>
                  <w:vAlign w:val="center"/>
                </w:tcPr>
                <w:p>
                  <w:pPr>
                    <w:widowControl/>
                    <w:jc w:val="center"/>
                    <w:textAlignment w:val="center"/>
                    <w:rPr>
                      <w:rFonts w:ascii="宋体" w:hAnsi="宋体" w:cs="宋体"/>
                      <w:kern w:val="0"/>
                      <w:szCs w:val="21"/>
                    </w:rPr>
                  </w:pPr>
                </w:p>
              </w:tc>
              <w:tc>
                <w:tcPr>
                  <w:tcW w:w="1252" w:type="dxa"/>
                  <w:vMerge w:val="continue"/>
                  <w:tcBorders>
                    <w:tl2br w:val="nil"/>
                    <w:tr2bl w:val="nil"/>
                  </w:tcBorders>
                  <w:tcMar>
                    <w:top w:w="15" w:type="dxa"/>
                    <w:left w:w="15" w:type="dxa"/>
                    <w:right w:w="15" w:type="dxa"/>
                  </w:tcMar>
                  <w:vAlign w:val="center"/>
                </w:tcPr>
                <w:p>
                  <w:pPr>
                    <w:widowControl/>
                    <w:jc w:val="center"/>
                    <w:textAlignment w:val="center"/>
                    <w:rPr>
                      <w:rFonts w:ascii="宋体" w:hAnsi="宋体" w:cs="宋体"/>
                      <w:szCs w:val="21"/>
                    </w:rPr>
                  </w:pPr>
                </w:p>
              </w:tc>
              <w:tc>
                <w:tcPr>
                  <w:tcW w:w="3040" w:type="dxa"/>
                  <w:tcBorders>
                    <w:tl2br w:val="nil"/>
                    <w:tr2bl w:val="nil"/>
                  </w:tcBorders>
                  <w:tcMar>
                    <w:top w:w="15" w:type="dxa"/>
                    <w:left w:w="15" w:type="dxa"/>
                    <w:right w:w="15" w:type="dxa"/>
                  </w:tcMar>
                  <w:vAlign w:val="center"/>
                </w:tcPr>
                <w:p>
                  <w:pPr>
                    <w:widowControl/>
                    <w:jc w:val="center"/>
                    <w:textAlignment w:val="center"/>
                    <w:rPr>
                      <w:rFonts w:ascii="宋体" w:hAnsi="宋体" w:cs="宋体"/>
                      <w:szCs w:val="21"/>
                    </w:rPr>
                  </w:pPr>
                  <w:r>
                    <w:rPr>
                      <w:szCs w:val="21"/>
                    </w:rPr>
                    <w:t>氯甲烷</w:t>
                  </w:r>
                  <w:r>
                    <w:rPr>
                      <w:color w:val="000000"/>
                      <w:szCs w:val="21"/>
                    </w:rPr>
                    <w:t>(μg/kg)</w:t>
                  </w:r>
                </w:p>
              </w:tc>
              <w:tc>
                <w:tcPr>
                  <w:tcW w:w="1877" w:type="dxa"/>
                  <w:tcBorders>
                    <w:tl2br w:val="nil"/>
                    <w:tr2bl w:val="nil"/>
                  </w:tcBorders>
                  <w:tcMar>
                    <w:top w:w="15" w:type="dxa"/>
                    <w:left w:w="15" w:type="dxa"/>
                    <w:right w:w="15" w:type="dxa"/>
                  </w:tcMar>
                  <w:vAlign w:val="center"/>
                </w:tcPr>
                <w:p>
                  <w:pPr>
                    <w:jc w:val="center"/>
                    <w:rPr>
                      <w:rFonts w:ascii="宋体" w:hAnsi="宋体" w:cs="宋体"/>
                      <w:szCs w:val="21"/>
                    </w:rPr>
                  </w:pPr>
                  <w:r>
                    <w:rPr>
                      <w:szCs w:val="21"/>
                    </w:rPr>
                    <w:t>3L</w:t>
                  </w:r>
                </w:p>
              </w:tc>
            </w:tr>
            <w:tr>
              <w:trPr>
                <w:trHeight w:val="435" w:hRule="atLeast"/>
              </w:trPr>
              <w:tc>
                <w:tcPr>
                  <w:tcW w:w="2008" w:type="dxa"/>
                  <w:vMerge w:val="continue"/>
                  <w:tcBorders>
                    <w:tl2br w:val="nil"/>
                    <w:tr2bl w:val="nil"/>
                  </w:tcBorders>
                  <w:tcMar>
                    <w:top w:w="15" w:type="dxa"/>
                    <w:left w:w="15" w:type="dxa"/>
                    <w:right w:w="15" w:type="dxa"/>
                  </w:tcMar>
                  <w:vAlign w:val="center"/>
                </w:tcPr>
                <w:p>
                  <w:pPr>
                    <w:widowControl/>
                    <w:jc w:val="center"/>
                    <w:textAlignment w:val="center"/>
                    <w:rPr>
                      <w:rFonts w:ascii="宋体" w:hAnsi="宋体" w:cs="宋体"/>
                      <w:kern w:val="0"/>
                      <w:szCs w:val="21"/>
                    </w:rPr>
                  </w:pPr>
                </w:p>
              </w:tc>
              <w:tc>
                <w:tcPr>
                  <w:tcW w:w="1252" w:type="dxa"/>
                  <w:vMerge w:val="continue"/>
                  <w:tcBorders>
                    <w:tl2br w:val="nil"/>
                    <w:tr2bl w:val="nil"/>
                  </w:tcBorders>
                  <w:tcMar>
                    <w:top w:w="15" w:type="dxa"/>
                    <w:left w:w="15" w:type="dxa"/>
                    <w:right w:w="15" w:type="dxa"/>
                  </w:tcMar>
                  <w:vAlign w:val="center"/>
                </w:tcPr>
                <w:p>
                  <w:pPr>
                    <w:widowControl/>
                    <w:jc w:val="center"/>
                    <w:textAlignment w:val="center"/>
                    <w:rPr>
                      <w:rFonts w:ascii="宋体" w:hAnsi="宋体" w:cs="宋体"/>
                      <w:szCs w:val="21"/>
                    </w:rPr>
                  </w:pPr>
                </w:p>
              </w:tc>
              <w:tc>
                <w:tcPr>
                  <w:tcW w:w="3040" w:type="dxa"/>
                  <w:tcBorders>
                    <w:tl2br w:val="nil"/>
                    <w:tr2bl w:val="nil"/>
                  </w:tcBorders>
                  <w:tcMar>
                    <w:top w:w="15" w:type="dxa"/>
                    <w:left w:w="15" w:type="dxa"/>
                    <w:right w:w="15" w:type="dxa"/>
                  </w:tcMar>
                  <w:vAlign w:val="center"/>
                </w:tcPr>
                <w:p>
                  <w:pPr>
                    <w:widowControl/>
                    <w:jc w:val="center"/>
                    <w:textAlignment w:val="center"/>
                    <w:rPr>
                      <w:rFonts w:ascii="宋体" w:hAnsi="宋体" w:cs="宋体"/>
                      <w:szCs w:val="21"/>
                    </w:rPr>
                  </w:pPr>
                  <w:r>
                    <w:rPr>
                      <w:szCs w:val="21"/>
                    </w:rPr>
                    <w:t>1,1-二氯乙烷</w:t>
                  </w:r>
                  <w:r>
                    <w:rPr>
                      <w:color w:val="000000"/>
                      <w:szCs w:val="21"/>
                    </w:rPr>
                    <w:t>(μg/kg)</w:t>
                  </w:r>
                </w:p>
              </w:tc>
              <w:tc>
                <w:tcPr>
                  <w:tcW w:w="1877" w:type="dxa"/>
                  <w:tcBorders>
                    <w:tl2br w:val="nil"/>
                    <w:tr2bl w:val="nil"/>
                  </w:tcBorders>
                  <w:tcMar>
                    <w:top w:w="15" w:type="dxa"/>
                    <w:left w:w="15" w:type="dxa"/>
                    <w:right w:w="15" w:type="dxa"/>
                  </w:tcMar>
                  <w:vAlign w:val="center"/>
                </w:tcPr>
                <w:p>
                  <w:pPr>
                    <w:jc w:val="center"/>
                    <w:rPr>
                      <w:rFonts w:ascii="宋体" w:hAnsi="宋体" w:cs="宋体"/>
                      <w:szCs w:val="21"/>
                    </w:rPr>
                  </w:pPr>
                  <w:r>
                    <w:rPr>
                      <w:szCs w:val="21"/>
                    </w:rPr>
                    <w:t>1.6L</w:t>
                  </w:r>
                </w:p>
              </w:tc>
            </w:tr>
            <w:tr>
              <w:trPr>
                <w:trHeight w:val="435" w:hRule="atLeast"/>
              </w:trPr>
              <w:tc>
                <w:tcPr>
                  <w:tcW w:w="2008" w:type="dxa"/>
                  <w:vMerge w:val="continue"/>
                  <w:tcBorders>
                    <w:tl2br w:val="nil"/>
                    <w:tr2bl w:val="nil"/>
                  </w:tcBorders>
                  <w:tcMar>
                    <w:top w:w="15" w:type="dxa"/>
                    <w:left w:w="15" w:type="dxa"/>
                    <w:right w:w="15" w:type="dxa"/>
                  </w:tcMar>
                  <w:vAlign w:val="center"/>
                </w:tcPr>
                <w:p>
                  <w:pPr>
                    <w:widowControl/>
                    <w:jc w:val="center"/>
                    <w:textAlignment w:val="center"/>
                    <w:rPr>
                      <w:rFonts w:ascii="宋体" w:hAnsi="宋体" w:cs="宋体"/>
                      <w:kern w:val="0"/>
                      <w:szCs w:val="21"/>
                    </w:rPr>
                  </w:pPr>
                </w:p>
              </w:tc>
              <w:tc>
                <w:tcPr>
                  <w:tcW w:w="1252" w:type="dxa"/>
                  <w:vMerge w:val="continue"/>
                  <w:tcBorders>
                    <w:tl2br w:val="nil"/>
                    <w:tr2bl w:val="nil"/>
                  </w:tcBorders>
                  <w:tcMar>
                    <w:top w:w="15" w:type="dxa"/>
                    <w:left w:w="15" w:type="dxa"/>
                    <w:right w:w="15" w:type="dxa"/>
                  </w:tcMar>
                  <w:vAlign w:val="center"/>
                </w:tcPr>
                <w:p>
                  <w:pPr>
                    <w:widowControl/>
                    <w:jc w:val="center"/>
                    <w:textAlignment w:val="center"/>
                    <w:rPr>
                      <w:rFonts w:ascii="宋体" w:hAnsi="宋体" w:cs="宋体"/>
                      <w:szCs w:val="21"/>
                    </w:rPr>
                  </w:pPr>
                </w:p>
              </w:tc>
              <w:tc>
                <w:tcPr>
                  <w:tcW w:w="3040" w:type="dxa"/>
                  <w:tcBorders>
                    <w:tl2br w:val="nil"/>
                    <w:tr2bl w:val="nil"/>
                  </w:tcBorders>
                  <w:tcMar>
                    <w:top w:w="15" w:type="dxa"/>
                    <w:left w:w="15" w:type="dxa"/>
                    <w:right w:w="15" w:type="dxa"/>
                  </w:tcMar>
                  <w:vAlign w:val="center"/>
                </w:tcPr>
                <w:p>
                  <w:pPr>
                    <w:widowControl/>
                    <w:jc w:val="center"/>
                    <w:textAlignment w:val="center"/>
                    <w:rPr>
                      <w:rFonts w:ascii="宋体" w:hAnsi="宋体" w:cs="宋体"/>
                      <w:szCs w:val="21"/>
                    </w:rPr>
                  </w:pPr>
                  <w:r>
                    <w:rPr>
                      <w:szCs w:val="21"/>
                    </w:rPr>
                    <w:t>1,2-二氯乙烷</w:t>
                  </w:r>
                  <w:r>
                    <w:rPr>
                      <w:color w:val="000000"/>
                      <w:szCs w:val="21"/>
                    </w:rPr>
                    <w:t>(μg/kg)</w:t>
                  </w:r>
                </w:p>
              </w:tc>
              <w:tc>
                <w:tcPr>
                  <w:tcW w:w="1877" w:type="dxa"/>
                  <w:tcBorders>
                    <w:tl2br w:val="nil"/>
                    <w:tr2bl w:val="nil"/>
                  </w:tcBorders>
                  <w:tcMar>
                    <w:top w:w="15" w:type="dxa"/>
                    <w:left w:w="15" w:type="dxa"/>
                    <w:right w:w="15" w:type="dxa"/>
                  </w:tcMar>
                  <w:vAlign w:val="center"/>
                </w:tcPr>
                <w:p>
                  <w:pPr>
                    <w:jc w:val="center"/>
                    <w:rPr>
                      <w:rFonts w:ascii="宋体" w:hAnsi="宋体" w:cs="宋体"/>
                      <w:szCs w:val="21"/>
                    </w:rPr>
                  </w:pPr>
                  <w:r>
                    <w:rPr>
                      <w:szCs w:val="21"/>
                    </w:rPr>
                    <w:t>1.3L</w:t>
                  </w:r>
                </w:p>
              </w:tc>
            </w:tr>
            <w:tr>
              <w:trPr>
                <w:trHeight w:val="420" w:hRule="atLeast"/>
              </w:trPr>
              <w:tc>
                <w:tcPr>
                  <w:tcW w:w="2008" w:type="dxa"/>
                  <w:vMerge w:val="continue"/>
                  <w:tcBorders>
                    <w:tl2br w:val="nil"/>
                    <w:tr2bl w:val="nil"/>
                  </w:tcBorders>
                  <w:vAlign w:val="top"/>
                </w:tcPr>
                <w:p>
                  <w:pPr>
                    <w:widowControl/>
                    <w:jc w:val="center"/>
                    <w:textAlignment w:val="center"/>
                    <w:rPr>
                      <w:rFonts w:ascii="宋体" w:hAnsi="宋体" w:cs="宋体"/>
                      <w:kern w:val="0"/>
                      <w:szCs w:val="21"/>
                    </w:rPr>
                  </w:pPr>
                </w:p>
              </w:tc>
              <w:tc>
                <w:tcPr>
                  <w:tcW w:w="1252" w:type="dxa"/>
                  <w:vMerge w:val="continue"/>
                  <w:tcBorders>
                    <w:tl2br w:val="nil"/>
                    <w:tr2bl w:val="nil"/>
                  </w:tcBorders>
                  <w:vAlign w:val="top"/>
                </w:tcPr>
                <w:p>
                  <w:pPr>
                    <w:widowControl/>
                    <w:jc w:val="center"/>
                    <w:textAlignment w:val="center"/>
                    <w:rPr>
                      <w:rFonts w:ascii="宋体" w:hAnsi="宋体" w:cs="宋体"/>
                      <w:szCs w:val="21"/>
                    </w:rPr>
                  </w:pPr>
                </w:p>
              </w:tc>
              <w:tc>
                <w:tcPr>
                  <w:tcW w:w="3040" w:type="dxa"/>
                  <w:tcBorders>
                    <w:tl2br w:val="nil"/>
                    <w:tr2bl w:val="nil"/>
                  </w:tcBorders>
                  <w:vAlign w:val="center"/>
                </w:tcPr>
                <w:p>
                  <w:pPr>
                    <w:widowControl/>
                    <w:jc w:val="center"/>
                    <w:textAlignment w:val="center"/>
                    <w:rPr>
                      <w:rFonts w:ascii="宋体" w:hAnsi="宋体" w:cs="宋体"/>
                      <w:szCs w:val="21"/>
                    </w:rPr>
                  </w:pPr>
                  <w:r>
                    <w:rPr>
                      <w:szCs w:val="21"/>
                    </w:rPr>
                    <w:t>1,1-二氯乙烯</w:t>
                  </w:r>
                  <w:r>
                    <w:rPr>
                      <w:color w:val="000000"/>
                      <w:szCs w:val="21"/>
                    </w:rPr>
                    <w:t>(μg/kg)</w:t>
                  </w:r>
                </w:p>
              </w:tc>
              <w:tc>
                <w:tcPr>
                  <w:tcW w:w="1877" w:type="dxa"/>
                  <w:tcBorders>
                    <w:tl2br w:val="nil"/>
                    <w:tr2bl w:val="nil"/>
                  </w:tcBorders>
                  <w:vAlign w:val="center"/>
                </w:tcPr>
                <w:p>
                  <w:pPr>
                    <w:jc w:val="center"/>
                    <w:rPr>
                      <w:rFonts w:ascii="宋体" w:hAnsi="宋体" w:cs="宋体"/>
                      <w:szCs w:val="21"/>
                    </w:rPr>
                  </w:pPr>
                  <w:r>
                    <w:rPr>
                      <w:szCs w:val="21"/>
                    </w:rPr>
                    <w:t>0.8L</w:t>
                  </w:r>
                </w:p>
              </w:tc>
            </w:tr>
            <w:tr>
              <w:trPr>
                <w:trHeight w:val="420" w:hRule="atLeast"/>
              </w:trPr>
              <w:tc>
                <w:tcPr>
                  <w:tcW w:w="2008" w:type="dxa"/>
                  <w:vMerge w:val="continue"/>
                  <w:tcBorders>
                    <w:tl2br w:val="nil"/>
                    <w:tr2bl w:val="nil"/>
                  </w:tcBorders>
                  <w:vAlign w:val="top"/>
                </w:tcPr>
                <w:p>
                  <w:pPr>
                    <w:widowControl/>
                    <w:jc w:val="center"/>
                    <w:textAlignment w:val="center"/>
                    <w:rPr>
                      <w:rFonts w:ascii="宋体" w:hAnsi="宋体" w:cs="宋体"/>
                      <w:kern w:val="0"/>
                      <w:szCs w:val="21"/>
                    </w:rPr>
                  </w:pPr>
                </w:p>
              </w:tc>
              <w:tc>
                <w:tcPr>
                  <w:tcW w:w="1252" w:type="dxa"/>
                  <w:vMerge w:val="continue"/>
                  <w:tcBorders>
                    <w:tl2br w:val="nil"/>
                    <w:tr2bl w:val="nil"/>
                  </w:tcBorders>
                  <w:vAlign w:val="top"/>
                </w:tcPr>
                <w:p>
                  <w:pPr>
                    <w:widowControl/>
                    <w:jc w:val="center"/>
                    <w:textAlignment w:val="center"/>
                    <w:rPr>
                      <w:rFonts w:ascii="宋体" w:hAnsi="宋体" w:cs="宋体"/>
                      <w:szCs w:val="21"/>
                    </w:rPr>
                  </w:pPr>
                </w:p>
              </w:tc>
              <w:tc>
                <w:tcPr>
                  <w:tcW w:w="3040" w:type="dxa"/>
                  <w:tcBorders>
                    <w:tl2br w:val="nil"/>
                    <w:tr2bl w:val="nil"/>
                  </w:tcBorders>
                  <w:vAlign w:val="center"/>
                </w:tcPr>
                <w:p>
                  <w:pPr>
                    <w:widowControl/>
                    <w:jc w:val="center"/>
                    <w:textAlignment w:val="center"/>
                    <w:rPr>
                      <w:rFonts w:ascii="宋体" w:hAnsi="宋体" w:cs="宋体"/>
                      <w:szCs w:val="21"/>
                    </w:rPr>
                  </w:pPr>
                  <w:r>
                    <w:rPr>
                      <w:szCs w:val="21"/>
                    </w:rPr>
                    <w:t>顺-1,2-二氯乙烯</w:t>
                  </w:r>
                  <w:r>
                    <w:rPr>
                      <w:color w:val="000000"/>
                      <w:szCs w:val="21"/>
                    </w:rPr>
                    <w:t>(μg/kg)</w:t>
                  </w:r>
                </w:p>
              </w:tc>
              <w:tc>
                <w:tcPr>
                  <w:tcW w:w="1877" w:type="dxa"/>
                  <w:tcBorders>
                    <w:tl2br w:val="nil"/>
                    <w:tr2bl w:val="nil"/>
                  </w:tcBorders>
                  <w:vAlign w:val="center"/>
                </w:tcPr>
                <w:p>
                  <w:pPr>
                    <w:jc w:val="center"/>
                    <w:rPr>
                      <w:rFonts w:ascii="宋体" w:hAnsi="宋体" w:cs="宋体"/>
                      <w:szCs w:val="21"/>
                    </w:rPr>
                  </w:pPr>
                  <w:r>
                    <w:rPr>
                      <w:szCs w:val="21"/>
                    </w:rPr>
                    <w:t>0.9L</w:t>
                  </w:r>
                </w:p>
              </w:tc>
            </w:tr>
            <w:tr>
              <w:trPr>
                <w:trHeight w:val="420" w:hRule="atLeast"/>
              </w:trPr>
              <w:tc>
                <w:tcPr>
                  <w:tcW w:w="2008" w:type="dxa"/>
                  <w:vMerge w:val="continue"/>
                  <w:tcBorders>
                    <w:tl2br w:val="nil"/>
                    <w:tr2bl w:val="nil"/>
                  </w:tcBorders>
                  <w:vAlign w:val="top"/>
                </w:tcPr>
                <w:p>
                  <w:pPr>
                    <w:widowControl/>
                    <w:jc w:val="center"/>
                    <w:textAlignment w:val="center"/>
                    <w:rPr>
                      <w:rFonts w:ascii="宋体" w:hAnsi="宋体" w:cs="宋体"/>
                      <w:kern w:val="0"/>
                      <w:szCs w:val="21"/>
                    </w:rPr>
                  </w:pPr>
                </w:p>
              </w:tc>
              <w:tc>
                <w:tcPr>
                  <w:tcW w:w="1252" w:type="dxa"/>
                  <w:vMerge w:val="continue"/>
                  <w:tcBorders>
                    <w:tl2br w:val="nil"/>
                    <w:tr2bl w:val="nil"/>
                  </w:tcBorders>
                  <w:vAlign w:val="top"/>
                </w:tcPr>
                <w:p>
                  <w:pPr>
                    <w:widowControl/>
                    <w:jc w:val="center"/>
                    <w:textAlignment w:val="center"/>
                    <w:rPr>
                      <w:rFonts w:ascii="宋体" w:hAnsi="宋体" w:cs="宋体"/>
                      <w:szCs w:val="21"/>
                    </w:rPr>
                  </w:pPr>
                </w:p>
              </w:tc>
              <w:tc>
                <w:tcPr>
                  <w:tcW w:w="3040" w:type="dxa"/>
                  <w:tcBorders>
                    <w:tl2br w:val="nil"/>
                    <w:tr2bl w:val="nil"/>
                  </w:tcBorders>
                  <w:vAlign w:val="center"/>
                </w:tcPr>
                <w:p>
                  <w:pPr>
                    <w:widowControl/>
                    <w:jc w:val="center"/>
                    <w:textAlignment w:val="center"/>
                    <w:rPr>
                      <w:rFonts w:ascii="宋体" w:hAnsi="宋体" w:cs="宋体"/>
                      <w:szCs w:val="21"/>
                    </w:rPr>
                  </w:pPr>
                  <w:r>
                    <w:rPr>
                      <w:szCs w:val="21"/>
                    </w:rPr>
                    <w:t>反-1,2二氯乙烯</w:t>
                  </w:r>
                  <w:r>
                    <w:rPr>
                      <w:color w:val="000000"/>
                      <w:szCs w:val="21"/>
                    </w:rPr>
                    <w:t>(μg/kg)</w:t>
                  </w:r>
                </w:p>
              </w:tc>
              <w:tc>
                <w:tcPr>
                  <w:tcW w:w="1877" w:type="dxa"/>
                  <w:tcBorders>
                    <w:tl2br w:val="nil"/>
                    <w:tr2bl w:val="nil"/>
                  </w:tcBorders>
                  <w:vAlign w:val="center"/>
                </w:tcPr>
                <w:p>
                  <w:pPr>
                    <w:jc w:val="center"/>
                    <w:rPr>
                      <w:rFonts w:ascii="宋体" w:hAnsi="宋体" w:cs="宋体"/>
                      <w:szCs w:val="21"/>
                    </w:rPr>
                  </w:pPr>
                  <w:r>
                    <w:rPr>
                      <w:szCs w:val="21"/>
                    </w:rPr>
                    <w:t>0.9L</w:t>
                  </w:r>
                </w:p>
              </w:tc>
            </w:tr>
            <w:tr>
              <w:trPr>
                <w:trHeight w:val="420" w:hRule="atLeast"/>
              </w:trPr>
              <w:tc>
                <w:tcPr>
                  <w:tcW w:w="2008" w:type="dxa"/>
                  <w:vMerge w:val="continue"/>
                  <w:tcBorders>
                    <w:tl2br w:val="nil"/>
                    <w:tr2bl w:val="nil"/>
                  </w:tcBorders>
                  <w:vAlign w:val="top"/>
                </w:tcPr>
                <w:p>
                  <w:pPr>
                    <w:widowControl/>
                    <w:jc w:val="center"/>
                    <w:textAlignment w:val="center"/>
                    <w:rPr>
                      <w:rFonts w:ascii="宋体" w:hAnsi="宋体" w:cs="宋体"/>
                      <w:kern w:val="0"/>
                      <w:szCs w:val="21"/>
                    </w:rPr>
                  </w:pPr>
                </w:p>
              </w:tc>
              <w:tc>
                <w:tcPr>
                  <w:tcW w:w="1252" w:type="dxa"/>
                  <w:vMerge w:val="continue"/>
                  <w:tcBorders>
                    <w:tl2br w:val="nil"/>
                    <w:tr2bl w:val="nil"/>
                  </w:tcBorders>
                  <w:vAlign w:val="top"/>
                </w:tcPr>
                <w:p>
                  <w:pPr>
                    <w:widowControl/>
                    <w:jc w:val="center"/>
                    <w:textAlignment w:val="center"/>
                    <w:rPr>
                      <w:rFonts w:ascii="宋体" w:hAnsi="宋体" w:cs="宋体"/>
                      <w:szCs w:val="21"/>
                    </w:rPr>
                  </w:pPr>
                </w:p>
              </w:tc>
              <w:tc>
                <w:tcPr>
                  <w:tcW w:w="3040" w:type="dxa"/>
                  <w:tcBorders>
                    <w:tl2br w:val="nil"/>
                    <w:tr2bl w:val="nil"/>
                  </w:tcBorders>
                  <w:vAlign w:val="center"/>
                </w:tcPr>
                <w:p>
                  <w:pPr>
                    <w:widowControl/>
                    <w:jc w:val="center"/>
                    <w:textAlignment w:val="center"/>
                    <w:rPr>
                      <w:rFonts w:ascii="宋体" w:hAnsi="宋体" w:cs="宋体"/>
                      <w:szCs w:val="21"/>
                    </w:rPr>
                  </w:pPr>
                  <w:r>
                    <w:rPr>
                      <w:szCs w:val="21"/>
                    </w:rPr>
                    <w:t>二氯甲烷</w:t>
                  </w:r>
                  <w:r>
                    <w:rPr>
                      <w:color w:val="000000"/>
                      <w:szCs w:val="21"/>
                    </w:rPr>
                    <w:t>(μg/kg)</w:t>
                  </w:r>
                </w:p>
              </w:tc>
              <w:tc>
                <w:tcPr>
                  <w:tcW w:w="1877" w:type="dxa"/>
                  <w:tcBorders>
                    <w:tl2br w:val="nil"/>
                    <w:tr2bl w:val="nil"/>
                  </w:tcBorders>
                  <w:vAlign w:val="center"/>
                </w:tcPr>
                <w:p>
                  <w:pPr>
                    <w:jc w:val="center"/>
                    <w:rPr>
                      <w:rFonts w:ascii="宋体" w:hAnsi="宋体" w:cs="宋体"/>
                      <w:szCs w:val="21"/>
                    </w:rPr>
                  </w:pPr>
                  <w:r>
                    <w:rPr>
                      <w:szCs w:val="21"/>
                    </w:rPr>
                    <w:t>2.6L</w:t>
                  </w:r>
                </w:p>
              </w:tc>
            </w:tr>
            <w:tr>
              <w:trPr>
                <w:trHeight w:val="420" w:hRule="atLeast"/>
              </w:trPr>
              <w:tc>
                <w:tcPr>
                  <w:tcW w:w="2008" w:type="dxa"/>
                  <w:vMerge w:val="continue"/>
                  <w:tcBorders>
                    <w:tl2br w:val="nil"/>
                    <w:tr2bl w:val="nil"/>
                  </w:tcBorders>
                  <w:vAlign w:val="top"/>
                </w:tcPr>
                <w:p>
                  <w:pPr>
                    <w:widowControl/>
                    <w:jc w:val="center"/>
                    <w:textAlignment w:val="center"/>
                    <w:rPr>
                      <w:rFonts w:ascii="宋体" w:hAnsi="宋体" w:cs="宋体"/>
                      <w:kern w:val="0"/>
                      <w:szCs w:val="21"/>
                    </w:rPr>
                  </w:pPr>
                </w:p>
              </w:tc>
              <w:tc>
                <w:tcPr>
                  <w:tcW w:w="1252" w:type="dxa"/>
                  <w:vMerge w:val="continue"/>
                  <w:tcBorders>
                    <w:tl2br w:val="nil"/>
                    <w:tr2bl w:val="nil"/>
                  </w:tcBorders>
                  <w:vAlign w:val="top"/>
                </w:tcPr>
                <w:p>
                  <w:pPr>
                    <w:widowControl/>
                    <w:jc w:val="center"/>
                    <w:textAlignment w:val="center"/>
                    <w:rPr>
                      <w:rFonts w:ascii="宋体" w:hAnsi="宋体" w:cs="宋体"/>
                      <w:szCs w:val="21"/>
                    </w:rPr>
                  </w:pPr>
                </w:p>
              </w:tc>
              <w:tc>
                <w:tcPr>
                  <w:tcW w:w="3040" w:type="dxa"/>
                  <w:tcBorders>
                    <w:tl2br w:val="nil"/>
                    <w:tr2bl w:val="nil"/>
                  </w:tcBorders>
                  <w:vAlign w:val="center"/>
                </w:tcPr>
                <w:p>
                  <w:pPr>
                    <w:widowControl/>
                    <w:jc w:val="center"/>
                    <w:textAlignment w:val="center"/>
                    <w:rPr>
                      <w:rFonts w:ascii="宋体" w:hAnsi="宋体" w:cs="宋体"/>
                      <w:szCs w:val="21"/>
                    </w:rPr>
                  </w:pPr>
                  <w:r>
                    <w:rPr>
                      <w:szCs w:val="21"/>
                    </w:rPr>
                    <w:t>1,2-二氯丙烷</w:t>
                  </w:r>
                  <w:r>
                    <w:rPr>
                      <w:color w:val="000000"/>
                      <w:szCs w:val="21"/>
                    </w:rPr>
                    <w:t>(μg/kg)</w:t>
                  </w:r>
                </w:p>
              </w:tc>
              <w:tc>
                <w:tcPr>
                  <w:tcW w:w="1877" w:type="dxa"/>
                  <w:tcBorders>
                    <w:tl2br w:val="nil"/>
                    <w:tr2bl w:val="nil"/>
                  </w:tcBorders>
                  <w:vAlign w:val="center"/>
                </w:tcPr>
                <w:p>
                  <w:pPr>
                    <w:jc w:val="center"/>
                    <w:rPr>
                      <w:rFonts w:ascii="宋体" w:hAnsi="宋体" w:cs="宋体"/>
                      <w:szCs w:val="21"/>
                    </w:rPr>
                  </w:pPr>
                  <w:r>
                    <w:rPr>
                      <w:szCs w:val="21"/>
                    </w:rPr>
                    <w:t>1.9L</w:t>
                  </w:r>
                </w:p>
              </w:tc>
            </w:tr>
            <w:tr>
              <w:trPr>
                <w:trHeight w:val="420" w:hRule="atLeast"/>
              </w:trPr>
              <w:tc>
                <w:tcPr>
                  <w:tcW w:w="2008" w:type="dxa"/>
                  <w:vMerge w:val="continue"/>
                  <w:tcBorders>
                    <w:tl2br w:val="nil"/>
                    <w:tr2bl w:val="nil"/>
                  </w:tcBorders>
                  <w:vAlign w:val="center"/>
                </w:tcPr>
                <w:p>
                  <w:pPr>
                    <w:widowControl/>
                    <w:jc w:val="center"/>
                    <w:textAlignment w:val="center"/>
                    <w:rPr>
                      <w:rFonts w:ascii="宋体" w:hAnsi="宋体" w:cs="宋体"/>
                      <w:kern w:val="0"/>
                      <w:szCs w:val="21"/>
                    </w:rPr>
                  </w:pPr>
                </w:p>
              </w:tc>
              <w:tc>
                <w:tcPr>
                  <w:tcW w:w="1252" w:type="dxa"/>
                  <w:vMerge w:val="continue"/>
                  <w:tcBorders>
                    <w:tl2br w:val="nil"/>
                    <w:tr2bl w:val="nil"/>
                  </w:tcBorders>
                  <w:vAlign w:val="center"/>
                </w:tcPr>
                <w:p>
                  <w:pPr>
                    <w:widowControl/>
                    <w:jc w:val="center"/>
                    <w:textAlignment w:val="center"/>
                    <w:rPr>
                      <w:rFonts w:ascii="宋体" w:hAnsi="宋体" w:cs="宋体"/>
                      <w:szCs w:val="21"/>
                    </w:rPr>
                  </w:pPr>
                </w:p>
              </w:tc>
              <w:tc>
                <w:tcPr>
                  <w:tcW w:w="3040" w:type="dxa"/>
                  <w:tcBorders>
                    <w:tl2br w:val="nil"/>
                    <w:tr2bl w:val="nil"/>
                  </w:tcBorders>
                  <w:vAlign w:val="center"/>
                </w:tcPr>
                <w:p>
                  <w:pPr>
                    <w:widowControl/>
                    <w:jc w:val="center"/>
                    <w:textAlignment w:val="center"/>
                    <w:rPr>
                      <w:rFonts w:ascii="宋体" w:hAnsi="宋体" w:cs="宋体"/>
                      <w:szCs w:val="21"/>
                    </w:rPr>
                  </w:pPr>
                  <w:r>
                    <w:rPr>
                      <w:szCs w:val="21"/>
                    </w:rPr>
                    <w:t>1,1,1,2-四氯乙烷</w:t>
                  </w:r>
                  <w:r>
                    <w:rPr>
                      <w:color w:val="000000"/>
                      <w:szCs w:val="21"/>
                    </w:rPr>
                    <w:t>(μg/kg)</w:t>
                  </w:r>
                </w:p>
              </w:tc>
              <w:tc>
                <w:tcPr>
                  <w:tcW w:w="1877" w:type="dxa"/>
                  <w:tcBorders>
                    <w:tl2br w:val="nil"/>
                    <w:tr2bl w:val="nil"/>
                  </w:tcBorders>
                  <w:vAlign w:val="center"/>
                </w:tcPr>
                <w:p>
                  <w:pPr>
                    <w:jc w:val="center"/>
                    <w:rPr>
                      <w:rFonts w:ascii="宋体" w:hAnsi="宋体" w:cs="宋体"/>
                      <w:szCs w:val="21"/>
                    </w:rPr>
                  </w:pPr>
                  <w:r>
                    <w:rPr>
                      <w:szCs w:val="21"/>
                    </w:rPr>
                    <w:t>1.0L</w:t>
                  </w:r>
                </w:p>
              </w:tc>
            </w:tr>
            <w:tr>
              <w:trPr>
                <w:trHeight w:val="420" w:hRule="atLeast"/>
              </w:trPr>
              <w:tc>
                <w:tcPr>
                  <w:tcW w:w="2008" w:type="dxa"/>
                  <w:vMerge w:val="continue"/>
                  <w:tcBorders>
                    <w:tl2br w:val="nil"/>
                    <w:tr2bl w:val="nil"/>
                  </w:tcBorders>
                  <w:vAlign w:val="top"/>
                </w:tcPr>
                <w:p>
                  <w:pPr>
                    <w:widowControl/>
                    <w:jc w:val="center"/>
                    <w:textAlignment w:val="center"/>
                    <w:rPr>
                      <w:rFonts w:ascii="宋体" w:hAnsi="宋体" w:cs="宋体"/>
                      <w:kern w:val="0"/>
                      <w:szCs w:val="21"/>
                    </w:rPr>
                  </w:pPr>
                </w:p>
              </w:tc>
              <w:tc>
                <w:tcPr>
                  <w:tcW w:w="1252" w:type="dxa"/>
                  <w:vMerge w:val="continue"/>
                  <w:tcBorders>
                    <w:tl2br w:val="nil"/>
                    <w:tr2bl w:val="nil"/>
                  </w:tcBorders>
                  <w:vAlign w:val="top"/>
                </w:tcPr>
                <w:p>
                  <w:pPr>
                    <w:widowControl/>
                    <w:jc w:val="center"/>
                    <w:textAlignment w:val="center"/>
                    <w:rPr>
                      <w:rFonts w:ascii="宋体" w:hAnsi="宋体" w:cs="宋体"/>
                      <w:szCs w:val="21"/>
                    </w:rPr>
                  </w:pPr>
                </w:p>
              </w:tc>
              <w:tc>
                <w:tcPr>
                  <w:tcW w:w="3040" w:type="dxa"/>
                  <w:tcBorders>
                    <w:tl2br w:val="nil"/>
                    <w:tr2bl w:val="nil"/>
                  </w:tcBorders>
                  <w:vAlign w:val="center"/>
                </w:tcPr>
                <w:p>
                  <w:pPr>
                    <w:widowControl/>
                    <w:jc w:val="center"/>
                    <w:textAlignment w:val="center"/>
                    <w:rPr>
                      <w:rFonts w:ascii="宋体" w:hAnsi="宋体" w:cs="宋体"/>
                      <w:szCs w:val="21"/>
                    </w:rPr>
                  </w:pPr>
                  <w:r>
                    <w:rPr>
                      <w:szCs w:val="21"/>
                    </w:rPr>
                    <w:t>1,1,2,2-四氯乙烷</w:t>
                  </w:r>
                  <w:r>
                    <w:rPr>
                      <w:color w:val="000000"/>
                      <w:szCs w:val="21"/>
                    </w:rPr>
                    <w:t>(μg/kg)</w:t>
                  </w:r>
                </w:p>
              </w:tc>
              <w:tc>
                <w:tcPr>
                  <w:tcW w:w="1877" w:type="dxa"/>
                  <w:tcBorders>
                    <w:tl2br w:val="nil"/>
                    <w:tr2bl w:val="nil"/>
                  </w:tcBorders>
                  <w:vAlign w:val="center"/>
                </w:tcPr>
                <w:p>
                  <w:pPr>
                    <w:jc w:val="center"/>
                    <w:rPr>
                      <w:rFonts w:ascii="宋体" w:hAnsi="宋体" w:cs="宋体"/>
                      <w:szCs w:val="21"/>
                    </w:rPr>
                  </w:pPr>
                  <w:r>
                    <w:rPr>
                      <w:szCs w:val="21"/>
                    </w:rPr>
                    <w:t>1.0L</w:t>
                  </w:r>
                </w:p>
              </w:tc>
            </w:tr>
            <w:tr>
              <w:trPr>
                <w:trHeight w:val="420" w:hRule="atLeast"/>
              </w:trPr>
              <w:tc>
                <w:tcPr>
                  <w:tcW w:w="2008" w:type="dxa"/>
                  <w:vMerge w:val="continue"/>
                  <w:tcBorders>
                    <w:tl2br w:val="nil"/>
                    <w:tr2bl w:val="nil"/>
                  </w:tcBorders>
                  <w:vAlign w:val="top"/>
                </w:tcPr>
                <w:p>
                  <w:pPr>
                    <w:widowControl/>
                    <w:jc w:val="center"/>
                    <w:textAlignment w:val="center"/>
                    <w:rPr>
                      <w:rFonts w:ascii="宋体" w:hAnsi="宋体" w:cs="宋体"/>
                      <w:kern w:val="0"/>
                      <w:szCs w:val="21"/>
                    </w:rPr>
                  </w:pPr>
                </w:p>
              </w:tc>
              <w:tc>
                <w:tcPr>
                  <w:tcW w:w="1252" w:type="dxa"/>
                  <w:vMerge w:val="continue"/>
                  <w:tcBorders>
                    <w:tl2br w:val="nil"/>
                    <w:tr2bl w:val="nil"/>
                  </w:tcBorders>
                  <w:vAlign w:val="top"/>
                </w:tcPr>
                <w:p>
                  <w:pPr>
                    <w:widowControl/>
                    <w:jc w:val="center"/>
                    <w:textAlignment w:val="center"/>
                    <w:rPr>
                      <w:rFonts w:ascii="宋体" w:hAnsi="宋体" w:cs="宋体"/>
                      <w:szCs w:val="21"/>
                    </w:rPr>
                  </w:pPr>
                </w:p>
              </w:tc>
              <w:tc>
                <w:tcPr>
                  <w:tcW w:w="3040" w:type="dxa"/>
                  <w:tcBorders>
                    <w:tl2br w:val="nil"/>
                    <w:tr2bl w:val="nil"/>
                  </w:tcBorders>
                  <w:vAlign w:val="center"/>
                </w:tcPr>
                <w:p>
                  <w:pPr>
                    <w:widowControl/>
                    <w:jc w:val="center"/>
                    <w:textAlignment w:val="center"/>
                    <w:rPr>
                      <w:rFonts w:ascii="宋体" w:hAnsi="宋体" w:cs="宋体"/>
                      <w:szCs w:val="21"/>
                    </w:rPr>
                  </w:pPr>
                  <w:r>
                    <w:rPr>
                      <w:szCs w:val="21"/>
                    </w:rPr>
                    <w:t>四氯乙烯</w:t>
                  </w:r>
                  <w:r>
                    <w:rPr>
                      <w:color w:val="000000"/>
                      <w:szCs w:val="21"/>
                    </w:rPr>
                    <w:t>(μg/kg)</w:t>
                  </w:r>
                </w:p>
              </w:tc>
              <w:tc>
                <w:tcPr>
                  <w:tcW w:w="1877" w:type="dxa"/>
                  <w:tcBorders>
                    <w:tl2br w:val="nil"/>
                    <w:tr2bl w:val="nil"/>
                  </w:tcBorders>
                  <w:vAlign w:val="center"/>
                </w:tcPr>
                <w:p>
                  <w:pPr>
                    <w:jc w:val="center"/>
                    <w:rPr>
                      <w:rFonts w:ascii="宋体" w:hAnsi="宋体" w:cs="宋体"/>
                      <w:szCs w:val="21"/>
                    </w:rPr>
                  </w:pPr>
                  <w:r>
                    <w:rPr>
                      <w:szCs w:val="21"/>
                    </w:rPr>
                    <w:t>0.8L</w:t>
                  </w:r>
                </w:p>
              </w:tc>
            </w:tr>
            <w:tr>
              <w:trPr>
                <w:trHeight w:val="420" w:hRule="atLeast"/>
              </w:trPr>
              <w:tc>
                <w:tcPr>
                  <w:tcW w:w="2008" w:type="dxa"/>
                  <w:vMerge w:val="continue"/>
                  <w:tcBorders>
                    <w:tl2br w:val="nil"/>
                    <w:tr2bl w:val="nil"/>
                  </w:tcBorders>
                  <w:vAlign w:val="top"/>
                </w:tcPr>
                <w:p>
                  <w:pPr>
                    <w:widowControl/>
                    <w:jc w:val="center"/>
                    <w:textAlignment w:val="center"/>
                    <w:rPr>
                      <w:rFonts w:ascii="宋体" w:hAnsi="宋体" w:cs="宋体"/>
                      <w:kern w:val="0"/>
                      <w:szCs w:val="21"/>
                    </w:rPr>
                  </w:pPr>
                </w:p>
              </w:tc>
              <w:tc>
                <w:tcPr>
                  <w:tcW w:w="1252" w:type="dxa"/>
                  <w:vMerge w:val="continue"/>
                  <w:tcBorders>
                    <w:tl2br w:val="nil"/>
                    <w:tr2bl w:val="nil"/>
                  </w:tcBorders>
                  <w:vAlign w:val="top"/>
                </w:tcPr>
                <w:p>
                  <w:pPr>
                    <w:widowControl/>
                    <w:jc w:val="center"/>
                    <w:textAlignment w:val="center"/>
                    <w:rPr>
                      <w:rFonts w:ascii="宋体" w:hAnsi="宋体" w:cs="宋体"/>
                      <w:szCs w:val="21"/>
                    </w:rPr>
                  </w:pPr>
                </w:p>
              </w:tc>
              <w:tc>
                <w:tcPr>
                  <w:tcW w:w="3040" w:type="dxa"/>
                  <w:tcBorders>
                    <w:tl2br w:val="nil"/>
                    <w:tr2bl w:val="nil"/>
                  </w:tcBorders>
                  <w:vAlign w:val="center"/>
                </w:tcPr>
                <w:p>
                  <w:pPr>
                    <w:widowControl/>
                    <w:jc w:val="center"/>
                    <w:textAlignment w:val="center"/>
                    <w:rPr>
                      <w:rFonts w:ascii="宋体" w:hAnsi="宋体" w:cs="宋体"/>
                      <w:szCs w:val="21"/>
                    </w:rPr>
                  </w:pPr>
                  <w:r>
                    <w:rPr>
                      <w:szCs w:val="21"/>
                    </w:rPr>
                    <w:t>1,1,1-三氯乙烷</w:t>
                  </w:r>
                  <w:r>
                    <w:rPr>
                      <w:color w:val="000000"/>
                      <w:szCs w:val="21"/>
                    </w:rPr>
                    <w:t>(μg/kg)</w:t>
                  </w:r>
                </w:p>
              </w:tc>
              <w:tc>
                <w:tcPr>
                  <w:tcW w:w="1877" w:type="dxa"/>
                  <w:tcBorders>
                    <w:tl2br w:val="nil"/>
                    <w:tr2bl w:val="nil"/>
                  </w:tcBorders>
                  <w:vAlign w:val="center"/>
                </w:tcPr>
                <w:p>
                  <w:pPr>
                    <w:jc w:val="center"/>
                    <w:rPr>
                      <w:rFonts w:ascii="宋体" w:hAnsi="宋体" w:cs="宋体"/>
                      <w:szCs w:val="21"/>
                    </w:rPr>
                  </w:pPr>
                  <w:r>
                    <w:rPr>
                      <w:szCs w:val="21"/>
                    </w:rPr>
                    <w:t>1.1L</w:t>
                  </w:r>
                </w:p>
              </w:tc>
            </w:tr>
            <w:tr>
              <w:trPr>
                <w:trHeight w:val="420" w:hRule="atLeast"/>
              </w:trPr>
              <w:tc>
                <w:tcPr>
                  <w:tcW w:w="2008" w:type="dxa"/>
                  <w:vMerge w:val="continue"/>
                  <w:tcBorders>
                    <w:tl2br w:val="nil"/>
                    <w:tr2bl w:val="nil"/>
                  </w:tcBorders>
                  <w:vAlign w:val="top"/>
                </w:tcPr>
                <w:p>
                  <w:pPr>
                    <w:widowControl/>
                    <w:jc w:val="center"/>
                    <w:textAlignment w:val="center"/>
                    <w:rPr>
                      <w:rFonts w:ascii="宋体" w:hAnsi="宋体" w:cs="宋体"/>
                      <w:kern w:val="0"/>
                      <w:szCs w:val="21"/>
                    </w:rPr>
                  </w:pPr>
                </w:p>
              </w:tc>
              <w:tc>
                <w:tcPr>
                  <w:tcW w:w="1252" w:type="dxa"/>
                  <w:vMerge w:val="continue"/>
                  <w:tcBorders>
                    <w:tl2br w:val="nil"/>
                    <w:tr2bl w:val="nil"/>
                  </w:tcBorders>
                  <w:vAlign w:val="top"/>
                </w:tcPr>
                <w:p>
                  <w:pPr>
                    <w:widowControl/>
                    <w:jc w:val="center"/>
                    <w:textAlignment w:val="center"/>
                    <w:rPr>
                      <w:rFonts w:ascii="宋体" w:hAnsi="宋体" w:cs="宋体"/>
                      <w:szCs w:val="21"/>
                    </w:rPr>
                  </w:pPr>
                </w:p>
              </w:tc>
              <w:tc>
                <w:tcPr>
                  <w:tcW w:w="3040" w:type="dxa"/>
                  <w:tcBorders>
                    <w:tl2br w:val="nil"/>
                    <w:tr2bl w:val="nil"/>
                  </w:tcBorders>
                  <w:vAlign w:val="center"/>
                </w:tcPr>
                <w:p>
                  <w:pPr>
                    <w:widowControl/>
                    <w:jc w:val="center"/>
                    <w:textAlignment w:val="center"/>
                    <w:rPr>
                      <w:rFonts w:ascii="宋体" w:hAnsi="宋体" w:cs="宋体"/>
                      <w:kern w:val="0"/>
                      <w:szCs w:val="21"/>
                    </w:rPr>
                  </w:pPr>
                  <w:r>
                    <w:rPr>
                      <w:szCs w:val="21"/>
                    </w:rPr>
                    <w:t>1,1,2-三氯乙烷</w:t>
                  </w:r>
                  <w:r>
                    <w:rPr>
                      <w:color w:val="000000"/>
                      <w:szCs w:val="21"/>
                    </w:rPr>
                    <w:t>(μg/kg)</w:t>
                  </w:r>
                </w:p>
              </w:tc>
              <w:tc>
                <w:tcPr>
                  <w:tcW w:w="1877" w:type="dxa"/>
                  <w:tcBorders>
                    <w:tl2br w:val="nil"/>
                    <w:tr2bl w:val="nil"/>
                  </w:tcBorders>
                  <w:vAlign w:val="center"/>
                </w:tcPr>
                <w:p>
                  <w:pPr>
                    <w:jc w:val="center"/>
                    <w:rPr>
                      <w:rFonts w:ascii="宋体" w:hAnsi="宋体" w:cs="宋体"/>
                      <w:szCs w:val="21"/>
                    </w:rPr>
                  </w:pPr>
                  <w:r>
                    <w:rPr>
                      <w:szCs w:val="21"/>
                    </w:rPr>
                    <w:t>1.4L</w:t>
                  </w:r>
                </w:p>
              </w:tc>
            </w:tr>
            <w:tr>
              <w:trPr>
                <w:trHeight w:val="420" w:hRule="atLeast"/>
              </w:trPr>
              <w:tc>
                <w:tcPr>
                  <w:tcW w:w="2008" w:type="dxa"/>
                  <w:vMerge w:val="continue"/>
                  <w:tcBorders>
                    <w:tl2br w:val="nil"/>
                    <w:tr2bl w:val="nil"/>
                  </w:tcBorders>
                  <w:vAlign w:val="top"/>
                </w:tcPr>
                <w:p>
                  <w:pPr>
                    <w:widowControl/>
                    <w:jc w:val="center"/>
                    <w:textAlignment w:val="center"/>
                    <w:rPr>
                      <w:rFonts w:ascii="宋体" w:hAnsi="宋体" w:cs="宋体"/>
                      <w:kern w:val="0"/>
                      <w:szCs w:val="21"/>
                    </w:rPr>
                  </w:pPr>
                </w:p>
              </w:tc>
              <w:tc>
                <w:tcPr>
                  <w:tcW w:w="1252" w:type="dxa"/>
                  <w:vMerge w:val="continue"/>
                  <w:tcBorders>
                    <w:tl2br w:val="nil"/>
                    <w:tr2bl w:val="nil"/>
                  </w:tcBorders>
                  <w:vAlign w:val="top"/>
                </w:tcPr>
                <w:p>
                  <w:pPr>
                    <w:widowControl/>
                    <w:jc w:val="center"/>
                    <w:textAlignment w:val="center"/>
                    <w:rPr>
                      <w:rFonts w:ascii="宋体" w:hAnsi="宋体" w:cs="宋体"/>
                      <w:szCs w:val="21"/>
                    </w:rPr>
                  </w:pPr>
                </w:p>
              </w:tc>
              <w:tc>
                <w:tcPr>
                  <w:tcW w:w="3040" w:type="dxa"/>
                  <w:tcBorders>
                    <w:tl2br w:val="nil"/>
                    <w:tr2bl w:val="nil"/>
                  </w:tcBorders>
                  <w:vAlign w:val="center"/>
                </w:tcPr>
                <w:p>
                  <w:pPr>
                    <w:widowControl/>
                    <w:jc w:val="center"/>
                    <w:textAlignment w:val="center"/>
                    <w:rPr>
                      <w:szCs w:val="21"/>
                    </w:rPr>
                  </w:pPr>
                  <w:r>
                    <w:rPr>
                      <w:szCs w:val="21"/>
                    </w:rPr>
                    <w:t>三氯乙烯</w:t>
                  </w:r>
                  <w:r>
                    <w:rPr>
                      <w:color w:val="000000"/>
                      <w:szCs w:val="21"/>
                    </w:rPr>
                    <w:t>(μg/kg)</w:t>
                  </w:r>
                </w:p>
              </w:tc>
              <w:tc>
                <w:tcPr>
                  <w:tcW w:w="1877" w:type="dxa"/>
                  <w:tcBorders>
                    <w:tl2br w:val="nil"/>
                    <w:tr2bl w:val="nil"/>
                  </w:tcBorders>
                  <w:vAlign w:val="center"/>
                </w:tcPr>
                <w:p>
                  <w:pPr>
                    <w:jc w:val="center"/>
                    <w:rPr>
                      <w:szCs w:val="21"/>
                    </w:rPr>
                  </w:pPr>
                  <w:r>
                    <w:rPr>
                      <w:szCs w:val="21"/>
                    </w:rPr>
                    <w:t>0.9L</w:t>
                  </w:r>
                </w:p>
              </w:tc>
            </w:tr>
            <w:tr>
              <w:trPr>
                <w:trHeight w:val="420" w:hRule="atLeast"/>
              </w:trPr>
              <w:tc>
                <w:tcPr>
                  <w:tcW w:w="2008" w:type="dxa"/>
                  <w:vMerge w:val="continue"/>
                  <w:tcBorders>
                    <w:tl2br w:val="nil"/>
                    <w:tr2bl w:val="nil"/>
                  </w:tcBorders>
                  <w:vAlign w:val="top"/>
                </w:tcPr>
                <w:p>
                  <w:pPr>
                    <w:widowControl/>
                    <w:jc w:val="center"/>
                    <w:textAlignment w:val="center"/>
                    <w:rPr>
                      <w:rFonts w:ascii="宋体" w:hAnsi="宋体" w:cs="宋体"/>
                      <w:kern w:val="0"/>
                      <w:szCs w:val="21"/>
                    </w:rPr>
                  </w:pPr>
                </w:p>
              </w:tc>
              <w:tc>
                <w:tcPr>
                  <w:tcW w:w="1252" w:type="dxa"/>
                  <w:vMerge w:val="continue"/>
                  <w:tcBorders>
                    <w:tl2br w:val="nil"/>
                    <w:tr2bl w:val="nil"/>
                  </w:tcBorders>
                  <w:vAlign w:val="top"/>
                </w:tcPr>
                <w:p>
                  <w:pPr>
                    <w:widowControl/>
                    <w:jc w:val="center"/>
                    <w:textAlignment w:val="center"/>
                    <w:rPr>
                      <w:rFonts w:ascii="宋体" w:hAnsi="宋体" w:cs="宋体"/>
                      <w:szCs w:val="21"/>
                    </w:rPr>
                  </w:pPr>
                </w:p>
              </w:tc>
              <w:tc>
                <w:tcPr>
                  <w:tcW w:w="3040" w:type="dxa"/>
                  <w:tcBorders>
                    <w:tl2br w:val="nil"/>
                    <w:tr2bl w:val="nil"/>
                  </w:tcBorders>
                  <w:vAlign w:val="center"/>
                </w:tcPr>
                <w:p>
                  <w:pPr>
                    <w:widowControl/>
                    <w:jc w:val="center"/>
                    <w:textAlignment w:val="center"/>
                    <w:rPr>
                      <w:szCs w:val="21"/>
                    </w:rPr>
                  </w:pPr>
                  <w:r>
                    <w:rPr>
                      <w:szCs w:val="21"/>
                    </w:rPr>
                    <w:t>1,2,3-三氯丙烷</w:t>
                  </w:r>
                  <w:r>
                    <w:rPr>
                      <w:color w:val="000000"/>
                      <w:szCs w:val="21"/>
                    </w:rPr>
                    <w:t>(μg/kg)</w:t>
                  </w:r>
                </w:p>
              </w:tc>
              <w:tc>
                <w:tcPr>
                  <w:tcW w:w="1877" w:type="dxa"/>
                  <w:tcBorders>
                    <w:tl2br w:val="nil"/>
                    <w:tr2bl w:val="nil"/>
                  </w:tcBorders>
                  <w:vAlign w:val="center"/>
                </w:tcPr>
                <w:p>
                  <w:pPr>
                    <w:jc w:val="center"/>
                    <w:rPr>
                      <w:szCs w:val="21"/>
                    </w:rPr>
                  </w:pPr>
                  <w:r>
                    <w:rPr>
                      <w:szCs w:val="21"/>
                    </w:rPr>
                    <w:t>1.0L</w:t>
                  </w:r>
                </w:p>
              </w:tc>
            </w:tr>
            <w:tr>
              <w:trPr>
                <w:trHeight w:val="420" w:hRule="atLeast"/>
              </w:trPr>
              <w:tc>
                <w:tcPr>
                  <w:tcW w:w="2008" w:type="dxa"/>
                  <w:vMerge w:val="continue"/>
                  <w:tcBorders>
                    <w:tl2br w:val="nil"/>
                    <w:tr2bl w:val="nil"/>
                  </w:tcBorders>
                  <w:vAlign w:val="top"/>
                </w:tcPr>
                <w:p>
                  <w:pPr>
                    <w:widowControl/>
                    <w:jc w:val="center"/>
                    <w:textAlignment w:val="center"/>
                    <w:rPr>
                      <w:rFonts w:ascii="宋体" w:hAnsi="宋体" w:cs="宋体"/>
                      <w:kern w:val="0"/>
                      <w:szCs w:val="21"/>
                    </w:rPr>
                  </w:pPr>
                </w:p>
              </w:tc>
              <w:tc>
                <w:tcPr>
                  <w:tcW w:w="1252" w:type="dxa"/>
                  <w:vMerge w:val="continue"/>
                  <w:tcBorders>
                    <w:tl2br w:val="nil"/>
                    <w:tr2bl w:val="nil"/>
                  </w:tcBorders>
                  <w:vAlign w:val="top"/>
                </w:tcPr>
                <w:p>
                  <w:pPr>
                    <w:widowControl/>
                    <w:jc w:val="center"/>
                    <w:textAlignment w:val="center"/>
                    <w:rPr>
                      <w:rFonts w:ascii="宋体" w:hAnsi="宋体" w:cs="宋体"/>
                      <w:szCs w:val="21"/>
                    </w:rPr>
                  </w:pPr>
                </w:p>
              </w:tc>
              <w:tc>
                <w:tcPr>
                  <w:tcW w:w="3040" w:type="dxa"/>
                  <w:tcBorders>
                    <w:tl2br w:val="nil"/>
                    <w:tr2bl w:val="nil"/>
                  </w:tcBorders>
                  <w:vAlign w:val="center"/>
                </w:tcPr>
                <w:p>
                  <w:pPr>
                    <w:widowControl/>
                    <w:jc w:val="center"/>
                    <w:textAlignment w:val="center"/>
                    <w:rPr>
                      <w:szCs w:val="21"/>
                    </w:rPr>
                  </w:pPr>
                  <w:r>
                    <w:rPr>
                      <w:szCs w:val="21"/>
                    </w:rPr>
                    <w:t>氯乙烯</w:t>
                  </w:r>
                  <w:r>
                    <w:rPr>
                      <w:color w:val="000000"/>
                      <w:szCs w:val="21"/>
                    </w:rPr>
                    <w:t>(μg/kg)</w:t>
                  </w:r>
                </w:p>
              </w:tc>
              <w:tc>
                <w:tcPr>
                  <w:tcW w:w="1877" w:type="dxa"/>
                  <w:tcBorders>
                    <w:tl2br w:val="nil"/>
                    <w:tr2bl w:val="nil"/>
                  </w:tcBorders>
                  <w:vAlign w:val="center"/>
                </w:tcPr>
                <w:p>
                  <w:pPr>
                    <w:jc w:val="center"/>
                    <w:rPr>
                      <w:szCs w:val="21"/>
                    </w:rPr>
                  </w:pPr>
                  <w:r>
                    <w:rPr>
                      <w:szCs w:val="21"/>
                    </w:rPr>
                    <w:t>1.5L</w:t>
                  </w:r>
                </w:p>
              </w:tc>
            </w:tr>
            <w:tr>
              <w:trPr>
                <w:trHeight w:val="420" w:hRule="atLeast"/>
              </w:trPr>
              <w:tc>
                <w:tcPr>
                  <w:tcW w:w="2008" w:type="dxa"/>
                  <w:vMerge w:val="continue"/>
                  <w:tcBorders>
                    <w:tl2br w:val="nil"/>
                    <w:tr2bl w:val="nil"/>
                  </w:tcBorders>
                  <w:vAlign w:val="top"/>
                </w:tcPr>
                <w:p>
                  <w:pPr>
                    <w:widowControl/>
                    <w:jc w:val="center"/>
                    <w:textAlignment w:val="center"/>
                    <w:rPr>
                      <w:rFonts w:ascii="宋体" w:hAnsi="宋体" w:cs="宋体"/>
                      <w:kern w:val="0"/>
                      <w:szCs w:val="21"/>
                    </w:rPr>
                  </w:pPr>
                </w:p>
              </w:tc>
              <w:tc>
                <w:tcPr>
                  <w:tcW w:w="1252" w:type="dxa"/>
                  <w:vMerge w:val="continue"/>
                  <w:tcBorders>
                    <w:tl2br w:val="nil"/>
                    <w:tr2bl w:val="nil"/>
                  </w:tcBorders>
                  <w:vAlign w:val="top"/>
                </w:tcPr>
                <w:p>
                  <w:pPr>
                    <w:widowControl/>
                    <w:jc w:val="center"/>
                    <w:textAlignment w:val="center"/>
                    <w:rPr>
                      <w:rFonts w:ascii="宋体" w:hAnsi="宋体" w:cs="宋体"/>
                      <w:szCs w:val="21"/>
                    </w:rPr>
                  </w:pPr>
                </w:p>
              </w:tc>
              <w:tc>
                <w:tcPr>
                  <w:tcW w:w="3040" w:type="dxa"/>
                  <w:tcBorders>
                    <w:tl2br w:val="nil"/>
                    <w:tr2bl w:val="nil"/>
                  </w:tcBorders>
                  <w:vAlign w:val="center"/>
                </w:tcPr>
                <w:p>
                  <w:pPr>
                    <w:widowControl/>
                    <w:jc w:val="center"/>
                    <w:textAlignment w:val="center"/>
                    <w:rPr>
                      <w:szCs w:val="21"/>
                    </w:rPr>
                  </w:pPr>
                  <w:r>
                    <w:rPr>
                      <w:szCs w:val="21"/>
                    </w:rPr>
                    <w:t>苯</w:t>
                  </w:r>
                  <w:r>
                    <w:rPr>
                      <w:color w:val="000000"/>
                      <w:szCs w:val="21"/>
                    </w:rPr>
                    <w:t>(μg/kg)</w:t>
                  </w:r>
                </w:p>
              </w:tc>
              <w:tc>
                <w:tcPr>
                  <w:tcW w:w="1877" w:type="dxa"/>
                  <w:tcBorders>
                    <w:tl2br w:val="nil"/>
                    <w:tr2bl w:val="nil"/>
                  </w:tcBorders>
                  <w:vAlign w:val="center"/>
                </w:tcPr>
                <w:p>
                  <w:pPr>
                    <w:jc w:val="center"/>
                    <w:rPr>
                      <w:szCs w:val="21"/>
                    </w:rPr>
                  </w:pPr>
                  <w:r>
                    <w:rPr>
                      <w:szCs w:val="21"/>
                    </w:rPr>
                    <w:t>1.6L</w:t>
                  </w:r>
                </w:p>
              </w:tc>
            </w:tr>
            <w:tr>
              <w:trPr>
                <w:trHeight w:val="420" w:hRule="atLeast"/>
              </w:trPr>
              <w:tc>
                <w:tcPr>
                  <w:tcW w:w="2008" w:type="dxa"/>
                  <w:vMerge w:val="continue"/>
                  <w:tcBorders>
                    <w:tl2br w:val="nil"/>
                    <w:tr2bl w:val="nil"/>
                  </w:tcBorders>
                  <w:vAlign w:val="top"/>
                </w:tcPr>
                <w:p>
                  <w:pPr>
                    <w:widowControl/>
                    <w:jc w:val="center"/>
                    <w:textAlignment w:val="center"/>
                    <w:rPr>
                      <w:rFonts w:ascii="宋体" w:hAnsi="宋体" w:cs="宋体"/>
                      <w:kern w:val="0"/>
                      <w:szCs w:val="21"/>
                    </w:rPr>
                  </w:pPr>
                </w:p>
              </w:tc>
              <w:tc>
                <w:tcPr>
                  <w:tcW w:w="1252" w:type="dxa"/>
                  <w:vMerge w:val="continue"/>
                  <w:tcBorders>
                    <w:tl2br w:val="nil"/>
                    <w:tr2bl w:val="nil"/>
                  </w:tcBorders>
                  <w:vAlign w:val="top"/>
                </w:tcPr>
                <w:p>
                  <w:pPr>
                    <w:widowControl/>
                    <w:jc w:val="center"/>
                    <w:textAlignment w:val="center"/>
                    <w:rPr>
                      <w:rFonts w:ascii="宋体" w:hAnsi="宋体" w:cs="宋体"/>
                      <w:szCs w:val="21"/>
                    </w:rPr>
                  </w:pPr>
                </w:p>
              </w:tc>
              <w:tc>
                <w:tcPr>
                  <w:tcW w:w="3040" w:type="dxa"/>
                  <w:tcBorders>
                    <w:tl2br w:val="nil"/>
                    <w:tr2bl w:val="nil"/>
                  </w:tcBorders>
                  <w:vAlign w:val="center"/>
                </w:tcPr>
                <w:p>
                  <w:pPr>
                    <w:widowControl/>
                    <w:jc w:val="center"/>
                    <w:textAlignment w:val="center"/>
                    <w:rPr>
                      <w:szCs w:val="21"/>
                    </w:rPr>
                  </w:pPr>
                  <w:r>
                    <w:rPr>
                      <w:szCs w:val="21"/>
                    </w:rPr>
                    <w:t>氯苯</w:t>
                  </w:r>
                  <w:r>
                    <w:rPr>
                      <w:color w:val="000000"/>
                      <w:szCs w:val="21"/>
                    </w:rPr>
                    <w:t>(μg/kg)</w:t>
                  </w:r>
                </w:p>
              </w:tc>
              <w:tc>
                <w:tcPr>
                  <w:tcW w:w="1877" w:type="dxa"/>
                  <w:tcBorders>
                    <w:tl2br w:val="nil"/>
                    <w:tr2bl w:val="nil"/>
                  </w:tcBorders>
                  <w:vAlign w:val="center"/>
                </w:tcPr>
                <w:p>
                  <w:pPr>
                    <w:jc w:val="center"/>
                    <w:rPr>
                      <w:szCs w:val="21"/>
                    </w:rPr>
                  </w:pPr>
                  <w:r>
                    <w:rPr>
                      <w:szCs w:val="21"/>
                    </w:rPr>
                    <w:t>1.1L</w:t>
                  </w:r>
                </w:p>
              </w:tc>
            </w:tr>
            <w:tr>
              <w:trPr>
                <w:trHeight w:val="420" w:hRule="atLeast"/>
              </w:trPr>
              <w:tc>
                <w:tcPr>
                  <w:tcW w:w="2008" w:type="dxa"/>
                  <w:vMerge w:val="continue"/>
                  <w:tcBorders>
                    <w:tl2br w:val="nil"/>
                    <w:tr2bl w:val="nil"/>
                  </w:tcBorders>
                  <w:vAlign w:val="top"/>
                </w:tcPr>
                <w:p>
                  <w:pPr>
                    <w:widowControl/>
                    <w:jc w:val="center"/>
                    <w:textAlignment w:val="center"/>
                    <w:rPr>
                      <w:rFonts w:ascii="宋体" w:hAnsi="宋体" w:cs="宋体"/>
                      <w:kern w:val="0"/>
                      <w:szCs w:val="21"/>
                    </w:rPr>
                  </w:pPr>
                </w:p>
              </w:tc>
              <w:tc>
                <w:tcPr>
                  <w:tcW w:w="1252" w:type="dxa"/>
                  <w:vMerge w:val="continue"/>
                  <w:tcBorders>
                    <w:tl2br w:val="nil"/>
                    <w:tr2bl w:val="nil"/>
                  </w:tcBorders>
                  <w:vAlign w:val="top"/>
                </w:tcPr>
                <w:p>
                  <w:pPr>
                    <w:widowControl/>
                    <w:jc w:val="center"/>
                    <w:textAlignment w:val="center"/>
                    <w:rPr>
                      <w:rFonts w:ascii="宋体" w:hAnsi="宋体" w:cs="宋体"/>
                      <w:szCs w:val="21"/>
                    </w:rPr>
                  </w:pPr>
                </w:p>
              </w:tc>
              <w:tc>
                <w:tcPr>
                  <w:tcW w:w="3040" w:type="dxa"/>
                  <w:tcBorders>
                    <w:tl2br w:val="nil"/>
                    <w:tr2bl w:val="nil"/>
                  </w:tcBorders>
                  <w:vAlign w:val="center"/>
                </w:tcPr>
                <w:p>
                  <w:pPr>
                    <w:widowControl/>
                    <w:jc w:val="center"/>
                    <w:textAlignment w:val="center"/>
                    <w:rPr>
                      <w:szCs w:val="21"/>
                    </w:rPr>
                  </w:pPr>
                  <w:r>
                    <w:rPr>
                      <w:szCs w:val="21"/>
                    </w:rPr>
                    <w:t>1,2-二氯苯</w:t>
                  </w:r>
                  <w:r>
                    <w:rPr>
                      <w:color w:val="000000"/>
                      <w:szCs w:val="21"/>
                    </w:rPr>
                    <w:t>(μg/kg)</w:t>
                  </w:r>
                </w:p>
              </w:tc>
              <w:tc>
                <w:tcPr>
                  <w:tcW w:w="1877" w:type="dxa"/>
                  <w:tcBorders>
                    <w:tl2br w:val="nil"/>
                    <w:tr2bl w:val="nil"/>
                  </w:tcBorders>
                  <w:vAlign w:val="center"/>
                </w:tcPr>
                <w:p>
                  <w:pPr>
                    <w:jc w:val="center"/>
                    <w:rPr>
                      <w:szCs w:val="21"/>
                    </w:rPr>
                  </w:pPr>
                  <w:r>
                    <w:rPr>
                      <w:szCs w:val="21"/>
                    </w:rPr>
                    <w:t>1.0L</w:t>
                  </w:r>
                </w:p>
              </w:tc>
            </w:tr>
            <w:tr>
              <w:trPr>
                <w:trHeight w:val="420" w:hRule="atLeast"/>
              </w:trPr>
              <w:tc>
                <w:tcPr>
                  <w:tcW w:w="2008" w:type="dxa"/>
                  <w:vMerge w:val="continue"/>
                  <w:tcBorders>
                    <w:tl2br w:val="nil"/>
                    <w:tr2bl w:val="nil"/>
                  </w:tcBorders>
                  <w:vAlign w:val="top"/>
                </w:tcPr>
                <w:p>
                  <w:pPr>
                    <w:widowControl/>
                    <w:jc w:val="center"/>
                    <w:textAlignment w:val="center"/>
                    <w:rPr>
                      <w:rFonts w:ascii="宋体" w:hAnsi="宋体" w:cs="宋体"/>
                      <w:kern w:val="0"/>
                      <w:szCs w:val="21"/>
                    </w:rPr>
                  </w:pPr>
                </w:p>
              </w:tc>
              <w:tc>
                <w:tcPr>
                  <w:tcW w:w="1252" w:type="dxa"/>
                  <w:vMerge w:val="continue"/>
                  <w:tcBorders>
                    <w:tl2br w:val="nil"/>
                    <w:tr2bl w:val="nil"/>
                  </w:tcBorders>
                  <w:vAlign w:val="top"/>
                </w:tcPr>
                <w:p>
                  <w:pPr>
                    <w:widowControl/>
                    <w:jc w:val="center"/>
                    <w:textAlignment w:val="center"/>
                    <w:rPr>
                      <w:rFonts w:ascii="宋体" w:hAnsi="宋体" w:cs="宋体"/>
                      <w:szCs w:val="21"/>
                    </w:rPr>
                  </w:pPr>
                </w:p>
              </w:tc>
              <w:tc>
                <w:tcPr>
                  <w:tcW w:w="3040" w:type="dxa"/>
                  <w:tcBorders>
                    <w:tl2br w:val="nil"/>
                    <w:tr2bl w:val="nil"/>
                  </w:tcBorders>
                  <w:vAlign w:val="center"/>
                </w:tcPr>
                <w:p>
                  <w:pPr>
                    <w:widowControl/>
                    <w:jc w:val="center"/>
                    <w:textAlignment w:val="center"/>
                    <w:rPr>
                      <w:szCs w:val="21"/>
                    </w:rPr>
                  </w:pPr>
                  <w:r>
                    <w:rPr>
                      <w:szCs w:val="21"/>
                    </w:rPr>
                    <w:t>1,4-二氯苯</w:t>
                  </w:r>
                  <w:r>
                    <w:rPr>
                      <w:color w:val="000000"/>
                      <w:szCs w:val="21"/>
                    </w:rPr>
                    <w:t>(μg/kg)</w:t>
                  </w:r>
                </w:p>
              </w:tc>
              <w:tc>
                <w:tcPr>
                  <w:tcW w:w="1877" w:type="dxa"/>
                  <w:tcBorders>
                    <w:tl2br w:val="nil"/>
                    <w:tr2bl w:val="nil"/>
                  </w:tcBorders>
                  <w:vAlign w:val="center"/>
                </w:tcPr>
                <w:p>
                  <w:pPr>
                    <w:jc w:val="center"/>
                    <w:rPr>
                      <w:szCs w:val="21"/>
                    </w:rPr>
                  </w:pPr>
                  <w:r>
                    <w:rPr>
                      <w:szCs w:val="21"/>
                    </w:rPr>
                    <w:t>1.2L</w:t>
                  </w:r>
                </w:p>
              </w:tc>
            </w:tr>
            <w:tr>
              <w:trPr>
                <w:trHeight w:val="420" w:hRule="atLeast"/>
              </w:trPr>
              <w:tc>
                <w:tcPr>
                  <w:tcW w:w="2008" w:type="dxa"/>
                  <w:vMerge w:val="continue"/>
                  <w:tcBorders>
                    <w:tl2br w:val="nil"/>
                    <w:tr2bl w:val="nil"/>
                  </w:tcBorders>
                  <w:vAlign w:val="top"/>
                </w:tcPr>
                <w:p>
                  <w:pPr>
                    <w:widowControl/>
                    <w:jc w:val="center"/>
                    <w:textAlignment w:val="center"/>
                    <w:rPr>
                      <w:rFonts w:ascii="宋体" w:hAnsi="宋体" w:cs="宋体"/>
                      <w:kern w:val="0"/>
                      <w:szCs w:val="21"/>
                    </w:rPr>
                  </w:pPr>
                </w:p>
              </w:tc>
              <w:tc>
                <w:tcPr>
                  <w:tcW w:w="1252" w:type="dxa"/>
                  <w:vMerge w:val="continue"/>
                  <w:tcBorders>
                    <w:tl2br w:val="nil"/>
                    <w:tr2bl w:val="nil"/>
                  </w:tcBorders>
                  <w:vAlign w:val="top"/>
                </w:tcPr>
                <w:p>
                  <w:pPr>
                    <w:widowControl/>
                    <w:jc w:val="center"/>
                    <w:textAlignment w:val="center"/>
                    <w:rPr>
                      <w:rFonts w:ascii="宋体" w:hAnsi="宋体" w:cs="宋体"/>
                      <w:szCs w:val="21"/>
                    </w:rPr>
                  </w:pPr>
                </w:p>
              </w:tc>
              <w:tc>
                <w:tcPr>
                  <w:tcW w:w="3040" w:type="dxa"/>
                  <w:tcBorders>
                    <w:tl2br w:val="nil"/>
                    <w:tr2bl w:val="nil"/>
                  </w:tcBorders>
                  <w:vAlign w:val="center"/>
                </w:tcPr>
                <w:p>
                  <w:pPr>
                    <w:widowControl/>
                    <w:jc w:val="center"/>
                    <w:textAlignment w:val="center"/>
                    <w:rPr>
                      <w:szCs w:val="21"/>
                    </w:rPr>
                  </w:pPr>
                  <w:r>
                    <w:rPr>
                      <w:szCs w:val="21"/>
                    </w:rPr>
                    <w:t>乙苯</w:t>
                  </w:r>
                  <w:r>
                    <w:rPr>
                      <w:color w:val="000000"/>
                      <w:szCs w:val="21"/>
                    </w:rPr>
                    <w:t>(μg/kg)</w:t>
                  </w:r>
                </w:p>
              </w:tc>
              <w:tc>
                <w:tcPr>
                  <w:tcW w:w="1877" w:type="dxa"/>
                  <w:tcBorders>
                    <w:tl2br w:val="nil"/>
                    <w:tr2bl w:val="nil"/>
                  </w:tcBorders>
                  <w:vAlign w:val="center"/>
                </w:tcPr>
                <w:p>
                  <w:pPr>
                    <w:jc w:val="center"/>
                    <w:rPr>
                      <w:szCs w:val="21"/>
                    </w:rPr>
                  </w:pPr>
                  <w:r>
                    <w:rPr>
                      <w:szCs w:val="21"/>
                    </w:rPr>
                    <w:t>1.2L</w:t>
                  </w:r>
                </w:p>
              </w:tc>
            </w:tr>
            <w:tr>
              <w:trPr>
                <w:trHeight w:val="420" w:hRule="atLeast"/>
              </w:trPr>
              <w:tc>
                <w:tcPr>
                  <w:tcW w:w="2008" w:type="dxa"/>
                  <w:vMerge w:val="continue"/>
                  <w:tcBorders>
                    <w:tl2br w:val="nil"/>
                    <w:tr2bl w:val="nil"/>
                  </w:tcBorders>
                  <w:vAlign w:val="top"/>
                </w:tcPr>
                <w:p>
                  <w:pPr>
                    <w:widowControl/>
                    <w:jc w:val="center"/>
                    <w:textAlignment w:val="center"/>
                    <w:rPr>
                      <w:rFonts w:ascii="宋体" w:hAnsi="宋体" w:cs="宋体"/>
                      <w:kern w:val="0"/>
                      <w:szCs w:val="21"/>
                    </w:rPr>
                  </w:pPr>
                </w:p>
              </w:tc>
              <w:tc>
                <w:tcPr>
                  <w:tcW w:w="1252" w:type="dxa"/>
                  <w:vMerge w:val="continue"/>
                  <w:tcBorders>
                    <w:tl2br w:val="nil"/>
                    <w:tr2bl w:val="nil"/>
                  </w:tcBorders>
                  <w:vAlign w:val="top"/>
                </w:tcPr>
                <w:p>
                  <w:pPr>
                    <w:widowControl/>
                    <w:jc w:val="center"/>
                    <w:textAlignment w:val="center"/>
                    <w:rPr>
                      <w:rFonts w:ascii="宋体" w:hAnsi="宋体" w:cs="宋体"/>
                      <w:szCs w:val="21"/>
                    </w:rPr>
                  </w:pPr>
                </w:p>
              </w:tc>
              <w:tc>
                <w:tcPr>
                  <w:tcW w:w="3040" w:type="dxa"/>
                  <w:tcBorders>
                    <w:tl2br w:val="nil"/>
                    <w:tr2bl w:val="nil"/>
                  </w:tcBorders>
                  <w:vAlign w:val="center"/>
                </w:tcPr>
                <w:p>
                  <w:pPr>
                    <w:widowControl/>
                    <w:jc w:val="center"/>
                    <w:textAlignment w:val="center"/>
                    <w:rPr>
                      <w:szCs w:val="21"/>
                    </w:rPr>
                  </w:pPr>
                  <w:r>
                    <w:rPr>
                      <w:szCs w:val="21"/>
                    </w:rPr>
                    <w:t>苯乙烯</w:t>
                  </w:r>
                  <w:r>
                    <w:rPr>
                      <w:color w:val="000000"/>
                      <w:szCs w:val="21"/>
                    </w:rPr>
                    <w:t>(μg/kg)</w:t>
                  </w:r>
                </w:p>
              </w:tc>
              <w:tc>
                <w:tcPr>
                  <w:tcW w:w="1877" w:type="dxa"/>
                  <w:tcBorders>
                    <w:tl2br w:val="nil"/>
                    <w:tr2bl w:val="nil"/>
                  </w:tcBorders>
                  <w:vAlign w:val="center"/>
                </w:tcPr>
                <w:p>
                  <w:pPr>
                    <w:jc w:val="center"/>
                    <w:rPr>
                      <w:szCs w:val="21"/>
                    </w:rPr>
                  </w:pPr>
                  <w:r>
                    <w:rPr>
                      <w:szCs w:val="21"/>
                    </w:rPr>
                    <w:t>1.6L</w:t>
                  </w:r>
                </w:p>
              </w:tc>
            </w:tr>
            <w:tr>
              <w:trPr>
                <w:trHeight w:val="420" w:hRule="atLeast"/>
              </w:trPr>
              <w:tc>
                <w:tcPr>
                  <w:tcW w:w="2008" w:type="dxa"/>
                  <w:vMerge w:val="continue"/>
                  <w:tcBorders>
                    <w:tl2br w:val="nil"/>
                    <w:tr2bl w:val="nil"/>
                  </w:tcBorders>
                  <w:vAlign w:val="top"/>
                </w:tcPr>
                <w:p>
                  <w:pPr>
                    <w:widowControl/>
                    <w:jc w:val="center"/>
                    <w:textAlignment w:val="center"/>
                    <w:rPr>
                      <w:rFonts w:ascii="宋体" w:hAnsi="宋体" w:cs="宋体"/>
                      <w:kern w:val="0"/>
                      <w:szCs w:val="21"/>
                    </w:rPr>
                  </w:pPr>
                </w:p>
              </w:tc>
              <w:tc>
                <w:tcPr>
                  <w:tcW w:w="1252" w:type="dxa"/>
                  <w:vMerge w:val="continue"/>
                  <w:tcBorders>
                    <w:tl2br w:val="nil"/>
                    <w:tr2bl w:val="nil"/>
                  </w:tcBorders>
                  <w:vAlign w:val="top"/>
                </w:tcPr>
                <w:p>
                  <w:pPr>
                    <w:widowControl/>
                    <w:jc w:val="center"/>
                    <w:textAlignment w:val="center"/>
                    <w:rPr>
                      <w:rFonts w:ascii="宋体" w:hAnsi="宋体" w:cs="宋体"/>
                      <w:szCs w:val="21"/>
                    </w:rPr>
                  </w:pPr>
                </w:p>
              </w:tc>
              <w:tc>
                <w:tcPr>
                  <w:tcW w:w="3040" w:type="dxa"/>
                  <w:tcBorders>
                    <w:tl2br w:val="nil"/>
                    <w:tr2bl w:val="nil"/>
                  </w:tcBorders>
                  <w:vAlign w:val="center"/>
                </w:tcPr>
                <w:p>
                  <w:pPr>
                    <w:widowControl/>
                    <w:jc w:val="center"/>
                    <w:textAlignment w:val="center"/>
                    <w:rPr>
                      <w:szCs w:val="21"/>
                    </w:rPr>
                  </w:pPr>
                  <w:r>
                    <w:rPr>
                      <w:szCs w:val="21"/>
                    </w:rPr>
                    <w:t>甲苯</w:t>
                  </w:r>
                  <w:r>
                    <w:rPr>
                      <w:color w:val="000000"/>
                      <w:szCs w:val="21"/>
                    </w:rPr>
                    <w:t>(μg/kg)</w:t>
                  </w:r>
                </w:p>
              </w:tc>
              <w:tc>
                <w:tcPr>
                  <w:tcW w:w="1877" w:type="dxa"/>
                  <w:tcBorders>
                    <w:tl2br w:val="nil"/>
                    <w:tr2bl w:val="nil"/>
                  </w:tcBorders>
                  <w:vAlign w:val="center"/>
                </w:tcPr>
                <w:p>
                  <w:pPr>
                    <w:jc w:val="center"/>
                    <w:rPr>
                      <w:szCs w:val="21"/>
                    </w:rPr>
                  </w:pPr>
                  <w:r>
                    <w:rPr>
                      <w:szCs w:val="21"/>
                    </w:rPr>
                    <w:t>2.0L</w:t>
                  </w:r>
                </w:p>
              </w:tc>
            </w:tr>
            <w:tr>
              <w:trPr>
                <w:trHeight w:val="420" w:hRule="atLeast"/>
              </w:trPr>
              <w:tc>
                <w:tcPr>
                  <w:tcW w:w="2008" w:type="dxa"/>
                  <w:vMerge w:val="continue"/>
                  <w:tcBorders>
                    <w:tl2br w:val="nil"/>
                    <w:tr2bl w:val="nil"/>
                  </w:tcBorders>
                  <w:vAlign w:val="top"/>
                </w:tcPr>
                <w:p>
                  <w:pPr>
                    <w:widowControl/>
                    <w:jc w:val="center"/>
                    <w:textAlignment w:val="center"/>
                    <w:rPr>
                      <w:rFonts w:ascii="宋体" w:hAnsi="宋体" w:cs="宋体"/>
                      <w:kern w:val="0"/>
                      <w:szCs w:val="21"/>
                    </w:rPr>
                  </w:pPr>
                </w:p>
              </w:tc>
              <w:tc>
                <w:tcPr>
                  <w:tcW w:w="1252" w:type="dxa"/>
                  <w:vMerge w:val="continue"/>
                  <w:tcBorders>
                    <w:tl2br w:val="nil"/>
                    <w:tr2bl w:val="nil"/>
                  </w:tcBorders>
                  <w:vAlign w:val="top"/>
                </w:tcPr>
                <w:p>
                  <w:pPr>
                    <w:widowControl/>
                    <w:jc w:val="center"/>
                    <w:textAlignment w:val="center"/>
                    <w:rPr>
                      <w:rFonts w:ascii="宋体" w:hAnsi="宋体" w:cs="宋体"/>
                      <w:szCs w:val="21"/>
                    </w:rPr>
                  </w:pPr>
                </w:p>
              </w:tc>
              <w:tc>
                <w:tcPr>
                  <w:tcW w:w="3040" w:type="dxa"/>
                  <w:tcBorders>
                    <w:tl2br w:val="nil"/>
                    <w:tr2bl w:val="nil"/>
                  </w:tcBorders>
                  <w:vAlign w:val="center"/>
                </w:tcPr>
                <w:p>
                  <w:pPr>
                    <w:widowControl/>
                    <w:jc w:val="center"/>
                    <w:textAlignment w:val="center"/>
                    <w:rPr>
                      <w:szCs w:val="21"/>
                    </w:rPr>
                  </w:pPr>
                  <w:r>
                    <w:rPr>
                      <w:szCs w:val="21"/>
                    </w:rPr>
                    <w:t>间，对-二甲苯</w:t>
                  </w:r>
                  <w:r>
                    <w:rPr>
                      <w:color w:val="000000"/>
                      <w:szCs w:val="21"/>
                    </w:rPr>
                    <w:t>(μg/kg)</w:t>
                  </w:r>
                </w:p>
              </w:tc>
              <w:tc>
                <w:tcPr>
                  <w:tcW w:w="1877" w:type="dxa"/>
                  <w:tcBorders>
                    <w:tl2br w:val="nil"/>
                    <w:tr2bl w:val="nil"/>
                  </w:tcBorders>
                  <w:vAlign w:val="center"/>
                </w:tcPr>
                <w:p>
                  <w:pPr>
                    <w:jc w:val="center"/>
                    <w:rPr>
                      <w:szCs w:val="21"/>
                    </w:rPr>
                  </w:pPr>
                  <w:r>
                    <w:rPr>
                      <w:szCs w:val="21"/>
                    </w:rPr>
                    <w:t>3.6L</w:t>
                  </w:r>
                </w:p>
              </w:tc>
            </w:tr>
            <w:tr>
              <w:trPr>
                <w:trHeight w:val="440" w:hRule="atLeast"/>
              </w:trPr>
              <w:tc>
                <w:tcPr>
                  <w:tcW w:w="2008" w:type="dxa"/>
                  <w:vMerge w:val="continue"/>
                  <w:tcBorders>
                    <w:tl2br w:val="nil"/>
                    <w:tr2bl w:val="nil"/>
                  </w:tcBorders>
                  <w:vAlign w:val="top"/>
                </w:tcPr>
                <w:p>
                  <w:pPr>
                    <w:widowControl/>
                    <w:jc w:val="center"/>
                    <w:textAlignment w:val="center"/>
                    <w:rPr>
                      <w:rFonts w:ascii="宋体" w:hAnsi="宋体" w:cs="宋体"/>
                      <w:kern w:val="0"/>
                      <w:szCs w:val="21"/>
                    </w:rPr>
                  </w:pPr>
                </w:p>
              </w:tc>
              <w:tc>
                <w:tcPr>
                  <w:tcW w:w="1252" w:type="dxa"/>
                  <w:vMerge w:val="continue"/>
                  <w:tcBorders>
                    <w:tl2br w:val="nil"/>
                    <w:tr2bl w:val="nil"/>
                  </w:tcBorders>
                  <w:vAlign w:val="top"/>
                </w:tcPr>
                <w:p>
                  <w:pPr>
                    <w:widowControl/>
                    <w:jc w:val="center"/>
                    <w:textAlignment w:val="center"/>
                    <w:rPr>
                      <w:rFonts w:ascii="宋体" w:hAnsi="宋体" w:cs="宋体"/>
                      <w:szCs w:val="21"/>
                    </w:rPr>
                  </w:pPr>
                </w:p>
              </w:tc>
              <w:tc>
                <w:tcPr>
                  <w:tcW w:w="3040" w:type="dxa"/>
                  <w:tcBorders>
                    <w:tl2br w:val="nil"/>
                    <w:tr2bl w:val="nil"/>
                  </w:tcBorders>
                  <w:vAlign w:val="center"/>
                </w:tcPr>
                <w:p>
                  <w:pPr>
                    <w:widowControl/>
                    <w:jc w:val="center"/>
                    <w:textAlignment w:val="center"/>
                    <w:rPr>
                      <w:szCs w:val="21"/>
                    </w:rPr>
                  </w:pPr>
                  <w:r>
                    <w:rPr>
                      <w:szCs w:val="21"/>
                    </w:rPr>
                    <w:t>邻-二甲苯</w:t>
                  </w:r>
                  <w:r>
                    <w:rPr>
                      <w:color w:val="000000"/>
                      <w:szCs w:val="21"/>
                    </w:rPr>
                    <w:t>(μg/kg)</w:t>
                  </w:r>
                </w:p>
              </w:tc>
              <w:tc>
                <w:tcPr>
                  <w:tcW w:w="1877" w:type="dxa"/>
                  <w:tcBorders>
                    <w:tl2br w:val="nil"/>
                    <w:tr2bl w:val="nil"/>
                  </w:tcBorders>
                  <w:vAlign w:val="center"/>
                </w:tcPr>
                <w:p>
                  <w:pPr>
                    <w:jc w:val="center"/>
                    <w:rPr>
                      <w:szCs w:val="21"/>
                    </w:rPr>
                  </w:pPr>
                  <w:r>
                    <w:rPr>
                      <w:szCs w:val="21"/>
                    </w:rPr>
                    <w:t>1.3L</w:t>
                  </w:r>
                </w:p>
              </w:tc>
            </w:tr>
            <w:tr>
              <w:trPr>
                <w:trHeight w:val="420" w:hRule="atLeast"/>
              </w:trPr>
              <w:tc>
                <w:tcPr>
                  <w:tcW w:w="2008" w:type="dxa"/>
                  <w:vMerge w:val="continue"/>
                  <w:tcBorders>
                    <w:tl2br w:val="nil"/>
                    <w:tr2bl w:val="nil"/>
                  </w:tcBorders>
                  <w:vAlign w:val="top"/>
                </w:tcPr>
                <w:p>
                  <w:pPr>
                    <w:widowControl/>
                    <w:jc w:val="center"/>
                    <w:textAlignment w:val="center"/>
                    <w:rPr>
                      <w:rFonts w:ascii="宋体" w:hAnsi="宋体" w:cs="宋体"/>
                      <w:kern w:val="0"/>
                      <w:szCs w:val="21"/>
                    </w:rPr>
                  </w:pPr>
                </w:p>
              </w:tc>
              <w:tc>
                <w:tcPr>
                  <w:tcW w:w="1252" w:type="dxa"/>
                  <w:vMerge w:val="continue"/>
                  <w:tcBorders>
                    <w:tl2br w:val="nil"/>
                    <w:tr2bl w:val="nil"/>
                  </w:tcBorders>
                  <w:vAlign w:val="top"/>
                </w:tcPr>
                <w:p>
                  <w:pPr>
                    <w:widowControl/>
                    <w:jc w:val="center"/>
                    <w:textAlignment w:val="center"/>
                    <w:rPr>
                      <w:rFonts w:ascii="宋体" w:hAnsi="宋体" w:cs="宋体"/>
                      <w:szCs w:val="21"/>
                    </w:rPr>
                  </w:pPr>
                </w:p>
              </w:tc>
              <w:tc>
                <w:tcPr>
                  <w:tcW w:w="3040" w:type="dxa"/>
                  <w:tcBorders>
                    <w:tl2br w:val="nil"/>
                    <w:tr2bl w:val="nil"/>
                  </w:tcBorders>
                  <w:vAlign w:val="center"/>
                </w:tcPr>
                <w:p>
                  <w:pPr>
                    <w:widowControl/>
                    <w:jc w:val="center"/>
                    <w:textAlignment w:val="center"/>
                    <w:rPr>
                      <w:szCs w:val="21"/>
                    </w:rPr>
                  </w:pPr>
                  <w:r>
                    <w:rPr>
                      <w:szCs w:val="21"/>
                    </w:rPr>
                    <w:t>硝基苯(mg/kg)</w:t>
                  </w:r>
                </w:p>
              </w:tc>
              <w:tc>
                <w:tcPr>
                  <w:tcW w:w="1877" w:type="dxa"/>
                  <w:tcBorders>
                    <w:tl2br w:val="nil"/>
                    <w:tr2bl w:val="nil"/>
                  </w:tcBorders>
                  <w:vAlign w:val="center"/>
                </w:tcPr>
                <w:p>
                  <w:pPr>
                    <w:tabs>
                      <w:tab w:val="left" w:pos="1477"/>
                    </w:tabs>
                    <w:jc w:val="center"/>
                    <w:rPr>
                      <w:szCs w:val="21"/>
                    </w:rPr>
                  </w:pPr>
                  <w:r>
                    <w:rPr>
                      <w:szCs w:val="21"/>
                    </w:rPr>
                    <w:t>0.09L</w:t>
                  </w:r>
                </w:p>
              </w:tc>
            </w:tr>
            <w:tr>
              <w:trPr>
                <w:trHeight w:val="420" w:hRule="atLeast"/>
              </w:trPr>
              <w:tc>
                <w:tcPr>
                  <w:tcW w:w="2008" w:type="dxa"/>
                  <w:vMerge w:val="continue"/>
                  <w:tcBorders>
                    <w:tl2br w:val="nil"/>
                    <w:tr2bl w:val="nil"/>
                  </w:tcBorders>
                  <w:vAlign w:val="top"/>
                </w:tcPr>
                <w:p>
                  <w:pPr>
                    <w:widowControl/>
                    <w:jc w:val="center"/>
                    <w:textAlignment w:val="center"/>
                    <w:rPr>
                      <w:rFonts w:ascii="宋体" w:hAnsi="宋体" w:cs="宋体"/>
                      <w:kern w:val="0"/>
                      <w:szCs w:val="21"/>
                    </w:rPr>
                  </w:pPr>
                </w:p>
              </w:tc>
              <w:tc>
                <w:tcPr>
                  <w:tcW w:w="1252" w:type="dxa"/>
                  <w:vMerge w:val="continue"/>
                  <w:tcBorders>
                    <w:tl2br w:val="nil"/>
                    <w:tr2bl w:val="nil"/>
                  </w:tcBorders>
                  <w:vAlign w:val="top"/>
                </w:tcPr>
                <w:p>
                  <w:pPr>
                    <w:widowControl/>
                    <w:jc w:val="center"/>
                    <w:textAlignment w:val="center"/>
                    <w:rPr>
                      <w:rFonts w:ascii="宋体" w:hAnsi="宋体" w:cs="宋体"/>
                      <w:szCs w:val="21"/>
                    </w:rPr>
                  </w:pPr>
                </w:p>
              </w:tc>
              <w:tc>
                <w:tcPr>
                  <w:tcW w:w="3040" w:type="dxa"/>
                  <w:tcBorders>
                    <w:tl2br w:val="nil"/>
                    <w:tr2bl w:val="nil"/>
                  </w:tcBorders>
                  <w:vAlign w:val="center"/>
                </w:tcPr>
                <w:p>
                  <w:pPr>
                    <w:widowControl/>
                    <w:jc w:val="center"/>
                    <w:textAlignment w:val="center"/>
                    <w:rPr>
                      <w:szCs w:val="21"/>
                    </w:rPr>
                  </w:pPr>
                  <w:r>
                    <w:rPr>
                      <w:szCs w:val="21"/>
                    </w:rPr>
                    <w:t>苯胺(mg/kg)</w:t>
                  </w:r>
                </w:p>
              </w:tc>
              <w:tc>
                <w:tcPr>
                  <w:tcW w:w="1877" w:type="dxa"/>
                  <w:tcBorders>
                    <w:tl2br w:val="nil"/>
                    <w:tr2bl w:val="nil"/>
                  </w:tcBorders>
                  <w:vAlign w:val="center"/>
                </w:tcPr>
                <w:p>
                  <w:pPr>
                    <w:tabs>
                      <w:tab w:val="left" w:pos="1477"/>
                    </w:tabs>
                    <w:jc w:val="center"/>
                    <w:rPr>
                      <w:szCs w:val="21"/>
                    </w:rPr>
                  </w:pPr>
                  <w:r>
                    <w:rPr>
                      <w:szCs w:val="21"/>
                    </w:rPr>
                    <w:t>0.5L</w:t>
                  </w:r>
                </w:p>
              </w:tc>
            </w:tr>
            <w:tr>
              <w:trPr>
                <w:trHeight w:val="420" w:hRule="atLeast"/>
              </w:trPr>
              <w:tc>
                <w:tcPr>
                  <w:tcW w:w="2008" w:type="dxa"/>
                  <w:vMerge w:val="continue"/>
                  <w:tcBorders>
                    <w:tl2br w:val="nil"/>
                    <w:tr2bl w:val="nil"/>
                  </w:tcBorders>
                  <w:vAlign w:val="top"/>
                </w:tcPr>
                <w:p>
                  <w:pPr>
                    <w:widowControl/>
                    <w:jc w:val="center"/>
                    <w:textAlignment w:val="center"/>
                    <w:rPr>
                      <w:rFonts w:ascii="宋体" w:hAnsi="宋体" w:cs="宋体"/>
                      <w:kern w:val="0"/>
                      <w:szCs w:val="21"/>
                    </w:rPr>
                  </w:pPr>
                </w:p>
              </w:tc>
              <w:tc>
                <w:tcPr>
                  <w:tcW w:w="1252" w:type="dxa"/>
                  <w:vMerge w:val="continue"/>
                  <w:tcBorders>
                    <w:tl2br w:val="nil"/>
                    <w:tr2bl w:val="nil"/>
                  </w:tcBorders>
                  <w:vAlign w:val="top"/>
                </w:tcPr>
                <w:p>
                  <w:pPr>
                    <w:widowControl/>
                    <w:jc w:val="center"/>
                    <w:textAlignment w:val="center"/>
                    <w:rPr>
                      <w:rFonts w:ascii="宋体" w:hAnsi="宋体" w:cs="宋体"/>
                      <w:szCs w:val="21"/>
                    </w:rPr>
                  </w:pPr>
                </w:p>
              </w:tc>
              <w:tc>
                <w:tcPr>
                  <w:tcW w:w="3040" w:type="dxa"/>
                  <w:tcBorders>
                    <w:tl2br w:val="nil"/>
                    <w:tr2bl w:val="nil"/>
                  </w:tcBorders>
                  <w:vAlign w:val="center"/>
                </w:tcPr>
                <w:p>
                  <w:pPr>
                    <w:widowControl/>
                    <w:jc w:val="center"/>
                    <w:textAlignment w:val="center"/>
                    <w:rPr>
                      <w:szCs w:val="21"/>
                    </w:rPr>
                  </w:pPr>
                  <w:r>
                    <w:rPr>
                      <w:szCs w:val="21"/>
                    </w:rPr>
                    <w:t>2-氯苯酚(mg/kg)</w:t>
                  </w:r>
                </w:p>
              </w:tc>
              <w:tc>
                <w:tcPr>
                  <w:tcW w:w="1877" w:type="dxa"/>
                  <w:tcBorders>
                    <w:tl2br w:val="nil"/>
                    <w:tr2bl w:val="nil"/>
                  </w:tcBorders>
                  <w:vAlign w:val="center"/>
                </w:tcPr>
                <w:p>
                  <w:pPr>
                    <w:tabs>
                      <w:tab w:val="left" w:pos="1477"/>
                    </w:tabs>
                    <w:jc w:val="center"/>
                    <w:rPr>
                      <w:szCs w:val="21"/>
                    </w:rPr>
                  </w:pPr>
                  <w:r>
                    <w:rPr>
                      <w:szCs w:val="21"/>
                    </w:rPr>
                    <w:t>0.06L</w:t>
                  </w:r>
                </w:p>
              </w:tc>
            </w:tr>
            <w:tr>
              <w:trPr>
                <w:trHeight w:val="420" w:hRule="atLeast"/>
              </w:trPr>
              <w:tc>
                <w:tcPr>
                  <w:tcW w:w="2008" w:type="dxa"/>
                  <w:vMerge w:val="continue"/>
                  <w:tcBorders>
                    <w:tl2br w:val="nil"/>
                    <w:tr2bl w:val="nil"/>
                  </w:tcBorders>
                  <w:vAlign w:val="top"/>
                </w:tcPr>
                <w:p>
                  <w:pPr>
                    <w:widowControl/>
                    <w:jc w:val="center"/>
                    <w:textAlignment w:val="center"/>
                    <w:rPr>
                      <w:rFonts w:ascii="宋体" w:hAnsi="宋体" w:cs="宋体"/>
                      <w:kern w:val="0"/>
                      <w:szCs w:val="21"/>
                    </w:rPr>
                  </w:pPr>
                </w:p>
              </w:tc>
              <w:tc>
                <w:tcPr>
                  <w:tcW w:w="1252" w:type="dxa"/>
                  <w:vMerge w:val="continue"/>
                  <w:tcBorders>
                    <w:tl2br w:val="nil"/>
                    <w:tr2bl w:val="nil"/>
                  </w:tcBorders>
                  <w:vAlign w:val="top"/>
                </w:tcPr>
                <w:p>
                  <w:pPr>
                    <w:widowControl/>
                    <w:jc w:val="center"/>
                    <w:textAlignment w:val="center"/>
                    <w:rPr>
                      <w:rFonts w:ascii="宋体" w:hAnsi="宋体" w:cs="宋体"/>
                      <w:szCs w:val="21"/>
                    </w:rPr>
                  </w:pPr>
                </w:p>
              </w:tc>
              <w:tc>
                <w:tcPr>
                  <w:tcW w:w="3040" w:type="dxa"/>
                  <w:tcBorders>
                    <w:tl2br w:val="nil"/>
                    <w:tr2bl w:val="nil"/>
                  </w:tcBorders>
                  <w:vAlign w:val="center"/>
                </w:tcPr>
                <w:p>
                  <w:pPr>
                    <w:widowControl/>
                    <w:jc w:val="center"/>
                    <w:textAlignment w:val="center"/>
                    <w:rPr>
                      <w:szCs w:val="21"/>
                    </w:rPr>
                  </w:pPr>
                  <w:r>
                    <w:rPr>
                      <w:szCs w:val="21"/>
                    </w:rPr>
                    <w:t>苯并[a]蒽(mg/kg)</w:t>
                  </w:r>
                </w:p>
              </w:tc>
              <w:tc>
                <w:tcPr>
                  <w:tcW w:w="1877" w:type="dxa"/>
                  <w:tcBorders>
                    <w:tl2br w:val="nil"/>
                    <w:tr2bl w:val="nil"/>
                  </w:tcBorders>
                  <w:vAlign w:val="center"/>
                </w:tcPr>
                <w:p>
                  <w:pPr>
                    <w:tabs>
                      <w:tab w:val="left" w:pos="1477"/>
                    </w:tabs>
                    <w:jc w:val="center"/>
                    <w:rPr>
                      <w:szCs w:val="21"/>
                    </w:rPr>
                  </w:pPr>
                  <w:r>
                    <w:rPr>
                      <w:szCs w:val="21"/>
                    </w:rPr>
                    <w:t>0.1L</w:t>
                  </w:r>
                </w:p>
              </w:tc>
            </w:tr>
            <w:tr>
              <w:trPr>
                <w:trHeight w:val="420" w:hRule="atLeast"/>
              </w:trPr>
              <w:tc>
                <w:tcPr>
                  <w:tcW w:w="2008" w:type="dxa"/>
                  <w:vMerge w:val="continue"/>
                  <w:tcBorders>
                    <w:tl2br w:val="nil"/>
                    <w:tr2bl w:val="nil"/>
                  </w:tcBorders>
                  <w:vAlign w:val="top"/>
                </w:tcPr>
                <w:p>
                  <w:pPr>
                    <w:widowControl/>
                    <w:jc w:val="center"/>
                    <w:textAlignment w:val="center"/>
                    <w:rPr>
                      <w:rFonts w:ascii="宋体" w:hAnsi="宋体" w:cs="宋体"/>
                      <w:kern w:val="0"/>
                      <w:szCs w:val="21"/>
                    </w:rPr>
                  </w:pPr>
                </w:p>
              </w:tc>
              <w:tc>
                <w:tcPr>
                  <w:tcW w:w="1252" w:type="dxa"/>
                  <w:vMerge w:val="continue"/>
                  <w:tcBorders>
                    <w:tl2br w:val="nil"/>
                    <w:tr2bl w:val="nil"/>
                  </w:tcBorders>
                  <w:vAlign w:val="top"/>
                </w:tcPr>
                <w:p>
                  <w:pPr>
                    <w:widowControl/>
                    <w:jc w:val="center"/>
                    <w:textAlignment w:val="center"/>
                    <w:rPr>
                      <w:rFonts w:ascii="宋体" w:hAnsi="宋体" w:cs="宋体"/>
                      <w:szCs w:val="21"/>
                    </w:rPr>
                  </w:pPr>
                </w:p>
              </w:tc>
              <w:tc>
                <w:tcPr>
                  <w:tcW w:w="3040" w:type="dxa"/>
                  <w:tcBorders>
                    <w:tl2br w:val="nil"/>
                    <w:tr2bl w:val="nil"/>
                  </w:tcBorders>
                  <w:vAlign w:val="center"/>
                </w:tcPr>
                <w:p>
                  <w:pPr>
                    <w:widowControl/>
                    <w:jc w:val="center"/>
                    <w:textAlignment w:val="center"/>
                    <w:rPr>
                      <w:szCs w:val="21"/>
                    </w:rPr>
                  </w:pPr>
                  <w:r>
                    <w:rPr>
                      <w:szCs w:val="21"/>
                    </w:rPr>
                    <w:t>苯并[a]芘(mg/kg)</w:t>
                  </w:r>
                </w:p>
              </w:tc>
              <w:tc>
                <w:tcPr>
                  <w:tcW w:w="1877" w:type="dxa"/>
                  <w:tcBorders>
                    <w:tl2br w:val="nil"/>
                    <w:tr2bl w:val="nil"/>
                  </w:tcBorders>
                  <w:vAlign w:val="center"/>
                </w:tcPr>
                <w:p>
                  <w:pPr>
                    <w:tabs>
                      <w:tab w:val="left" w:pos="1477"/>
                    </w:tabs>
                    <w:jc w:val="center"/>
                    <w:rPr>
                      <w:szCs w:val="21"/>
                    </w:rPr>
                  </w:pPr>
                  <w:r>
                    <w:rPr>
                      <w:szCs w:val="21"/>
                    </w:rPr>
                    <w:t>0.1L</w:t>
                  </w:r>
                </w:p>
              </w:tc>
            </w:tr>
            <w:tr>
              <w:trPr>
                <w:trHeight w:val="420" w:hRule="atLeast"/>
              </w:trPr>
              <w:tc>
                <w:tcPr>
                  <w:tcW w:w="2008" w:type="dxa"/>
                  <w:vMerge w:val="continue"/>
                  <w:tcBorders>
                    <w:tl2br w:val="nil"/>
                    <w:tr2bl w:val="nil"/>
                  </w:tcBorders>
                  <w:vAlign w:val="top"/>
                </w:tcPr>
                <w:p>
                  <w:pPr>
                    <w:widowControl/>
                    <w:jc w:val="center"/>
                    <w:textAlignment w:val="center"/>
                    <w:rPr>
                      <w:rFonts w:ascii="宋体" w:hAnsi="宋体" w:cs="宋体"/>
                      <w:kern w:val="0"/>
                      <w:szCs w:val="21"/>
                    </w:rPr>
                  </w:pPr>
                </w:p>
              </w:tc>
              <w:tc>
                <w:tcPr>
                  <w:tcW w:w="1252" w:type="dxa"/>
                  <w:vMerge w:val="continue"/>
                  <w:tcBorders>
                    <w:tl2br w:val="nil"/>
                    <w:tr2bl w:val="nil"/>
                  </w:tcBorders>
                  <w:vAlign w:val="top"/>
                </w:tcPr>
                <w:p>
                  <w:pPr>
                    <w:widowControl/>
                    <w:jc w:val="center"/>
                    <w:textAlignment w:val="center"/>
                    <w:rPr>
                      <w:rFonts w:ascii="宋体" w:hAnsi="宋体" w:cs="宋体"/>
                      <w:szCs w:val="21"/>
                    </w:rPr>
                  </w:pPr>
                </w:p>
              </w:tc>
              <w:tc>
                <w:tcPr>
                  <w:tcW w:w="3040" w:type="dxa"/>
                  <w:tcBorders>
                    <w:tl2br w:val="nil"/>
                    <w:tr2bl w:val="nil"/>
                  </w:tcBorders>
                  <w:vAlign w:val="center"/>
                </w:tcPr>
                <w:p>
                  <w:pPr>
                    <w:widowControl/>
                    <w:jc w:val="center"/>
                    <w:textAlignment w:val="center"/>
                    <w:rPr>
                      <w:szCs w:val="21"/>
                    </w:rPr>
                  </w:pPr>
                  <w:r>
                    <w:rPr>
                      <w:szCs w:val="21"/>
                    </w:rPr>
                    <w:t>苯并[b]荧蒽(mg/kg)</w:t>
                  </w:r>
                </w:p>
              </w:tc>
              <w:tc>
                <w:tcPr>
                  <w:tcW w:w="1877" w:type="dxa"/>
                  <w:tcBorders>
                    <w:tl2br w:val="nil"/>
                    <w:tr2bl w:val="nil"/>
                  </w:tcBorders>
                  <w:vAlign w:val="center"/>
                </w:tcPr>
                <w:p>
                  <w:pPr>
                    <w:tabs>
                      <w:tab w:val="left" w:pos="1477"/>
                    </w:tabs>
                    <w:jc w:val="center"/>
                    <w:rPr>
                      <w:szCs w:val="21"/>
                    </w:rPr>
                  </w:pPr>
                  <w:r>
                    <w:rPr>
                      <w:szCs w:val="21"/>
                    </w:rPr>
                    <w:t>0.2L</w:t>
                  </w:r>
                </w:p>
              </w:tc>
            </w:tr>
            <w:tr>
              <w:trPr>
                <w:trHeight w:val="420" w:hRule="atLeast"/>
              </w:trPr>
              <w:tc>
                <w:tcPr>
                  <w:tcW w:w="2008" w:type="dxa"/>
                  <w:vMerge w:val="continue"/>
                  <w:tcBorders>
                    <w:tl2br w:val="nil"/>
                    <w:tr2bl w:val="nil"/>
                  </w:tcBorders>
                  <w:vAlign w:val="top"/>
                </w:tcPr>
                <w:p>
                  <w:pPr>
                    <w:widowControl/>
                    <w:jc w:val="center"/>
                    <w:textAlignment w:val="center"/>
                    <w:rPr>
                      <w:rFonts w:ascii="宋体" w:hAnsi="宋体" w:cs="宋体"/>
                      <w:kern w:val="0"/>
                      <w:szCs w:val="21"/>
                    </w:rPr>
                  </w:pPr>
                </w:p>
              </w:tc>
              <w:tc>
                <w:tcPr>
                  <w:tcW w:w="1252" w:type="dxa"/>
                  <w:vMerge w:val="continue"/>
                  <w:tcBorders>
                    <w:tl2br w:val="nil"/>
                    <w:tr2bl w:val="nil"/>
                  </w:tcBorders>
                  <w:vAlign w:val="top"/>
                </w:tcPr>
                <w:p>
                  <w:pPr>
                    <w:widowControl/>
                    <w:jc w:val="center"/>
                    <w:textAlignment w:val="center"/>
                    <w:rPr>
                      <w:rFonts w:ascii="宋体" w:hAnsi="宋体" w:cs="宋体"/>
                      <w:szCs w:val="21"/>
                    </w:rPr>
                  </w:pPr>
                </w:p>
              </w:tc>
              <w:tc>
                <w:tcPr>
                  <w:tcW w:w="3040" w:type="dxa"/>
                  <w:tcBorders>
                    <w:tl2br w:val="nil"/>
                    <w:tr2bl w:val="nil"/>
                  </w:tcBorders>
                  <w:vAlign w:val="center"/>
                </w:tcPr>
                <w:p>
                  <w:pPr>
                    <w:widowControl/>
                    <w:jc w:val="center"/>
                    <w:textAlignment w:val="center"/>
                    <w:rPr>
                      <w:szCs w:val="21"/>
                    </w:rPr>
                  </w:pPr>
                  <w:r>
                    <w:rPr>
                      <w:szCs w:val="21"/>
                    </w:rPr>
                    <w:t>苯并[k]荧蒽(mg/kg)</w:t>
                  </w:r>
                </w:p>
              </w:tc>
              <w:tc>
                <w:tcPr>
                  <w:tcW w:w="1877" w:type="dxa"/>
                  <w:tcBorders>
                    <w:tl2br w:val="nil"/>
                    <w:tr2bl w:val="nil"/>
                  </w:tcBorders>
                  <w:vAlign w:val="center"/>
                </w:tcPr>
                <w:p>
                  <w:pPr>
                    <w:tabs>
                      <w:tab w:val="left" w:pos="1477"/>
                    </w:tabs>
                    <w:jc w:val="center"/>
                    <w:rPr>
                      <w:szCs w:val="21"/>
                    </w:rPr>
                  </w:pPr>
                  <w:r>
                    <w:rPr>
                      <w:szCs w:val="21"/>
                    </w:rPr>
                    <w:t>0.1L</w:t>
                  </w:r>
                </w:p>
              </w:tc>
            </w:tr>
            <w:tr>
              <w:trPr>
                <w:trHeight w:val="420" w:hRule="atLeast"/>
              </w:trPr>
              <w:tc>
                <w:tcPr>
                  <w:tcW w:w="2008" w:type="dxa"/>
                  <w:vMerge w:val="continue"/>
                  <w:tcBorders>
                    <w:tl2br w:val="nil"/>
                    <w:tr2bl w:val="nil"/>
                  </w:tcBorders>
                  <w:vAlign w:val="top"/>
                </w:tcPr>
                <w:p>
                  <w:pPr>
                    <w:widowControl/>
                    <w:jc w:val="center"/>
                    <w:textAlignment w:val="center"/>
                    <w:rPr>
                      <w:rFonts w:ascii="宋体" w:hAnsi="宋体" w:cs="宋体"/>
                      <w:kern w:val="0"/>
                      <w:szCs w:val="21"/>
                    </w:rPr>
                  </w:pPr>
                </w:p>
              </w:tc>
              <w:tc>
                <w:tcPr>
                  <w:tcW w:w="1252" w:type="dxa"/>
                  <w:vMerge w:val="continue"/>
                  <w:tcBorders>
                    <w:tl2br w:val="nil"/>
                    <w:tr2bl w:val="nil"/>
                  </w:tcBorders>
                  <w:vAlign w:val="top"/>
                </w:tcPr>
                <w:p>
                  <w:pPr>
                    <w:widowControl/>
                    <w:jc w:val="center"/>
                    <w:textAlignment w:val="center"/>
                    <w:rPr>
                      <w:rFonts w:ascii="宋体" w:hAnsi="宋体" w:cs="宋体"/>
                      <w:szCs w:val="21"/>
                    </w:rPr>
                  </w:pPr>
                </w:p>
              </w:tc>
              <w:tc>
                <w:tcPr>
                  <w:tcW w:w="3040" w:type="dxa"/>
                  <w:tcBorders>
                    <w:tl2br w:val="nil"/>
                    <w:tr2bl w:val="nil"/>
                  </w:tcBorders>
                  <w:vAlign w:val="center"/>
                </w:tcPr>
                <w:p>
                  <w:pPr>
                    <w:widowControl/>
                    <w:jc w:val="center"/>
                    <w:textAlignment w:val="center"/>
                    <w:rPr>
                      <w:szCs w:val="21"/>
                    </w:rPr>
                  </w:pPr>
                  <w:r>
                    <w:rPr>
                      <w:szCs w:val="21"/>
                    </w:rPr>
                    <w:t>䓛(mg/kg)</w:t>
                  </w:r>
                </w:p>
              </w:tc>
              <w:tc>
                <w:tcPr>
                  <w:tcW w:w="1877" w:type="dxa"/>
                  <w:tcBorders>
                    <w:tl2br w:val="nil"/>
                    <w:tr2bl w:val="nil"/>
                  </w:tcBorders>
                  <w:vAlign w:val="center"/>
                </w:tcPr>
                <w:p>
                  <w:pPr>
                    <w:tabs>
                      <w:tab w:val="left" w:pos="1477"/>
                    </w:tabs>
                    <w:jc w:val="center"/>
                    <w:rPr>
                      <w:szCs w:val="21"/>
                    </w:rPr>
                  </w:pPr>
                  <w:r>
                    <w:rPr>
                      <w:szCs w:val="21"/>
                    </w:rPr>
                    <w:t>0.1L</w:t>
                  </w:r>
                </w:p>
              </w:tc>
            </w:tr>
            <w:tr>
              <w:trPr>
                <w:trHeight w:val="420" w:hRule="atLeast"/>
              </w:trPr>
              <w:tc>
                <w:tcPr>
                  <w:tcW w:w="2008" w:type="dxa"/>
                  <w:vMerge w:val="continue"/>
                  <w:tcBorders>
                    <w:tl2br w:val="nil"/>
                    <w:tr2bl w:val="nil"/>
                  </w:tcBorders>
                  <w:vAlign w:val="top"/>
                </w:tcPr>
                <w:p>
                  <w:pPr>
                    <w:widowControl/>
                    <w:jc w:val="center"/>
                    <w:textAlignment w:val="center"/>
                    <w:rPr>
                      <w:rFonts w:ascii="宋体" w:hAnsi="宋体" w:cs="宋体"/>
                      <w:kern w:val="0"/>
                      <w:szCs w:val="21"/>
                    </w:rPr>
                  </w:pPr>
                </w:p>
              </w:tc>
              <w:tc>
                <w:tcPr>
                  <w:tcW w:w="1252" w:type="dxa"/>
                  <w:vMerge w:val="continue"/>
                  <w:tcBorders>
                    <w:tl2br w:val="nil"/>
                    <w:tr2bl w:val="nil"/>
                  </w:tcBorders>
                  <w:vAlign w:val="top"/>
                </w:tcPr>
                <w:p>
                  <w:pPr>
                    <w:widowControl/>
                    <w:jc w:val="center"/>
                    <w:textAlignment w:val="center"/>
                    <w:rPr>
                      <w:rFonts w:ascii="宋体" w:hAnsi="宋体" w:cs="宋体"/>
                      <w:szCs w:val="21"/>
                    </w:rPr>
                  </w:pPr>
                </w:p>
              </w:tc>
              <w:tc>
                <w:tcPr>
                  <w:tcW w:w="3040" w:type="dxa"/>
                  <w:tcBorders>
                    <w:tl2br w:val="nil"/>
                    <w:tr2bl w:val="nil"/>
                  </w:tcBorders>
                  <w:vAlign w:val="center"/>
                </w:tcPr>
                <w:p>
                  <w:pPr>
                    <w:widowControl/>
                    <w:jc w:val="center"/>
                    <w:textAlignment w:val="center"/>
                    <w:rPr>
                      <w:szCs w:val="21"/>
                    </w:rPr>
                  </w:pPr>
                  <w:r>
                    <w:rPr>
                      <w:szCs w:val="21"/>
                    </w:rPr>
                    <w:t>二苯并[a,h]蒽(mg/kg)</w:t>
                  </w:r>
                </w:p>
              </w:tc>
              <w:tc>
                <w:tcPr>
                  <w:tcW w:w="1877" w:type="dxa"/>
                  <w:tcBorders>
                    <w:tl2br w:val="nil"/>
                    <w:tr2bl w:val="nil"/>
                  </w:tcBorders>
                  <w:vAlign w:val="center"/>
                </w:tcPr>
                <w:p>
                  <w:pPr>
                    <w:tabs>
                      <w:tab w:val="left" w:pos="1477"/>
                    </w:tabs>
                    <w:jc w:val="center"/>
                    <w:rPr>
                      <w:szCs w:val="21"/>
                    </w:rPr>
                  </w:pPr>
                  <w:r>
                    <w:rPr>
                      <w:szCs w:val="21"/>
                    </w:rPr>
                    <w:t>0.1L</w:t>
                  </w:r>
                </w:p>
              </w:tc>
            </w:tr>
            <w:tr>
              <w:trPr>
                <w:trHeight w:val="420" w:hRule="atLeast"/>
              </w:trPr>
              <w:tc>
                <w:tcPr>
                  <w:tcW w:w="2008" w:type="dxa"/>
                  <w:vMerge w:val="continue"/>
                  <w:tcBorders>
                    <w:tl2br w:val="nil"/>
                    <w:tr2bl w:val="nil"/>
                  </w:tcBorders>
                  <w:vAlign w:val="top"/>
                </w:tcPr>
                <w:p>
                  <w:pPr>
                    <w:widowControl/>
                    <w:jc w:val="center"/>
                    <w:textAlignment w:val="center"/>
                    <w:rPr>
                      <w:rFonts w:ascii="宋体" w:hAnsi="宋体" w:cs="宋体"/>
                      <w:kern w:val="0"/>
                      <w:szCs w:val="21"/>
                    </w:rPr>
                  </w:pPr>
                </w:p>
              </w:tc>
              <w:tc>
                <w:tcPr>
                  <w:tcW w:w="1252" w:type="dxa"/>
                  <w:vMerge w:val="continue"/>
                  <w:tcBorders>
                    <w:tl2br w:val="nil"/>
                    <w:tr2bl w:val="nil"/>
                  </w:tcBorders>
                  <w:vAlign w:val="top"/>
                </w:tcPr>
                <w:p>
                  <w:pPr>
                    <w:widowControl/>
                    <w:jc w:val="center"/>
                    <w:textAlignment w:val="center"/>
                    <w:rPr>
                      <w:rFonts w:ascii="宋体" w:hAnsi="宋体" w:cs="宋体"/>
                      <w:szCs w:val="21"/>
                    </w:rPr>
                  </w:pPr>
                </w:p>
              </w:tc>
              <w:tc>
                <w:tcPr>
                  <w:tcW w:w="3040" w:type="dxa"/>
                  <w:tcBorders>
                    <w:tl2br w:val="nil"/>
                    <w:tr2bl w:val="nil"/>
                  </w:tcBorders>
                  <w:vAlign w:val="center"/>
                </w:tcPr>
                <w:p>
                  <w:pPr>
                    <w:widowControl/>
                    <w:jc w:val="center"/>
                    <w:textAlignment w:val="center"/>
                    <w:rPr>
                      <w:szCs w:val="21"/>
                    </w:rPr>
                  </w:pPr>
                  <w:r>
                    <w:rPr>
                      <w:szCs w:val="21"/>
                    </w:rPr>
                    <w:t>茚并[1,2,3-cd]芘(mg/kg)</w:t>
                  </w:r>
                </w:p>
              </w:tc>
              <w:tc>
                <w:tcPr>
                  <w:tcW w:w="1877" w:type="dxa"/>
                  <w:tcBorders>
                    <w:tl2br w:val="nil"/>
                    <w:tr2bl w:val="nil"/>
                  </w:tcBorders>
                  <w:vAlign w:val="center"/>
                </w:tcPr>
                <w:p>
                  <w:pPr>
                    <w:tabs>
                      <w:tab w:val="left" w:pos="1477"/>
                    </w:tabs>
                    <w:jc w:val="center"/>
                    <w:rPr>
                      <w:szCs w:val="21"/>
                    </w:rPr>
                  </w:pPr>
                  <w:r>
                    <w:rPr>
                      <w:szCs w:val="21"/>
                    </w:rPr>
                    <w:t>0.1L</w:t>
                  </w:r>
                </w:p>
              </w:tc>
            </w:tr>
            <w:tr>
              <w:trPr>
                <w:trHeight w:val="450" w:hRule="atLeast"/>
              </w:trPr>
              <w:tc>
                <w:tcPr>
                  <w:tcW w:w="2008" w:type="dxa"/>
                  <w:vMerge w:val="continue"/>
                  <w:tcBorders>
                    <w:tl2br w:val="nil"/>
                    <w:tr2bl w:val="nil"/>
                  </w:tcBorders>
                  <w:vAlign w:val="top"/>
                </w:tcPr>
                <w:p>
                  <w:pPr>
                    <w:widowControl/>
                    <w:jc w:val="center"/>
                    <w:textAlignment w:val="center"/>
                    <w:rPr>
                      <w:rFonts w:ascii="宋体" w:hAnsi="宋体" w:cs="宋体"/>
                      <w:kern w:val="0"/>
                      <w:szCs w:val="21"/>
                    </w:rPr>
                  </w:pPr>
                </w:p>
              </w:tc>
              <w:tc>
                <w:tcPr>
                  <w:tcW w:w="1252" w:type="dxa"/>
                  <w:vMerge w:val="continue"/>
                  <w:tcBorders>
                    <w:tl2br w:val="nil"/>
                    <w:tr2bl w:val="nil"/>
                  </w:tcBorders>
                  <w:vAlign w:val="top"/>
                </w:tcPr>
                <w:p>
                  <w:pPr>
                    <w:widowControl/>
                    <w:jc w:val="center"/>
                    <w:textAlignment w:val="center"/>
                    <w:rPr>
                      <w:rFonts w:ascii="宋体" w:hAnsi="宋体" w:cs="宋体"/>
                      <w:szCs w:val="21"/>
                    </w:rPr>
                  </w:pPr>
                </w:p>
              </w:tc>
              <w:tc>
                <w:tcPr>
                  <w:tcW w:w="3040" w:type="dxa"/>
                  <w:tcBorders>
                    <w:tl2br w:val="nil"/>
                    <w:tr2bl w:val="nil"/>
                  </w:tcBorders>
                  <w:vAlign w:val="center"/>
                </w:tcPr>
                <w:p>
                  <w:pPr>
                    <w:widowControl/>
                    <w:jc w:val="center"/>
                    <w:textAlignment w:val="center"/>
                    <w:rPr>
                      <w:szCs w:val="21"/>
                    </w:rPr>
                  </w:pPr>
                  <w:r>
                    <w:rPr>
                      <w:szCs w:val="21"/>
                    </w:rPr>
                    <w:t>萘(mg/kg)</w:t>
                  </w:r>
                </w:p>
              </w:tc>
              <w:tc>
                <w:tcPr>
                  <w:tcW w:w="1877" w:type="dxa"/>
                  <w:tcBorders>
                    <w:tl2br w:val="nil"/>
                    <w:tr2bl w:val="nil"/>
                  </w:tcBorders>
                  <w:vAlign w:val="center"/>
                </w:tcPr>
                <w:p>
                  <w:pPr>
                    <w:tabs>
                      <w:tab w:val="left" w:pos="1477"/>
                    </w:tabs>
                    <w:jc w:val="center"/>
                    <w:rPr>
                      <w:szCs w:val="21"/>
                    </w:rPr>
                  </w:pPr>
                  <w:r>
                    <w:rPr>
                      <w:szCs w:val="21"/>
                    </w:rPr>
                    <w:t>0.09L</w:t>
                  </w:r>
                </w:p>
              </w:tc>
            </w:tr>
          </w:tbl>
          <w:p>
            <w:pPr>
              <w:pStyle w:val="30"/>
              <w:snapToGrid w:val="0"/>
              <w:spacing w:line="360" w:lineRule="auto"/>
              <w:ind w:firstLine="480" w:firstLineChars="200"/>
              <w:rPr>
                <w:rFonts w:ascii="宋体" w:hAnsi="宋体" w:eastAsia="宋体" w:cs="宋体"/>
                <w:color w:val="auto"/>
              </w:rPr>
            </w:pPr>
            <w:r>
              <w:rPr>
                <w:rFonts w:hint="eastAsia" w:ascii="宋体" w:hAnsi="宋体" w:eastAsia="宋体" w:cs="宋体"/>
                <w:color w:val="auto"/>
              </w:rPr>
              <w:t>⑤</w:t>
            </w:r>
            <w:r>
              <w:rPr>
                <w:rFonts w:hint="eastAsia" w:ascii="宋体" w:hAnsi="宋体" w:eastAsia="宋体" w:cs="宋体"/>
                <w:color w:val="auto"/>
                <w:lang w:val="zh-CN"/>
              </w:rPr>
              <w:t>评价方法</w:t>
            </w:r>
          </w:p>
          <w:p>
            <w:pPr>
              <w:spacing w:line="360" w:lineRule="auto"/>
              <w:ind w:firstLine="480" w:firstLineChars="200"/>
              <w:rPr>
                <w:rFonts w:ascii="宋体" w:hAnsi="宋体" w:cs="宋体"/>
                <w:i/>
                <w:snapToGrid w:val="0"/>
                <w:kern w:val="0"/>
                <w:sz w:val="24"/>
              </w:rPr>
            </w:pPr>
            <w:r>
              <w:rPr>
                <w:rFonts w:hint="eastAsia" w:ascii="宋体" w:hAnsi="宋体" w:cs="宋体"/>
                <w:snapToGrid w:val="0"/>
                <w:kern w:val="0"/>
                <w:sz w:val="24"/>
              </w:rPr>
              <w:t>评价方法</w:t>
            </w:r>
            <w:r>
              <w:rPr>
                <w:rFonts w:hint="eastAsia" w:ascii="宋体" w:hAnsi="宋体" w:cs="宋体"/>
                <w:bCs/>
                <w:iCs/>
                <w:snapToGrid w:val="0"/>
                <w:kern w:val="0"/>
                <w:sz w:val="24"/>
              </w:rPr>
              <w:t>采用标准指数法</w:t>
            </w:r>
            <w:r>
              <w:rPr>
                <w:rFonts w:hint="eastAsia" w:ascii="宋体" w:hAnsi="宋体" w:cs="宋体"/>
                <w:snapToGrid w:val="0"/>
                <w:kern w:val="0"/>
                <w:sz w:val="24"/>
              </w:rPr>
              <w:t>，计算公式如下：</w:t>
            </w:r>
            <w:r>
              <w:rPr>
                <w:rFonts w:hint="eastAsia" w:ascii="宋体" w:hAnsi="宋体" w:cs="宋体"/>
                <w:i/>
                <w:snapToGrid w:val="0"/>
                <w:kern w:val="0"/>
                <w:sz w:val="24"/>
              </w:rPr>
              <w:t xml:space="preserve"> </w:t>
            </w:r>
          </w:p>
          <w:p>
            <w:pPr>
              <w:spacing w:line="360" w:lineRule="auto"/>
              <w:ind w:firstLine="1800" w:firstLineChars="750"/>
              <w:rPr>
                <w:rFonts w:ascii="宋体" w:hAnsi="宋体" w:cs="宋体"/>
                <w:snapToGrid w:val="0"/>
                <w:kern w:val="0"/>
                <w:sz w:val="24"/>
                <w:vertAlign w:val="subscript"/>
              </w:rPr>
            </w:pPr>
            <w:r>
              <w:rPr>
                <w:rFonts w:hint="eastAsia" w:ascii="宋体" w:hAnsi="宋体" w:cs="宋体"/>
                <w:snapToGrid w:val="0"/>
                <w:kern w:val="0"/>
                <w:sz w:val="24"/>
              </w:rPr>
              <w:t>P</w:t>
            </w:r>
            <w:r>
              <w:rPr>
                <w:rFonts w:hint="eastAsia" w:ascii="宋体" w:hAnsi="宋体" w:cs="宋体"/>
                <w:snapToGrid w:val="0"/>
                <w:kern w:val="0"/>
                <w:sz w:val="24"/>
                <w:vertAlign w:val="subscript"/>
              </w:rPr>
              <w:t>i</w:t>
            </w:r>
            <w:r>
              <w:rPr>
                <w:rFonts w:hint="eastAsia" w:ascii="宋体" w:hAnsi="宋体" w:cs="宋体"/>
                <w:snapToGrid w:val="0"/>
                <w:kern w:val="0"/>
                <w:sz w:val="24"/>
              </w:rPr>
              <w:t>=C</w:t>
            </w:r>
            <w:r>
              <w:rPr>
                <w:rFonts w:hint="eastAsia" w:ascii="宋体" w:hAnsi="宋体" w:cs="宋体"/>
                <w:snapToGrid w:val="0"/>
                <w:kern w:val="0"/>
                <w:sz w:val="24"/>
                <w:vertAlign w:val="subscript"/>
              </w:rPr>
              <w:t>i</w:t>
            </w:r>
            <w:r>
              <w:rPr>
                <w:rFonts w:hint="eastAsia" w:ascii="宋体" w:hAnsi="宋体" w:cs="宋体"/>
                <w:snapToGrid w:val="0"/>
                <w:kern w:val="0"/>
                <w:sz w:val="24"/>
              </w:rPr>
              <w:t>/S</w:t>
            </w:r>
            <w:r>
              <w:rPr>
                <w:rFonts w:hint="eastAsia" w:ascii="宋体" w:hAnsi="宋体" w:cs="宋体"/>
                <w:snapToGrid w:val="0"/>
                <w:kern w:val="0"/>
                <w:sz w:val="24"/>
                <w:vertAlign w:val="subscript"/>
              </w:rPr>
              <w:t>i</w:t>
            </w:r>
          </w:p>
          <w:p>
            <w:pPr>
              <w:spacing w:line="360" w:lineRule="auto"/>
              <w:ind w:firstLine="480" w:firstLineChars="200"/>
              <w:rPr>
                <w:rFonts w:ascii="宋体" w:hAnsi="宋体" w:cs="宋体"/>
                <w:snapToGrid w:val="0"/>
                <w:kern w:val="0"/>
                <w:sz w:val="24"/>
              </w:rPr>
            </w:pPr>
            <w:r>
              <w:rPr>
                <w:rFonts w:hint="eastAsia" w:ascii="宋体" w:hAnsi="宋体" w:cs="宋体"/>
                <w:snapToGrid w:val="0"/>
                <w:kern w:val="0"/>
                <w:sz w:val="24"/>
              </w:rPr>
              <w:t>式中：P</w:t>
            </w:r>
            <w:r>
              <w:rPr>
                <w:rFonts w:hint="eastAsia" w:ascii="宋体" w:hAnsi="宋体" w:cs="宋体"/>
                <w:snapToGrid w:val="0"/>
                <w:kern w:val="0"/>
                <w:sz w:val="24"/>
                <w:vertAlign w:val="subscript"/>
              </w:rPr>
              <w:t>i</w:t>
            </w:r>
            <w:r>
              <w:rPr>
                <w:rFonts w:hint="eastAsia" w:ascii="宋体" w:hAnsi="宋体" w:cs="宋体"/>
                <w:snapToGrid w:val="0"/>
                <w:kern w:val="0"/>
                <w:sz w:val="24"/>
              </w:rPr>
              <w:t>—第i种污染物的污染指数；</w:t>
            </w:r>
          </w:p>
          <w:p>
            <w:pPr>
              <w:spacing w:line="360" w:lineRule="auto"/>
              <w:ind w:firstLine="480" w:firstLineChars="200"/>
              <w:rPr>
                <w:rFonts w:ascii="宋体" w:hAnsi="宋体" w:cs="宋体"/>
                <w:snapToGrid w:val="0"/>
                <w:kern w:val="0"/>
                <w:sz w:val="24"/>
              </w:rPr>
            </w:pPr>
            <w:r>
              <w:rPr>
                <w:rFonts w:hint="eastAsia" w:ascii="宋体" w:hAnsi="宋体" w:cs="宋体"/>
                <w:snapToGrid w:val="0"/>
                <w:kern w:val="0"/>
                <w:sz w:val="24"/>
              </w:rPr>
              <w:t xml:space="preserve">      C</w:t>
            </w:r>
            <w:r>
              <w:rPr>
                <w:rFonts w:hint="eastAsia" w:ascii="宋体" w:hAnsi="宋体" w:cs="宋体"/>
                <w:snapToGrid w:val="0"/>
                <w:kern w:val="0"/>
                <w:sz w:val="24"/>
                <w:vertAlign w:val="subscript"/>
              </w:rPr>
              <w:t>i</w:t>
            </w:r>
            <w:r>
              <w:rPr>
                <w:rFonts w:hint="eastAsia" w:ascii="宋体" w:hAnsi="宋体" w:cs="宋体"/>
                <w:snapToGrid w:val="0"/>
                <w:kern w:val="0"/>
                <w:sz w:val="24"/>
              </w:rPr>
              <w:t>—第i种污染物的实测浓度，mg/kg；</w:t>
            </w:r>
          </w:p>
          <w:p>
            <w:pPr>
              <w:spacing w:line="360" w:lineRule="auto"/>
              <w:ind w:firstLine="480" w:firstLineChars="200"/>
              <w:rPr>
                <w:rFonts w:ascii="宋体" w:hAnsi="宋体" w:cs="宋体"/>
                <w:snapToGrid w:val="0"/>
                <w:kern w:val="0"/>
                <w:sz w:val="24"/>
              </w:rPr>
            </w:pPr>
            <w:r>
              <w:rPr>
                <w:rFonts w:hint="eastAsia" w:ascii="宋体" w:hAnsi="宋体" w:cs="宋体"/>
                <w:snapToGrid w:val="0"/>
                <w:kern w:val="0"/>
                <w:sz w:val="24"/>
              </w:rPr>
              <w:t xml:space="preserve">      S</w:t>
            </w:r>
            <w:r>
              <w:rPr>
                <w:rFonts w:hint="eastAsia" w:ascii="宋体" w:hAnsi="宋体" w:cs="宋体"/>
                <w:snapToGrid w:val="0"/>
                <w:kern w:val="0"/>
                <w:sz w:val="24"/>
                <w:vertAlign w:val="subscript"/>
              </w:rPr>
              <w:t>i</w:t>
            </w:r>
            <w:r>
              <w:rPr>
                <w:rFonts w:hint="eastAsia" w:ascii="宋体" w:hAnsi="宋体" w:cs="宋体"/>
                <w:snapToGrid w:val="0"/>
                <w:kern w:val="0"/>
                <w:sz w:val="24"/>
              </w:rPr>
              <w:t>—第i种污染物的评价标准，mg/kg。</w:t>
            </w:r>
          </w:p>
          <w:p>
            <w:pPr>
              <w:spacing w:line="360" w:lineRule="auto"/>
              <w:ind w:firstLine="480" w:firstLineChars="200"/>
              <w:rPr>
                <w:rFonts w:ascii="宋体" w:hAnsi="宋体" w:cs="宋体"/>
                <w:snapToGrid w:val="0"/>
                <w:kern w:val="0"/>
                <w:sz w:val="24"/>
              </w:rPr>
            </w:pPr>
            <w:r>
              <w:rPr>
                <w:rFonts w:hint="eastAsia" w:ascii="宋体" w:hAnsi="宋体" w:cs="宋体"/>
                <w:snapToGrid w:val="0"/>
                <w:kern w:val="0"/>
                <w:sz w:val="24"/>
              </w:rPr>
              <w:t>P</w:t>
            </w:r>
            <w:r>
              <w:rPr>
                <w:rFonts w:hint="eastAsia" w:ascii="宋体" w:hAnsi="宋体" w:cs="宋体"/>
                <w:snapToGrid w:val="0"/>
                <w:kern w:val="0"/>
                <w:sz w:val="24"/>
                <w:vertAlign w:val="subscript"/>
              </w:rPr>
              <w:t>i</w:t>
            </w:r>
            <w:r>
              <w:rPr>
                <w:rFonts w:hint="eastAsia" w:ascii="宋体" w:hAnsi="宋体" w:cs="宋体"/>
                <w:snapToGrid w:val="0"/>
                <w:kern w:val="0"/>
                <w:sz w:val="24"/>
              </w:rPr>
              <w:t>＞1，则不能满足标准要求，反之则满足标准要求。</w:t>
            </w:r>
          </w:p>
          <w:p>
            <w:pPr>
              <w:adjustRightInd w:val="0"/>
              <w:snapToGrid w:val="0"/>
              <w:spacing w:line="360" w:lineRule="auto"/>
              <w:ind w:firstLine="480" w:firstLineChars="200"/>
              <w:rPr>
                <w:rFonts w:ascii="宋体" w:hAnsi="宋体" w:cs="宋体"/>
                <w:bCs/>
                <w:iCs/>
                <w:snapToGrid w:val="0"/>
                <w:kern w:val="0"/>
                <w:sz w:val="24"/>
              </w:rPr>
            </w:pPr>
            <w:r>
              <w:rPr>
                <w:rFonts w:hint="eastAsia" w:ascii="宋体" w:hAnsi="宋体" w:cs="宋体"/>
                <w:bCs/>
                <w:iCs/>
                <w:snapToGrid w:val="0"/>
                <w:kern w:val="0"/>
                <w:sz w:val="24"/>
              </w:rPr>
              <w:t>⑥评价标准</w:t>
            </w:r>
          </w:p>
          <w:p>
            <w:pPr>
              <w:adjustRightInd w:val="0"/>
              <w:snapToGrid w:val="0"/>
              <w:spacing w:line="360" w:lineRule="auto"/>
              <w:ind w:firstLine="480" w:firstLineChars="200"/>
              <w:rPr>
                <w:rFonts w:ascii="宋体" w:hAnsi="宋体" w:cs="宋体"/>
                <w:sz w:val="24"/>
                <w:lang w:val="zh-CN"/>
              </w:rPr>
            </w:pPr>
            <w:r>
              <w:rPr>
                <w:rFonts w:hint="eastAsia" w:ascii="宋体" w:hAnsi="宋体" w:cs="宋体"/>
                <w:sz w:val="24"/>
              </w:rPr>
              <w:t>评价标准采用《土壤环境质量  建设用地土壤污染风险管控标准（试行）》（GB36600-2018）第二类用地筛选标准限值。</w:t>
            </w:r>
          </w:p>
          <w:p>
            <w:pPr>
              <w:pStyle w:val="30"/>
              <w:adjustRightInd/>
              <w:spacing w:line="360" w:lineRule="auto"/>
              <w:ind w:firstLine="480" w:firstLineChars="200"/>
              <w:rPr>
                <w:rFonts w:ascii="宋体" w:hAnsi="宋体" w:eastAsia="宋体" w:cs="宋体"/>
                <w:color w:val="auto"/>
                <w:lang w:val="zh-CN"/>
              </w:rPr>
            </w:pPr>
            <w:r>
              <w:rPr>
                <w:rFonts w:hint="eastAsia" w:ascii="宋体" w:hAnsi="宋体" w:eastAsia="宋体" w:cs="宋体"/>
                <w:color w:val="auto"/>
                <w:lang w:val="zh-CN"/>
              </w:rPr>
              <w:t>⑦评价结果</w:t>
            </w:r>
          </w:p>
          <w:p>
            <w:pPr>
              <w:adjustRightInd w:val="0"/>
              <w:snapToGrid w:val="0"/>
              <w:spacing w:line="360" w:lineRule="auto"/>
              <w:ind w:firstLine="480" w:firstLineChars="200"/>
              <w:rPr>
                <w:rFonts w:ascii="宋体" w:hAnsi="宋体" w:cs="宋体"/>
                <w:sz w:val="24"/>
              </w:rPr>
            </w:pPr>
            <w:r>
              <w:rPr>
                <w:rFonts w:hint="eastAsia" w:ascii="宋体" w:hAnsi="宋体" w:cs="宋体"/>
                <w:sz w:val="24"/>
              </w:rPr>
              <w:t>根据现状监测结果及评价标准得到的评价结果详见表3-9。</w:t>
            </w:r>
          </w:p>
          <w:p>
            <w:pPr>
              <w:jc w:val="center"/>
              <w:rPr>
                <w:b/>
                <w:sz w:val="24"/>
              </w:rPr>
            </w:pPr>
            <w:r>
              <w:rPr>
                <w:rFonts w:hint="eastAsia"/>
                <w:b/>
                <w:sz w:val="24"/>
              </w:rPr>
              <w:t>表3-9  本项目土壤评价结果一览表</w:t>
            </w:r>
          </w:p>
          <w:tbl>
            <w:tblPr>
              <w:tblW w:w="8512" w:type="dxa"/>
              <w:jc w:val="center"/>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Layout w:type="fixed"/>
              <w:tblCellMar>
                <w:left w:w="108" w:type="dxa"/>
                <w:right w:w="108" w:type="dxa"/>
              </w:tblCellMar>
            </w:tblPr>
            <w:tblGrid>
              <w:gridCol w:w="3864"/>
              <w:gridCol w:w="4648"/>
            </w:tblGrid>
            <w:tr>
              <w:trPr>
                <w:trHeight w:val="232" w:hRule="atLeast"/>
                <w:jc w:val="center"/>
              </w:trPr>
              <w:tc>
                <w:tcPr>
                  <w:tcW w:w="3864" w:type="dxa"/>
                  <w:vAlign w:val="center"/>
                </w:tcPr>
                <w:p>
                  <w:pPr>
                    <w:tabs>
                      <w:tab w:val="left" w:pos="3248"/>
                    </w:tabs>
                    <w:jc w:val="center"/>
                    <w:rPr>
                      <w:rFonts w:ascii="宋体" w:hAnsi="宋体" w:cs="宋体"/>
                      <w:szCs w:val="21"/>
                    </w:rPr>
                  </w:pPr>
                  <w:r>
                    <w:rPr>
                      <w:rFonts w:hint="eastAsia" w:ascii="宋体" w:hAnsi="宋体" w:cs="宋体"/>
                      <w:szCs w:val="21"/>
                    </w:rPr>
                    <w:t>检测项目</w:t>
                  </w:r>
                </w:p>
              </w:tc>
              <w:tc>
                <w:tcPr>
                  <w:tcW w:w="4648" w:type="dxa"/>
                  <w:vAlign w:val="center"/>
                </w:tcPr>
                <w:p>
                  <w:pPr>
                    <w:tabs>
                      <w:tab w:val="left" w:pos="3248"/>
                    </w:tabs>
                    <w:jc w:val="center"/>
                    <w:rPr>
                      <w:rFonts w:ascii="宋体" w:hAnsi="宋体" w:cs="宋体"/>
                      <w:szCs w:val="21"/>
                    </w:rPr>
                  </w:pPr>
                  <w:r>
                    <w:rPr>
                      <w:rFonts w:hint="eastAsia" w:ascii="宋体" w:hAnsi="宋体" w:cs="宋体"/>
                      <w:szCs w:val="21"/>
                    </w:rPr>
                    <w:t>评价结果</w:t>
                  </w:r>
                </w:p>
              </w:tc>
            </w:tr>
            <w:tr>
              <w:trPr>
                <w:trHeight w:val="414" w:hRule="atLeast"/>
                <w:jc w:val="center"/>
              </w:trPr>
              <w:tc>
                <w:tcPr>
                  <w:tcW w:w="3864" w:type="dxa"/>
                  <w:vAlign w:val="center"/>
                </w:tcPr>
                <w:p>
                  <w:pPr>
                    <w:jc w:val="center"/>
                    <w:rPr>
                      <w:rFonts w:ascii="宋体" w:hAnsi="宋体" w:cs="宋体"/>
                      <w:szCs w:val="21"/>
                    </w:rPr>
                  </w:pPr>
                  <w:r>
                    <w:rPr>
                      <w:rFonts w:hint="eastAsia" w:ascii="宋体" w:hAnsi="宋体" w:cs="宋体"/>
                      <w:bCs/>
                      <w:szCs w:val="21"/>
                    </w:rPr>
                    <w:t>总砷（mg/kg）</w:t>
                  </w:r>
                </w:p>
              </w:tc>
              <w:tc>
                <w:tcPr>
                  <w:tcW w:w="4648" w:type="dxa"/>
                  <w:vAlign w:val="center"/>
                </w:tcPr>
                <w:p>
                  <w:pPr>
                    <w:widowControl/>
                    <w:jc w:val="center"/>
                    <w:textAlignment w:val="center"/>
                    <w:rPr>
                      <w:rFonts w:ascii="宋体" w:hAnsi="宋体" w:cs="宋体"/>
                      <w:color w:val="000000"/>
                      <w:szCs w:val="21"/>
                    </w:rPr>
                  </w:pPr>
                  <w:r>
                    <w:rPr>
                      <w:rFonts w:hint="eastAsia" w:ascii="宋体" w:hAnsi="宋体" w:cs="宋体"/>
                      <w:color w:val="000000"/>
                      <w:szCs w:val="21"/>
                    </w:rPr>
                    <w:t>0.368</w:t>
                  </w:r>
                </w:p>
              </w:tc>
            </w:tr>
            <w:tr>
              <w:trPr>
                <w:trHeight w:val="283" w:hRule="atLeast"/>
                <w:jc w:val="center"/>
              </w:trPr>
              <w:tc>
                <w:tcPr>
                  <w:tcW w:w="3864" w:type="dxa"/>
                  <w:vAlign w:val="center"/>
                </w:tcPr>
                <w:p>
                  <w:pPr>
                    <w:jc w:val="center"/>
                    <w:rPr>
                      <w:rFonts w:ascii="宋体" w:hAnsi="宋体" w:cs="宋体"/>
                      <w:bCs/>
                      <w:szCs w:val="21"/>
                    </w:rPr>
                  </w:pPr>
                  <w:r>
                    <w:rPr>
                      <w:rFonts w:hint="eastAsia" w:ascii="宋体" w:hAnsi="宋体" w:cs="宋体"/>
                      <w:bCs/>
                      <w:szCs w:val="21"/>
                    </w:rPr>
                    <w:t>总汞（mg/kg）</w:t>
                  </w:r>
                </w:p>
              </w:tc>
              <w:tc>
                <w:tcPr>
                  <w:tcW w:w="4648" w:type="dxa"/>
                  <w:vAlign w:val="center"/>
                </w:tcPr>
                <w:p>
                  <w:pPr>
                    <w:widowControl/>
                    <w:jc w:val="center"/>
                    <w:textAlignment w:val="center"/>
                    <w:rPr>
                      <w:rFonts w:ascii="宋体" w:hAnsi="宋体" w:cs="宋体"/>
                      <w:color w:val="000000"/>
                      <w:kern w:val="0"/>
                      <w:szCs w:val="21"/>
                    </w:rPr>
                  </w:pPr>
                  <w:r>
                    <w:rPr>
                      <w:rFonts w:hint="eastAsia" w:ascii="宋体" w:hAnsi="宋体" w:cs="宋体"/>
                      <w:color w:val="000000"/>
                      <w:kern w:val="0"/>
                      <w:szCs w:val="21"/>
                    </w:rPr>
                    <w:t>0.012</w:t>
                  </w:r>
                </w:p>
              </w:tc>
            </w:tr>
            <w:tr>
              <w:trPr>
                <w:trHeight w:val="283" w:hRule="atLeast"/>
                <w:jc w:val="center"/>
              </w:trPr>
              <w:tc>
                <w:tcPr>
                  <w:tcW w:w="3864" w:type="dxa"/>
                  <w:vAlign w:val="center"/>
                </w:tcPr>
                <w:p>
                  <w:pPr>
                    <w:jc w:val="center"/>
                    <w:rPr>
                      <w:rFonts w:ascii="宋体" w:hAnsi="宋体" w:cs="宋体"/>
                      <w:szCs w:val="21"/>
                    </w:rPr>
                  </w:pPr>
                  <w:r>
                    <w:rPr>
                      <w:rFonts w:hint="eastAsia" w:ascii="宋体" w:hAnsi="宋体" w:cs="宋体"/>
                      <w:bCs/>
                      <w:szCs w:val="21"/>
                    </w:rPr>
                    <w:t>镉（mg/kg）</w:t>
                  </w:r>
                </w:p>
              </w:tc>
              <w:tc>
                <w:tcPr>
                  <w:tcW w:w="4648" w:type="dxa"/>
                  <w:vAlign w:val="center"/>
                </w:tcPr>
                <w:p>
                  <w:pPr>
                    <w:widowControl/>
                    <w:jc w:val="center"/>
                    <w:textAlignment w:val="center"/>
                    <w:rPr>
                      <w:rFonts w:ascii="宋体" w:hAnsi="宋体" w:cs="宋体"/>
                      <w:color w:val="000000"/>
                      <w:szCs w:val="21"/>
                    </w:rPr>
                  </w:pPr>
                  <w:r>
                    <w:rPr>
                      <w:rFonts w:hint="eastAsia" w:ascii="宋体" w:hAnsi="宋体" w:cs="宋体"/>
                      <w:color w:val="000000"/>
                      <w:szCs w:val="21"/>
                    </w:rPr>
                    <w:t>0.002</w:t>
                  </w:r>
                </w:p>
              </w:tc>
            </w:tr>
            <w:tr>
              <w:trPr>
                <w:trHeight w:val="283" w:hRule="atLeast"/>
                <w:jc w:val="center"/>
              </w:trPr>
              <w:tc>
                <w:tcPr>
                  <w:tcW w:w="3864" w:type="dxa"/>
                  <w:vAlign w:val="center"/>
                </w:tcPr>
                <w:p>
                  <w:pPr>
                    <w:jc w:val="center"/>
                    <w:rPr>
                      <w:rFonts w:ascii="宋体" w:hAnsi="宋体" w:cs="宋体"/>
                      <w:szCs w:val="21"/>
                    </w:rPr>
                  </w:pPr>
                  <w:r>
                    <w:rPr>
                      <w:rFonts w:hint="eastAsia" w:ascii="宋体" w:hAnsi="宋体" w:cs="宋体"/>
                      <w:bCs/>
                      <w:szCs w:val="21"/>
                    </w:rPr>
                    <w:t>铜（mg/kg）</w:t>
                  </w:r>
                </w:p>
              </w:tc>
              <w:tc>
                <w:tcPr>
                  <w:tcW w:w="4648" w:type="dxa"/>
                  <w:vAlign w:val="center"/>
                </w:tcPr>
                <w:p>
                  <w:pPr>
                    <w:widowControl/>
                    <w:jc w:val="center"/>
                    <w:textAlignment w:val="center"/>
                    <w:rPr>
                      <w:rFonts w:ascii="宋体" w:hAnsi="宋体" w:cs="宋体"/>
                      <w:color w:val="000000"/>
                      <w:szCs w:val="21"/>
                    </w:rPr>
                  </w:pPr>
                  <w:r>
                    <w:rPr>
                      <w:rFonts w:hint="eastAsia" w:ascii="宋体" w:hAnsi="宋体" w:cs="宋体"/>
                      <w:color w:val="000000"/>
                      <w:szCs w:val="21"/>
                    </w:rPr>
                    <w:t>0.002</w:t>
                  </w:r>
                </w:p>
              </w:tc>
            </w:tr>
            <w:tr>
              <w:trPr>
                <w:trHeight w:val="283" w:hRule="atLeast"/>
                <w:jc w:val="center"/>
              </w:trPr>
              <w:tc>
                <w:tcPr>
                  <w:tcW w:w="3864" w:type="dxa"/>
                  <w:vAlign w:val="center"/>
                </w:tcPr>
                <w:p>
                  <w:pPr>
                    <w:jc w:val="center"/>
                    <w:rPr>
                      <w:rFonts w:ascii="宋体" w:hAnsi="宋体" w:cs="宋体"/>
                      <w:szCs w:val="21"/>
                    </w:rPr>
                  </w:pPr>
                  <w:r>
                    <w:rPr>
                      <w:rFonts w:hint="eastAsia" w:ascii="宋体" w:hAnsi="宋体" w:cs="宋体"/>
                      <w:bCs/>
                      <w:szCs w:val="21"/>
                    </w:rPr>
                    <w:t>铅（mg/kg）</w:t>
                  </w:r>
                </w:p>
              </w:tc>
              <w:tc>
                <w:tcPr>
                  <w:tcW w:w="4648" w:type="dxa"/>
                  <w:vAlign w:val="center"/>
                </w:tcPr>
                <w:p>
                  <w:pPr>
                    <w:widowControl/>
                    <w:jc w:val="center"/>
                    <w:textAlignment w:val="center"/>
                    <w:rPr>
                      <w:rFonts w:ascii="宋体" w:hAnsi="宋体" w:cs="宋体"/>
                      <w:color w:val="000000"/>
                      <w:szCs w:val="21"/>
                    </w:rPr>
                  </w:pPr>
                  <w:r>
                    <w:rPr>
                      <w:rFonts w:hint="eastAsia" w:ascii="宋体" w:hAnsi="宋体" w:cs="宋体"/>
                      <w:color w:val="000000"/>
                      <w:szCs w:val="21"/>
                    </w:rPr>
                    <w:t>0.048</w:t>
                  </w:r>
                </w:p>
              </w:tc>
            </w:tr>
            <w:tr>
              <w:trPr>
                <w:trHeight w:val="283" w:hRule="atLeast"/>
                <w:jc w:val="center"/>
              </w:trPr>
              <w:tc>
                <w:tcPr>
                  <w:tcW w:w="3864" w:type="dxa"/>
                  <w:vAlign w:val="center"/>
                </w:tcPr>
                <w:p>
                  <w:pPr>
                    <w:jc w:val="center"/>
                    <w:rPr>
                      <w:rFonts w:ascii="宋体" w:hAnsi="宋体" w:cs="宋体"/>
                      <w:szCs w:val="21"/>
                    </w:rPr>
                  </w:pPr>
                  <w:r>
                    <w:rPr>
                      <w:rFonts w:hint="eastAsia" w:ascii="宋体" w:hAnsi="宋体" w:cs="宋体"/>
                      <w:bCs/>
                      <w:szCs w:val="21"/>
                    </w:rPr>
                    <w:t>镍（mg/kg）</w:t>
                  </w:r>
                </w:p>
              </w:tc>
              <w:tc>
                <w:tcPr>
                  <w:tcW w:w="4648" w:type="dxa"/>
                  <w:vAlign w:val="center"/>
                </w:tcPr>
                <w:p>
                  <w:pPr>
                    <w:widowControl/>
                    <w:jc w:val="center"/>
                    <w:textAlignment w:val="center"/>
                    <w:rPr>
                      <w:rFonts w:ascii="宋体" w:hAnsi="宋体" w:cs="宋体"/>
                      <w:szCs w:val="21"/>
                    </w:rPr>
                  </w:pPr>
                  <w:r>
                    <w:rPr>
                      <w:rFonts w:hint="eastAsia" w:ascii="宋体" w:hAnsi="宋体" w:cs="宋体"/>
                      <w:szCs w:val="21"/>
                    </w:rPr>
                    <w:t>0.036</w:t>
                  </w:r>
                </w:p>
              </w:tc>
            </w:tr>
          </w:tbl>
          <w:p>
            <w:pPr>
              <w:pStyle w:val="26"/>
              <w:adjustRightInd w:val="0"/>
              <w:snapToGrid w:val="0"/>
              <w:spacing w:before="0" w:after="0" w:line="360" w:lineRule="auto"/>
              <w:ind w:firstLine="360"/>
              <w:rPr>
                <w:rFonts w:eastAsia="宋体"/>
                <w:b w:val="0"/>
                <w:color w:val="auto"/>
                <w:sz w:val="18"/>
                <w:szCs w:val="18"/>
              </w:rPr>
            </w:pPr>
            <w:r>
              <w:rPr>
                <w:rFonts w:hint="eastAsia" w:eastAsia="宋体"/>
                <w:b w:val="0"/>
                <w:color w:val="auto"/>
                <w:sz w:val="18"/>
                <w:szCs w:val="18"/>
              </w:rPr>
              <w:t>注：其他均未检出。</w:t>
            </w:r>
          </w:p>
          <w:p>
            <w:pPr>
              <w:pStyle w:val="26"/>
              <w:adjustRightInd w:val="0"/>
              <w:snapToGrid w:val="0"/>
              <w:spacing w:before="0" w:after="0" w:line="360" w:lineRule="auto"/>
              <w:ind w:firstLine="480"/>
              <w:rPr>
                <w:rFonts w:eastAsia="宋体"/>
                <w:b w:val="0"/>
                <w:color w:val="auto"/>
                <w:sz w:val="24"/>
                <w:szCs w:val="24"/>
              </w:rPr>
            </w:pPr>
            <w:r>
              <w:rPr>
                <w:rFonts w:hint="eastAsia" w:eastAsia="宋体"/>
                <w:b w:val="0"/>
                <w:color w:val="auto"/>
                <w:sz w:val="24"/>
                <w:szCs w:val="24"/>
              </w:rPr>
              <w:t>由上表可知，背景土壤表层样点各污染物标准指数均小于1，能够满足《土壤环境质量  建设用地土壤污染风险管控标准（试行）》（GB36600-2018）第二类用地筛选标准限值要求，区域土壤环境质量较好。</w:t>
            </w:r>
          </w:p>
          <w:p>
            <w:pPr>
              <w:pStyle w:val="26"/>
              <w:adjustRightInd w:val="0"/>
              <w:snapToGrid w:val="0"/>
              <w:spacing w:before="0" w:after="0" w:line="360" w:lineRule="auto"/>
              <w:ind w:firstLine="480"/>
              <w:rPr>
                <w:rFonts w:eastAsia="宋体"/>
                <w:b w:val="0"/>
                <w:color w:val="auto"/>
                <w:sz w:val="24"/>
                <w:szCs w:val="24"/>
              </w:rPr>
            </w:pPr>
          </w:p>
          <w:p>
            <w:pPr>
              <w:pStyle w:val="26"/>
              <w:adjustRightInd w:val="0"/>
              <w:snapToGrid w:val="0"/>
              <w:spacing w:before="0" w:after="0" w:line="360" w:lineRule="auto"/>
              <w:ind w:firstLine="480"/>
              <w:rPr>
                <w:rFonts w:eastAsia="宋体"/>
                <w:b w:val="0"/>
                <w:color w:val="auto"/>
                <w:sz w:val="24"/>
                <w:szCs w:val="24"/>
              </w:rPr>
            </w:pPr>
          </w:p>
          <w:p>
            <w:pPr>
              <w:pStyle w:val="26"/>
              <w:adjustRightInd w:val="0"/>
              <w:snapToGrid w:val="0"/>
              <w:spacing w:before="0" w:after="0" w:line="360" w:lineRule="auto"/>
              <w:ind w:firstLine="480"/>
              <w:rPr>
                <w:rFonts w:eastAsia="宋体"/>
                <w:b w:val="0"/>
                <w:color w:val="auto"/>
                <w:sz w:val="24"/>
                <w:szCs w:val="24"/>
              </w:rPr>
            </w:pPr>
          </w:p>
          <w:p>
            <w:pPr>
              <w:pStyle w:val="26"/>
              <w:adjustRightInd w:val="0"/>
              <w:snapToGrid w:val="0"/>
              <w:spacing w:before="0" w:after="0" w:line="360" w:lineRule="auto"/>
              <w:ind w:firstLine="480"/>
              <w:rPr>
                <w:rFonts w:eastAsia="宋体"/>
                <w:b w:val="0"/>
                <w:color w:val="auto"/>
                <w:sz w:val="24"/>
                <w:szCs w:val="24"/>
              </w:rPr>
            </w:pPr>
          </w:p>
          <w:p>
            <w:pPr>
              <w:pStyle w:val="26"/>
              <w:adjustRightInd w:val="0"/>
              <w:snapToGrid w:val="0"/>
              <w:spacing w:before="0" w:after="0" w:line="360" w:lineRule="auto"/>
              <w:ind w:firstLine="480"/>
              <w:rPr>
                <w:rFonts w:eastAsia="宋体"/>
                <w:b w:val="0"/>
                <w:color w:val="auto"/>
                <w:sz w:val="24"/>
                <w:szCs w:val="24"/>
              </w:rPr>
            </w:pPr>
          </w:p>
        </w:tc>
      </w:tr>
      <w:tr>
        <w:trPr>
          <w:trHeight w:val="23" w:hRule="atLeast"/>
          <w:jc w:val="center"/>
        </w:trPr>
        <w:tc>
          <w:tcPr>
            <w:tcW w:w="447" w:type="dxa"/>
            <w:vAlign w:val="center"/>
          </w:tcPr>
          <w:p>
            <w:pPr>
              <w:spacing w:line="360" w:lineRule="auto"/>
              <w:jc w:val="center"/>
              <w:rPr>
                <w:rFonts w:ascii="宋体" w:hAnsi="宋体" w:cs="宋体"/>
                <w:kern w:val="0"/>
                <w:sz w:val="24"/>
              </w:rPr>
            </w:pPr>
            <w:r>
              <w:rPr>
                <w:rFonts w:hint="eastAsia" w:ascii="宋体" w:hAnsi="宋体" w:cs="宋体"/>
                <w:kern w:val="0"/>
                <w:sz w:val="24"/>
              </w:rPr>
              <w:t>环境</w:t>
            </w:r>
          </w:p>
          <w:p>
            <w:pPr>
              <w:spacing w:line="360" w:lineRule="auto"/>
              <w:jc w:val="center"/>
              <w:rPr>
                <w:rFonts w:ascii="宋体" w:hAnsi="宋体" w:cs="宋体"/>
                <w:kern w:val="0"/>
                <w:sz w:val="24"/>
              </w:rPr>
            </w:pPr>
            <w:r>
              <w:rPr>
                <w:rFonts w:hint="eastAsia" w:ascii="宋体" w:hAnsi="宋体" w:cs="宋体"/>
                <w:kern w:val="0"/>
                <w:sz w:val="24"/>
              </w:rPr>
              <w:t>保护</w:t>
            </w:r>
          </w:p>
          <w:p>
            <w:pPr>
              <w:spacing w:line="360" w:lineRule="auto"/>
              <w:jc w:val="center"/>
              <w:rPr>
                <w:rFonts w:ascii="宋体" w:hAnsi="宋体" w:cs="宋体"/>
                <w:kern w:val="0"/>
                <w:sz w:val="24"/>
              </w:rPr>
            </w:pPr>
            <w:r>
              <w:rPr>
                <w:rFonts w:hint="eastAsia" w:ascii="宋体" w:hAnsi="宋体" w:cs="宋体"/>
                <w:kern w:val="0"/>
                <w:sz w:val="24"/>
              </w:rPr>
              <w:t>目标</w:t>
            </w:r>
          </w:p>
        </w:tc>
        <w:tc>
          <w:tcPr>
            <w:tcW w:w="8606" w:type="dxa"/>
            <w:vAlign w:val="top"/>
          </w:tcPr>
          <w:p>
            <w:pPr>
              <w:pStyle w:val="26"/>
              <w:adjustRightInd w:val="0"/>
              <w:snapToGrid w:val="0"/>
              <w:spacing w:before="0" w:after="0" w:line="360" w:lineRule="auto"/>
              <w:ind w:firstLine="480"/>
              <w:rPr>
                <w:rFonts w:eastAsia="宋体"/>
                <w:b w:val="0"/>
                <w:bCs/>
                <w:i/>
                <w:iCs/>
                <w:color w:val="auto"/>
                <w:kern w:val="0"/>
                <w:sz w:val="24"/>
                <w:szCs w:val="24"/>
                <w:u w:val="single"/>
              </w:rPr>
            </w:pPr>
            <w:r>
              <w:rPr>
                <w:rFonts w:hint="eastAsia" w:eastAsia="宋体"/>
                <w:b w:val="0"/>
                <w:bCs/>
                <w:i/>
                <w:iCs/>
                <w:color w:val="auto"/>
                <w:kern w:val="0"/>
                <w:sz w:val="24"/>
                <w:szCs w:val="24"/>
                <w:u w:val="single"/>
              </w:rPr>
              <w:t>1、大气环境</w:t>
            </w:r>
          </w:p>
          <w:p>
            <w:pPr>
              <w:pStyle w:val="26"/>
              <w:adjustRightInd w:val="0"/>
              <w:snapToGrid w:val="0"/>
              <w:spacing w:before="0" w:after="0" w:line="360" w:lineRule="auto"/>
              <w:ind w:firstLine="480"/>
              <w:rPr>
                <w:rFonts w:eastAsia="宋体"/>
                <w:b w:val="0"/>
                <w:bCs/>
                <w:i/>
                <w:iCs/>
                <w:color w:val="auto"/>
                <w:kern w:val="0"/>
                <w:sz w:val="24"/>
                <w:szCs w:val="24"/>
                <w:u w:val="single"/>
              </w:rPr>
            </w:pPr>
            <w:r>
              <w:rPr>
                <w:rFonts w:hint="eastAsia" w:eastAsia="宋体"/>
                <w:b w:val="0"/>
                <w:bCs/>
                <w:i/>
                <w:iCs/>
                <w:color w:val="auto"/>
                <w:kern w:val="0"/>
                <w:sz w:val="24"/>
                <w:szCs w:val="24"/>
                <w:u w:val="single"/>
              </w:rPr>
              <w:t>本项目厂界外500m范围内大气环境保护目标为村庄及住宅小区，详见表3-10及附图3</w:t>
            </w:r>
            <w:r>
              <w:rPr>
                <w:rFonts w:hint="eastAsia" w:eastAsia="宋体"/>
                <w:b w:val="0"/>
                <w:i/>
                <w:iCs/>
                <w:color w:val="auto"/>
                <w:sz w:val="24"/>
                <w:szCs w:val="24"/>
                <w:u w:val="single"/>
              </w:rPr>
              <w:t>。</w:t>
            </w:r>
          </w:p>
          <w:p>
            <w:pPr>
              <w:pStyle w:val="26"/>
              <w:adjustRightInd w:val="0"/>
              <w:snapToGrid w:val="0"/>
              <w:spacing w:before="0" w:after="0" w:line="360" w:lineRule="auto"/>
              <w:ind w:firstLine="480"/>
              <w:rPr>
                <w:rFonts w:eastAsia="宋体"/>
                <w:b w:val="0"/>
                <w:bCs/>
                <w:i/>
                <w:iCs/>
                <w:color w:val="auto"/>
                <w:kern w:val="0"/>
                <w:sz w:val="24"/>
                <w:szCs w:val="24"/>
                <w:u w:val="single"/>
              </w:rPr>
            </w:pPr>
            <w:r>
              <w:rPr>
                <w:rFonts w:hint="eastAsia" w:eastAsia="宋体"/>
                <w:b w:val="0"/>
                <w:bCs/>
                <w:i/>
                <w:iCs/>
                <w:color w:val="auto"/>
                <w:kern w:val="0"/>
                <w:sz w:val="24"/>
                <w:szCs w:val="24"/>
                <w:u w:val="single"/>
              </w:rPr>
              <w:t>2、声环境</w:t>
            </w:r>
          </w:p>
          <w:p>
            <w:pPr>
              <w:pStyle w:val="26"/>
              <w:adjustRightInd w:val="0"/>
              <w:snapToGrid w:val="0"/>
              <w:spacing w:before="0" w:after="0" w:line="360" w:lineRule="auto"/>
              <w:ind w:firstLine="480"/>
              <w:rPr>
                <w:rFonts w:eastAsia="宋体"/>
                <w:b w:val="0"/>
                <w:bCs/>
                <w:i/>
                <w:iCs/>
                <w:color w:val="auto"/>
                <w:kern w:val="0"/>
                <w:sz w:val="24"/>
                <w:szCs w:val="24"/>
                <w:u w:val="single"/>
              </w:rPr>
            </w:pPr>
            <w:r>
              <w:rPr>
                <w:rFonts w:hint="eastAsia" w:eastAsia="宋体"/>
                <w:b w:val="0"/>
                <w:bCs/>
                <w:i/>
                <w:iCs/>
                <w:color w:val="auto"/>
                <w:kern w:val="0"/>
                <w:sz w:val="24"/>
                <w:szCs w:val="24"/>
                <w:u w:val="single"/>
              </w:rPr>
              <w:t>本项目厂界外50m范围内无声环境保护目标。</w:t>
            </w:r>
          </w:p>
          <w:p>
            <w:pPr>
              <w:pStyle w:val="26"/>
              <w:adjustRightInd w:val="0"/>
              <w:snapToGrid w:val="0"/>
              <w:spacing w:before="0" w:after="0" w:line="360" w:lineRule="auto"/>
              <w:ind w:firstLine="480"/>
              <w:rPr>
                <w:rFonts w:eastAsia="宋体"/>
                <w:b w:val="0"/>
                <w:bCs/>
                <w:i/>
                <w:iCs/>
                <w:color w:val="auto"/>
                <w:kern w:val="0"/>
                <w:sz w:val="24"/>
                <w:szCs w:val="24"/>
                <w:u w:val="single"/>
              </w:rPr>
            </w:pPr>
            <w:r>
              <w:rPr>
                <w:rFonts w:hint="eastAsia" w:eastAsia="宋体"/>
                <w:b w:val="0"/>
                <w:bCs/>
                <w:i/>
                <w:iCs/>
                <w:color w:val="auto"/>
                <w:kern w:val="0"/>
                <w:sz w:val="24"/>
                <w:szCs w:val="24"/>
                <w:u w:val="single"/>
              </w:rPr>
              <w:t>3、地下水环境</w:t>
            </w:r>
          </w:p>
          <w:p>
            <w:pPr>
              <w:pStyle w:val="26"/>
              <w:adjustRightInd w:val="0"/>
              <w:snapToGrid w:val="0"/>
              <w:spacing w:before="0" w:after="0" w:line="360" w:lineRule="auto"/>
              <w:ind w:firstLine="480"/>
              <w:rPr>
                <w:rFonts w:eastAsia="宋体"/>
                <w:b w:val="0"/>
                <w:bCs/>
                <w:i/>
                <w:iCs/>
                <w:color w:val="auto"/>
                <w:kern w:val="0"/>
                <w:sz w:val="24"/>
                <w:szCs w:val="24"/>
                <w:u w:val="single"/>
              </w:rPr>
            </w:pPr>
            <w:r>
              <w:rPr>
                <w:rFonts w:hint="eastAsia" w:eastAsia="宋体"/>
                <w:b w:val="0"/>
                <w:bCs/>
                <w:i/>
                <w:iCs/>
                <w:color w:val="auto"/>
                <w:kern w:val="0"/>
                <w:sz w:val="24"/>
                <w:szCs w:val="24"/>
                <w:u w:val="single"/>
              </w:rPr>
              <w:t>项目周边500m范围内无地下水集中式饮用水水源和热水、矿泉水、温泉等特殊地下水资源。</w:t>
            </w:r>
          </w:p>
          <w:p>
            <w:pPr>
              <w:pStyle w:val="26"/>
              <w:adjustRightInd w:val="0"/>
              <w:snapToGrid w:val="0"/>
              <w:spacing w:before="0" w:after="0" w:line="360" w:lineRule="auto"/>
              <w:ind w:firstLine="480"/>
              <w:rPr>
                <w:rFonts w:eastAsia="宋体"/>
                <w:b w:val="0"/>
                <w:bCs/>
                <w:i/>
                <w:iCs/>
                <w:color w:val="auto"/>
                <w:kern w:val="0"/>
                <w:sz w:val="24"/>
                <w:szCs w:val="24"/>
                <w:u w:val="single"/>
              </w:rPr>
            </w:pPr>
            <w:r>
              <w:rPr>
                <w:rFonts w:hint="eastAsia" w:eastAsia="宋体"/>
                <w:b w:val="0"/>
                <w:bCs/>
                <w:i/>
                <w:iCs/>
                <w:color w:val="auto"/>
                <w:kern w:val="0"/>
                <w:sz w:val="24"/>
                <w:szCs w:val="24"/>
                <w:u w:val="single"/>
              </w:rPr>
              <w:t>4、生态环境</w:t>
            </w:r>
          </w:p>
          <w:p>
            <w:pPr>
              <w:pStyle w:val="10"/>
              <w:spacing w:line="360" w:lineRule="auto"/>
              <w:ind w:firstLine="240" w:firstLineChars="100"/>
              <w:rPr>
                <w:rFonts w:hAnsi="宋体" w:cs="宋体"/>
                <w:i/>
                <w:iCs/>
                <w:u w:val="single"/>
              </w:rPr>
            </w:pPr>
            <w:r>
              <w:rPr>
                <w:rFonts w:hint="eastAsia" w:hAnsi="宋体" w:cs="宋体"/>
                <w:bCs/>
                <w:i/>
                <w:iCs/>
                <w:kern w:val="0"/>
                <w:sz w:val="24"/>
                <w:szCs w:val="24"/>
                <w:u w:val="single"/>
              </w:rPr>
              <w:t>本项目不新增用地，占地范围内无生态环境保护目标。</w:t>
            </w:r>
          </w:p>
          <w:p>
            <w:pPr>
              <w:jc w:val="center"/>
              <w:rPr>
                <w:rFonts w:ascii="宋体" w:hAnsi="宋体" w:cs="宋体"/>
                <w:b/>
                <w:bCs/>
                <w:i/>
                <w:iCs/>
                <w:szCs w:val="21"/>
                <w:u w:val="single"/>
              </w:rPr>
            </w:pPr>
          </w:p>
          <w:p>
            <w:pPr>
              <w:jc w:val="center"/>
              <w:rPr>
                <w:b/>
                <w:i/>
                <w:iCs/>
                <w:sz w:val="24"/>
                <w:u w:val="single"/>
              </w:rPr>
            </w:pPr>
            <w:r>
              <w:rPr>
                <w:rFonts w:hint="eastAsia"/>
                <w:b/>
                <w:i/>
                <w:iCs/>
                <w:sz w:val="24"/>
                <w:u w:val="single"/>
              </w:rPr>
              <w:t>表3-10  环境保护目标一览表</w:t>
            </w:r>
          </w:p>
          <w:tbl>
            <w:tblPr>
              <w:tblW w:w="8368"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left w:w="108" w:type="dxa"/>
                <w:right w:w="108" w:type="dxa"/>
              </w:tblCellMar>
            </w:tblPr>
            <w:tblGrid>
              <w:gridCol w:w="1024"/>
              <w:gridCol w:w="2227"/>
              <w:gridCol w:w="1059"/>
              <w:gridCol w:w="1036"/>
              <w:gridCol w:w="1506"/>
              <w:gridCol w:w="1516"/>
            </w:tblGrid>
            <w:tr>
              <w:trPr>
                <w:trHeight w:val="23" w:hRule="atLeast"/>
                <w:jc w:val="center"/>
              </w:trPr>
              <w:tc>
                <w:tcPr>
                  <w:tcW w:w="1024" w:type="dxa"/>
                  <w:vAlign w:val="center"/>
                </w:tcPr>
                <w:p>
                  <w:pPr>
                    <w:jc w:val="center"/>
                    <w:rPr>
                      <w:rFonts w:ascii="宋体" w:hAnsi="宋体" w:cs="宋体"/>
                      <w:b/>
                      <w:i/>
                      <w:iCs/>
                      <w:szCs w:val="21"/>
                      <w:u w:val="single"/>
                    </w:rPr>
                  </w:pPr>
                  <w:r>
                    <w:rPr>
                      <w:rFonts w:hint="eastAsia" w:ascii="宋体" w:hAnsi="宋体" w:cs="宋体"/>
                      <w:b/>
                      <w:i/>
                      <w:iCs/>
                      <w:szCs w:val="21"/>
                      <w:u w:val="single"/>
                    </w:rPr>
                    <w:t>类别</w:t>
                  </w:r>
                </w:p>
              </w:tc>
              <w:tc>
                <w:tcPr>
                  <w:tcW w:w="2227" w:type="dxa"/>
                  <w:vAlign w:val="center"/>
                </w:tcPr>
                <w:p>
                  <w:pPr>
                    <w:jc w:val="center"/>
                    <w:rPr>
                      <w:rFonts w:ascii="宋体" w:hAnsi="宋体" w:cs="宋体"/>
                      <w:b/>
                      <w:i/>
                      <w:iCs/>
                      <w:szCs w:val="21"/>
                      <w:u w:val="single"/>
                    </w:rPr>
                  </w:pPr>
                  <w:r>
                    <w:rPr>
                      <w:rFonts w:hint="eastAsia" w:ascii="宋体" w:hAnsi="宋体" w:cs="宋体"/>
                      <w:b/>
                      <w:i/>
                      <w:iCs/>
                      <w:szCs w:val="21"/>
                      <w:u w:val="single"/>
                    </w:rPr>
                    <w:t>名称</w:t>
                  </w:r>
                </w:p>
              </w:tc>
              <w:tc>
                <w:tcPr>
                  <w:tcW w:w="1059" w:type="dxa"/>
                  <w:vAlign w:val="center"/>
                </w:tcPr>
                <w:p>
                  <w:pPr>
                    <w:jc w:val="center"/>
                    <w:rPr>
                      <w:rFonts w:ascii="宋体" w:hAnsi="宋体" w:cs="宋体"/>
                      <w:b/>
                      <w:i/>
                      <w:iCs/>
                      <w:szCs w:val="21"/>
                      <w:u w:val="single"/>
                    </w:rPr>
                  </w:pPr>
                  <w:r>
                    <w:rPr>
                      <w:rFonts w:hint="eastAsia" w:ascii="宋体" w:hAnsi="宋体" w:cs="宋体"/>
                      <w:b/>
                      <w:i/>
                      <w:iCs/>
                      <w:szCs w:val="21"/>
                      <w:u w:val="single"/>
                    </w:rPr>
                    <w:t>保护对象</w:t>
                  </w:r>
                </w:p>
              </w:tc>
              <w:tc>
                <w:tcPr>
                  <w:tcW w:w="1036" w:type="dxa"/>
                  <w:vAlign w:val="center"/>
                </w:tcPr>
                <w:p>
                  <w:pPr>
                    <w:jc w:val="center"/>
                    <w:rPr>
                      <w:rFonts w:ascii="宋体" w:hAnsi="宋体" w:cs="宋体"/>
                      <w:b/>
                      <w:i/>
                      <w:iCs/>
                      <w:szCs w:val="21"/>
                      <w:u w:val="single"/>
                    </w:rPr>
                  </w:pPr>
                  <w:r>
                    <w:rPr>
                      <w:rFonts w:hint="eastAsia" w:ascii="宋体" w:hAnsi="宋体" w:cs="宋体"/>
                      <w:b/>
                      <w:i/>
                      <w:iCs/>
                      <w:szCs w:val="21"/>
                      <w:u w:val="single"/>
                    </w:rPr>
                    <w:t>环境功能区</w:t>
                  </w:r>
                </w:p>
              </w:tc>
              <w:tc>
                <w:tcPr>
                  <w:tcW w:w="1506" w:type="dxa"/>
                  <w:vAlign w:val="center"/>
                </w:tcPr>
                <w:p>
                  <w:pPr>
                    <w:jc w:val="center"/>
                    <w:rPr>
                      <w:rFonts w:ascii="宋体" w:hAnsi="宋体" w:cs="宋体"/>
                      <w:b/>
                      <w:i/>
                      <w:iCs/>
                      <w:szCs w:val="21"/>
                      <w:u w:val="single"/>
                    </w:rPr>
                  </w:pPr>
                  <w:r>
                    <w:rPr>
                      <w:rFonts w:hint="eastAsia" w:ascii="宋体" w:hAnsi="宋体" w:cs="宋体"/>
                      <w:b/>
                      <w:i/>
                      <w:iCs/>
                      <w:szCs w:val="21"/>
                      <w:u w:val="single"/>
                    </w:rPr>
                    <w:t>相对厂址方位</w:t>
                  </w:r>
                </w:p>
              </w:tc>
              <w:tc>
                <w:tcPr>
                  <w:tcW w:w="1516" w:type="dxa"/>
                  <w:vAlign w:val="center"/>
                </w:tcPr>
                <w:p>
                  <w:pPr>
                    <w:jc w:val="center"/>
                    <w:rPr>
                      <w:rFonts w:ascii="宋体" w:hAnsi="宋体" w:cs="宋体"/>
                      <w:b/>
                      <w:i/>
                      <w:iCs/>
                      <w:szCs w:val="21"/>
                      <w:u w:val="single"/>
                    </w:rPr>
                  </w:pPr>
                  <w:r>
                    <w:rPr>
                      <w:rFonts w:hint="eastAsia" w:ascii="宋体" w:hAnsi="宋体" w:cs="宋体"/>
                      <w:b/>
                      <w:i/>
                      <w:iCs/>
                      <w:szCs w:val="21"/>
                      <w:u w:val="single"/>
                    </w:rPr>
                    <w:t>相对厂界距离</w:t>
                  </w:r>
                </w:p>
              </w:tc>
            </w:tr>
            <w:tr>
              <w:trPr>
                <w:trHeight w:val="824" w:hRule="atLeast"/>
                <w:jc w:val="center"/>
              </w:trPr>
              <w:tc>
                <w:tcPr>
                  <w:tcW w:w="1024" w:type="dxa"/>
                  <w:vAlign w:val="center"/>
                </w:tcPr>
                <w:p>
                  <w:pPr>
                    <w:jc w:val="center"/>
                    <w:rPr>
                      <w:rFonts w:ascii="宋体" w:hAnsi="宋体" w:cs="宋体"/>
                      <w:i/>
                      <w:iCs/>
                      <w:u w:val="single"/>
                    </w:rPr>
                  </w:pPr>
                  <w:r>
                    <w:rPr>
                      <w:rFonts w:hint="eastAsia" w:ascii="宋体" w:hAnsi="宋体" w:cs="宋体"/>
                      <w:bCs/>
                      <w:i/>
                      <w:iCs/>
                      <w:szCs w:val="21"/>
                      <w:u w:val="single"/>
                    </w:rPr>
                    <w:t>大气</w:t>
                  </w:r>
                </w:p>
                <w:p>
                  <w:pPr>
                    <w:jc w:val="center"/>
                    <w:rPr>
                      <w:rFonts w:ascii="宋体" w:hAnsi="宋体" w:cs="宋体"/>
                      <w:bCs/>
                      <w:i/>
                      <w:iCs/>
                      <w:szCs w:val="21"/>
                      <w:u w:val="single"/>
                    </w:rPr>
                  </w:pPr>
                  <w:r>
                    <w:rPr>
                      <w:rFonts w:hint="eastAsia" w:ascii="宋体" w:hAnsi="宋体" w:cs="宋体"/>
                      <w:bCs/>
                      <w:i/>
                      <w:iCs/>
                      <w:szCs w:val="21"/>
                      <w:u w:val="single"/>
                    </w:rPr>
                    <w:t>环境</w:t>
                  </w:r>
                </w:p>
              </w:tc>
              <w:tc>
                <w:tcPr>
                  <w:tcW w:w="2227" w:type="dxa"/>
                  <w:vAlign w:val="center"/>
                </w:tcPr>
                <w:p>
                  <w:pPr>
                    <w:jc w:val="center"/>
                    <w:rPr>
                      <w:rFonts w:ascii="宋体" w:hAnsi="宋体" w:cs="宋体"/>
                      <w:bCs/>
                      <w:i/>
                      <w:iCs/>
                      <w:szCs w:val="21"/>
                      <w:u w:val="single"/>
                    </w:rPr>
                  </w:pPr>
                  <w:r>
                    <w:rPr>
                      <w:rFonts w:hint="eastAsia" w:ascii="宋体" w:hAnsi="宋体" w:cs="宋体"/>
                      <w:bCs/>
                      <w:i/>
                      <w:iCs/>
                      <w:szCs w:val="21"/>
                      <w:u w:val="single"/>
                    </w:rPr>
                    <w:t>河北村</w:t>
                  </w:r>
                </w:p>
              </w:tc>
              <w:tc>
                <w:tcPr>
                  <w:tcW w:w="1059" w:type="dxa"/>
                  <w:vAlign w:val="center"/>
                </w:tcPr>
                <w:p>
                  <w:pPr>
                    <w:jc w:val="center"/>
                    <w:rPr>
                      <w:rFonts w:ascii="宋体" w:hAnsi="宋体" w:cs="宋体"/>
                      <w:bCs/>
                      <w:i/>
                      <w:iCs/>
                      <w:szCs w:val="21"/>
                      <w:u w:val="single"/>
                    </w:rPr>
                  </w:pPr>
                  <w:r>
                    <w:rPr>
                      <w:rFonts w:hint="eastAsia" w:ascii="宋体" w:hAnsi="宋体" w:cs="宋体"/>
                      <w:bCs/>
                      <w:i/>
                      <w:iCs/>
                      <w:szCs w:val="21"/>
                      <w:u w:val="single"/>
                    </w:rPr>
                    <w:t>居民/</w:t>
                  </w:r>
                </w:p>
                <w:p>
                  <w:pPr>
                    <w:jc w:val="center"/>
                    <w:rPr>
                      <w:rFonts w:ascii="宋体" w:hAnsi="宋体" w:cs="宋体"/>
                      <w:bCs/>
                      <w:i/>
                      <w:iCs/>
                      <w:szCs w:val="21"/>
                      <w:u w:val="single"/>
                    </w:rPr>
                  </w:pPr>
                  <w:r>
                    <w:rPr>
                      <w:rFonts w:hint="eastAsia" w:ascii="宋体" w:hAnsi="宋体" w:cs="宋体"/>
                      <w:bCs/>
                      <w:i/>
                      <w:iCs/>
                      <w:szCs w:val="21"/>
                      <w:u w:val="single"/>
                    </w:rPr>
                    <w:t>30人</w:t>
                  </w:r>
                </w:p>
              </w:tc>
              <w:tc>
                <w:tcPr>
                  <w:tcW w:w="1036" w:type="dxa"/>
                  <w:vAlign w:val="center"/>
                </w:tcPr>
                <w:p>
                  <w:pPr>
                    <w:jc w:val="center"/>
                    <w:rPr>
                      <w:rFonts w:ascii="宋体" w:hAnsi="宋体" w:cs="宋体"/>
                      <w:bCs/>
                      <w:i/>
                      <w:iCs/>
                      <w:szCs w:val="21"/>
                      <w:u w:val="single"/>
                    </w:rPr>
                  </w:pPr>
                  <w:r>
                    <w:rPr>
                      <w:rFonts w:hint="eastAsia" w:ascii="宋体" w:hAnsi="宋体" w:cs="宋体"/>
                      <w:bCs/>
                      <w:i/>
                      <w:iCs/>
                      <w:szCs w:val="21"/>
                      <w:u w:val="single"/>
                    </w:rPr>
                    <w:t>二类区</w:t>
                  </w:r>
                </w:p>
              </w:tc>
              <w:tc>
                <w:tcPr>
                  <w:tcW w:w="1506" w:type="dxa"/>
                  <w:vAlign w:val="center"/>
                </w:tcPr>
                <w:p>
                  <w:pPr>
                    <w:jc w:val="center"/>
                    <w:rPr>
                      <w:rFonts w:ascii="宋体" w:hAnsi="宋体" w:cs="宋体"/>
                      <w:bCs/>
                      <w:i/>
                      <w:iCs/>
                      <w:szCs w:val="21"/>
                      <w:u w:val="single"/>
                    </w:rPr>
                  </w:pPr>
                  <w:r>
                    <w:rPr>
                      <w:rFonts w:hint="eastAsia" w:ascii="宋体" w:hAnsi="宋体" w:cs="宋体"/>
                      <w:bCs/>
                      <w:i/>
                      <w:iCs/>
                      <w:szCs w:val="21"/>
                      <w:u w:val="single"/>
                    </w:rPr>
                    <w:t>东侧</w:t>
                  </w:r>
                </w:p>
              </w:tc>
              <w:tc>
                <w:tcPr>
                  <w:tcW w:w="1516" w:type="dxa"/>
                  <w:vAlign w:val="center"/>
                </w:tcPr>
                <w:p>
                  <w:pPr>
                    <w:jc w:val="center"/>
                    <w:rPr>
                      <w:rFonts w:ascii="宋体" w:hAnsi="宋体" w:cs="宋体"/>
                      <w:bCs/>
                      <w:i/>
                      <w:iCs/>
                      <w:szCs w:val="21"/>
                      <w:u w:val="single"/>
                    </w:rPr>
                  </w:pPr>
                  <w:r>
                    <w:rPr>
                      <w:rFonts w:hint="eastAsia" w:ascii="宋体" w:hAnsi="宋体" w:cs="宋体"/>
                      <w:bCs/>
                      <w:i/>
                      <w:iCs/>
                      <w:szCs w:val="21"/>
                      <w:u w:val="single"/>
                    </w:rPr>
                    <w:t>330m</w:t>
                  </w:r>
                </w:p>
              </w:tc>
            </w:tr>
            <w:tr>
              <w:trPr>
                <w:trHeight w:val="23" w:hRule="atLeast"/>
                <w:jc w:val="center"/>
              </w:trPr>
              <w:tc>
                <w:tcPr>
                  <w:tcW w:w="1024" w:type="dxa"/>
                  <w:vAlign w:val="center"/>
                </w:tcPr>
                <w:p>
                  <w:pPr>
                    <w:jc w:val="center"/>
                    <w:rPr>
                      <w:rFonts w:ascii="宋体" w:hAnsi="宋体" w:cs="宋体"/>
                      <w:bCs/>
                      <w:i/>
                      <w:iCs/>
                      <w:szCs w:val="21"/>
                      <w:u w:val="single"/>
                    </w:rPr>
                  </w:pPr>
                  <w:r>
                    <w:rPr>
                      <w:rFonts w:hint="eastAsia" w:ascii="宋体" w:hAnsi="宋体" w:cs="宋体"/>
                      <w:bCs/>
                      <w:i/>
                      <w:iCs/>
                      <w:szCs w:val="21"/>
                      <w:u w:val="single"/>
                    </w:rPr>
                    <w:t>地表水</w:t>
                  </w:r>
                </w:p>
              </w:tc>
              <w:tc>
                <w:tcPr>
                  <w:tcW w:w="2227" w:type="dxa"/>
                  <w:vAlign w:val="center"/>
                </w:tcPr>
                <w:p>
                  <w:pPr>
                    <w:jc w:val="center"/>
                    <w:rPr>
                      <w:rFonts w:ascii="宋体" w:hAnsi="宋体" w:cs="宋体"/>
                      <w:bCs/>
                      <w:i/>
                      <w:iCs/>
                      <w:szCs w:val="21"/>
                      <w:u w:val="single"/>
                    </w:rPr>
                  </w:pPr>
                  <w:r>
                    <w:rPr>
                      <w:rFonts w:hint="eastAsia" w:ascii="宋体" w:hAnsi="宋体" w:cs="宋体"/>
                      <w:bCs/>
                      <w:i/>
                      <w:iCs/>
                      <w:szCs w:val="21"/>
                      <w:u w:val="single"/>
                    </w:rPr>
                    <w:t>一统河</w:t>
                  </w:r>
                </w:p>
              </w:tc>
              <w:tc>
                <w:tcPr>
                  <w:tcW w:w="1059" w:type="dxa"/>
                  <w:vAlign w:val="center"/>
                </w:tcPr>
                <w:p>
                  <w:pPr>
                    <w:jc w:val="center"/>
                    <w:rPr>
                      <w:rFonts w:ascii="宋体" w:hAnsi="宋体" w:cs="宋体"/>
                      <w:bCs/>
                      <w:i/>
                      <w:iCs/>
                      <w:szCs w:val="21"/>
                      <w:u w:val="single"/>
                    </w:rPr>
                  </w:pPr>
                  <w:r>
                    <w:rPr>
                      <w:rFonts w:hint="eastAsia" w:ascii="宋体" w:hAnsi="宋体" w:cs="宋体"/>
                      <w:bCs/>
                      <w:i/>
                      <w:iCs/>
                      <w:szCs w:val="21"/>
                      <w:u w:val="single"/>
                    </w:rPr>
                    <w:t>/</w:t>
                  </w:r>
                </w:p>
              </w:tc>
              <w:tc>
                <w:tcPr>
                  <w:tcW w:w="1036" w:type="dxa"/>
                  <w:vAlign w:val="center"/>
                </w:tcPr>
                <w:p>
                  <w:pPr>
                    <w:jc w:val="center"/>
                    <w:rPr>
                      <w:rFonts w:ascii="宋体" w:hAnsi="宋体" w:cs="宋体"/>
                      <w:bCs/>
                      <w:i/>
                      <w:iCs/>
                      <w:szCs w:val="21"/>
                      <w:u w:val="single"/>
                    </w:rPr>
                  </w:pPr>
                  <w:r>
                    <w:rPr>
                      <w:rFonts w:hint="eastAsia" w:ascii="宋体" w:hAnsi="宋体" w:cs="宋体"/>
                      <w:bCs/>
                      <w:i/>
                      <w:iCs/>
                      <w:szCs w:val="21"/>
                      <w:u w:val="single"/>
                    </w:rPr>
                    <w:t>V类</w:t>
                  </w:r>
                </w:p>
              </w:tc>
              <w:tc>
                <w:tcPr>
                  <w:tcW w:w="1506" w:type="dxa"/>
                  <w:vAlign w:val="center"/>
                </w:tcPr>
                <w:p>
                  <w:pPr>
                    <w:jc w:val="center"/>
                    <w:rPr>
                      <w:rFonts w:ascii="宋体" w:hAnsi="宋体" w:cs="宋体"/>
                      <w:bCs/>
                      <w:i/>
                      <w:iCs/>
                      <w:szCs w:val="21"/>
                      <w:u w:val="single"/>
                    </w:rPr>
                  </w:pPr>
                  <w:r>
                    <w:rPr>
                      <w:rFonts w:hint="eastAsia" w:ascii="宋体" w:hAnsi="宋体" w:cs="宋体"/>
                      <w:bCs/>
                      <w:i/>
                      <w:iCs/>
                      <w:szCs w:val="21"/>
                      <w:u w:val="single"/>
                    </w:rPr>
                    <w:t>东南侧</w:t>
                  </w:r>
                </w:p>
              </w:tc>
              <w:tc>
                <w:tcPr>
                  <w:tcW w:w="1516" w:type="dxa"/>
                  <w:vAlign w:val="center"/>
                </w:tcPr>
                <w:p>
                  <w:pPr>
                    <w:jc w:val="center"/>
                    <w:rPr>
                      <w:rFonts w:ascii="宋体" w:hAnsi="宋体" w:cs="宋体"/>
                      <w:bCs/>
                      <w:i/>
                      <w:iCs/>
                      <w:szCs w:val="21"/>
                      <w:u w:val="single"/>
                    </w:rPr>
                  </w:pPr>
                  <w:r>
                    <w:rPr>
                      <w:rFonts w:hint="eastAsia" w:ascii="宋体" w:hAnsi="宋体" w:cs="宋体"/>
                      <w:bCs/>
                      <w:i/>
                      <w:iCs/>
                      <w:szCs w:val="21"/>
                      <w:u w:val="single"/>
                    </w:rPr>
                    <w:t>900m</w:t>
                  </w:r>
                </w:p>
              </w:tc>
            </w:tr>
          </w:tbl>
          <w:p>
            <w:pPr>
              <w:spacing w:line="360" w:lineRule="auto"/>
              <w:ind w:firstLine="480" w:firstLineChars="200"/>
              <w:rPr>
                <w:rFonts w:ascii="宋体" w:hAnsi="宋体" w:cs="宋体"/>
                <w:kern w:val="0"/>
                <w:sz w:val="24"/>
              </w:rPr>
            </w:pPr>
          </w:p>
        </w:tc>
      </w:tr>
      <w:tr>
        <w:trPr>
          <w:trHeight w:val="23" w:hRule="atLeast"/>
          <w:jc w:val="center"/>
        </w:trPr>
        <w:tc>
          <w:tcPr>
            <w:tcW w:w="447" w:type="dxa"/>
            <w:tcMar>
              <w:left w:w="28" w:type="dxa"/>
              <w:right w:w="28" w:type="dxa"/>
            </w:tcMar>
            <w:vAlign w:val="center"/>
          </w:tcPr>
          <w:p>
            <w:pPr>
              <w:spacing w:line="360" w:lineRule="auto"/>
              <w:jc w:val="center"/>
              <w:rPr>
                <w:rFonts w:ascii="宋体" w:hAnsi="宋体" w:cs="宋体"/>
                <w:kern w:val="0"/>
                <w:sz w:val="24"/>
              </w:rPr>
            </w:pPr>
            <w:r>
              <w:rPr>
                <w:rFonts w:hint="eastAsia" w:ascii="宋体" w:hAnsi="宋体" w:cs="宋体"/>
                <w:kern w:val="0"/>
                <w:sz w:val="24"/>
              </w:rPr>
              <w:t>污染</w:t>
            </w:r>
          </w:p>
          <w:p>
            <w:pPr>
              <w:spacing w:line="360" w:lineRule="auto"/>
              <w:jc w:val="center"/>
              <w:rPr>
                <w:rFonts w:ascii="宋体" w:hAnsi="宋体" w:cs="宋体"/>
                <w:kern w:val="0"/>
                <w:sz w:val="24"/>
              </w:rPr>
            </w:pPr>
            <w:r>
              <w:rPr>
                <w:rFonts w:hint="eastAsia" w:ascii="宋体" w:hAnsi="宋体" w:cs="宋体"/>
                <w:kern w:val="0"/>
                <w:sz w:val="24"/>
              </w:rPr>
              <w:t>物排</w:t>
            </w:r>
          </w:p>
          <w:p>
            <w:pPr>
              <w:spacing w:line="360" w:lineRule="auto"/>
              <w:jc w:val="center"/>
              <w:rPr>
                <w:rFonts w:ascii="宋体" w:hAnsi="宋体" w:cs="宋体"/>
                <w:kern w:val="0"/>
                <w:sz w:val="24"/>
              </w:rPr>
            </w:pPr>
            <w:r>
              <w:rPr>
                <w:rFonts w:hint="eastAsia" w:ascii="宋体" w:hAnsi="宋体" w:cs="宋体"/>
                <w:kern w:val="0"/>
                <w:sz w:val="24"/>
              </w:rPr>
              <w:t>放控</w:t>
            </w:r>
          </w:p>
          <w:p>
            <w:pPr>
              <w:spacing w:line="360" w:lineRule="auto"/>
              <w:jc w:val="center"/>
              <w:rPr>
                <w:rFonts w:ascii="宋体" w:hAnsi="宋体" w:cs="宋体"/>
                <w:kern w:val="0"/>
                <w:sz w:val="24"/>
              </w:rPr>
            </w:pPr>
            <w:r>
              <w:rPr>
                <w:rFonts w:hint="eastAsia" w:ascii="宋体" w:hAnsi="宋体" w:cs="宋体"/>
                <w:kern w:val="0"/>
                <w:sz w:val="24"/>
              </w:rPr>
              <w:t>制标</w:t>
            </w:r>
          </w:p>
          <w:p>
            <w:pPr>
              <w:spacing w:line="360" w:lineRule="auto"/>
              <w:jc w:val="center"/>
              <w:rPr>
                <w:rFonts w:ascii="宋体" w:hAnsi="宋体" w:cs="宋体"/>
                <w:kern w:val="0"/>
                <w:sz w:val="24"/>
              </w:rPr>
            </w:pPr>
            <w:r>
              <w:rPr>
                <w:rFonts w:hint="eastAsia" w:ascii="宋体" w:hAnsi="宋体" w:cs="宋体"/>
                <w:kern w:val="0"/>
                <w:sz w:val="24"/>
              </w:rPr>
              <w:t>准</w:t>
            </w:r>
          </w:p>
        </w:tc>
        <w:tc>
          <w:tcPr>
            <w:tcW w:w="8606" w:type="dxa"/>
            <w:vAlign w:val="top"/>
          </w:tcPr>
          <w:p>
            <w:pPr>
              <w:spacing w:line="360" w:lineRule="auto"/>
              <w:ind w:firstLine="482" w:firstLineChars="200"/>
              <w:rPr>
                <w:rFonts w:ascii="宋体" w:hAnsi="宋体" w:cs="宋体"/>
                <w:b/>
                <w:bCs/>
                <w:snapToGrid w:val="0"/>
                <w:kern w:val="0"/>
                <w:sz w:val="24"/>
              </w:rPr>
            </w:pPr>
            <w:r>
              <w:rPr>
                <w:rFonts w:hint="eastAsia" w:ascii="宋体" w:hAnsi="宋体" w:cs="宋体"/>
                <w:b/>
                <w:bCs/>
                <w:snapToGrid w:val="0"/>
                <w:kern w:val="0"/>
                <w:sz w:val="24"/>
              </w:rPr>
              <w:t>1、废气</w:t>
            </w:r>
          </w:p>
          <w:p>
            <w:pPr>
              <w:widowControl/>
              <w:spacing w:line="360" w:lineRule="auto"/>
              <w:ind w:firstLine="480" w:firstLineChars="200"/>
              <w:jc w:val="left"/>
              <w:rPr>
                <w:rFonts w:ascii="宋体" w:hAnsi="宋体" w:cs="宋体"/>
                <w:bCs/>
                <w:snapToGrid w:val="0"/>
                <w:kern w:val="0"/>
                <w:sz w:val="24"/>
              </w:rPr>
            </w:pPr>
            <w:r>
              <w:rPr>
                <w:rFonts w:hint="eastAsia" w:ascii="宋体" w:hAnsi="宋体" w:cs="宋体"/>
                <w:bCs/>
                <w:kern w:val="0"/>
                <w:sz w:val="24"/>
              </w:rPr>
              <w:t>本项目运营期废气主要为非甲烷总烃和颗粒物，执行《大气污染物综合排放标准》GB16297-1996）表2排放限值要求，厂区内无组织非甲烷总烃执行《挥发性有机物无组织排放控制标准》（GB37822-2019）中表A.1厂区内VOCs无组织排放限值要求。具体详见表</w:t>
            </w:r>
            <w:r>
              <w:rPr>
                <w:rFonts w:hint="eastAsia" w:ascii="宋体" w:hAnsi="宋体" w:cs="宋体"/>
                <w:bCs/>
                <w:snapToGrid w:val="0"/>
                <w:kern w:val="0"/>
                <w:sz w:val="24"/>
              </w:rPr>
              <w:t>3-11和表3-12。</w:t>
            </w:r>
          </w:p>
          <w:p>
            <w:pPr>
              <w:jc w:val="center"/>
              <w:rPr>
                <w:rFonts w:ascii="宋体" w:hAnsi="宋体" w:cs="宋体"/>
                <w:b/>
                <w:sz w:val="24"/>
              </w:rPr>
            </w:pPr>
            <w:r>
              <w:rPr>
                <w:rFonts w:hint="eastAsia" w:ascii="宋体" w:hAnsi="宋体" w:cs="宋体"/>
                <w:b/>
                <w:sz w:val="24"/>
              </w:rPr>
              <w:t>表3-11  大气污染物综合排放标准限值</w:t>
            </w:r>
          </w:p>
          <w:tbl>
            <w:tblPr>
              <w:tblW w:w="8156" w:type="dxa"/>
              <w:jc w:val="center"/>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Layout w:type="fixed"/>
              <w:tblCellMar>
                <w:left w:w="0" w:type="dxa"/>
                <w:right w:w="0" w:type="dxa"/>
              </w:tblCellMar>
            </w:tblPr>
            <w:tblGrid>
              <w:gridCol w:w="671"/>
              <w:gridCol w:w="1102"/>
              <w:gridCol w:w="1057"/>
              <w:gridCol w:w="1057"/>
              <w:gridCol w:w="1377"/>
              <w:gridCol w:w="1296"/>
              <w:gridCol w:w="1596"/>
            </w:tblGrid>
            <w:tr>
              <w:trPr>
                <w:trHeight w:val="939" w:hRule="atLeast"/>
                <w:jc w:val="center"/>
              </w:trPr>
              <w:tc>
                <w:tcPr>
                  <w:tcW w:w="671" w:type="dxa"/>
                  <w:vAlign w:val="center"/>
                </w:tcPr>
                <w:p>
                  <w:pPr>
                    <w:jc w:val="center"/>
                    <w:rPr>
                      <w:rFonts w:ascii="宋体" w:hAnsi="宋体" w:cs="宋体"/>
                      <w:szCs w:val="21"/>
                    </w:rPr>
                  </w:pPr>
                  <w:r>
                    <w:rPr>
                      <w:rFonts w:hint="eastAsia" w:ascii="宋体" w:hAnsi="宋体" w:cs="宋体"/>
                      <w:szCs w:val="21"/>
                    </w:rPr>
                    <w:t>污染物</w:t>
                  </w:r>
                </w:p>
              </w:tc>
              <w:tc>
                <w:tcPr>
                  <w:tcW w:w="1102" w:type="dxa"/>
                  <w:vAlign w:val="center"/>
                </w:tcPr>
                <w:p>
                  <w:pPr>
                    <w:jc w:val="center"/>
                    <w:rPr>
                      <w:rFonts w:ascii="宋体" w:hAnsi="宋体" w:cs="宋体"/>
                      <w:szCs w:val="21"/>
                      <w:vertAlign w:val="superscript"/>
                    </w:rPr>
                  </w:pPr>
                  <w:r>
                    <w:rPr>
                      <w:rFonts w:hint="eastAsia" w:ascii="宋体" w:hAnsi="宋体" w:cs="宋体"/>
                      <w:szCs w:val="21"/>
                    </w:rPr>
                    <w:t>最高允许排放浓度mg/m</w:t>
                  </w:r>
                  <w:r>
                    <w:rPr>
                      <w:rFonts w:hint="eastAsia" w:ascii="宋体" w:hAnsi="宋体" w:cs="宋体"/>
                      <w:szCs w:val="21"/>
                      <w:vertAlign w:val="superscript"/>
                    </w:rPr>
                    <w:t>3</w:t>
                  </w:r>
                </w:p>
              </w:tc>
              <w:tc>
                <w:tcPr>
                  <w:tcW w:w="1057" w:type="dxa"/>
                  <w:vAlign w:val="center"/>
                </w:tcPr>
                <w:p>
                  <w:pPr>
                    <w:jc w:val="center"/>
                    <w:rPr>
                      <w:rFonts w:ascii="宋体" w:hAnsi="宋体" w:cs="宋体"/>
                      <w:szCs w:val="21"/>
                    </w:rPr>
                  </w:pPr>
                  <w:r>
                    <w:rPr>
                      <w:bCs/>
                      <w:szCs w:val="21"/>
                    </w:rPr>
                    <w:t>排气筒高度（m）</w:t>
                  </w:r>
                </w:p>
              </w:tc>
              <w:tc>
                <w:tcPr>
                  <w:tcW w:w="1057" w:type="dxa"/>
                  <w:vAlign w:val="center"/>
                </w:tcPr>
                <w:p>
                  <w:pPr>
                    <w:jc w:val="center"/>
                    <w:rPr>
                      <w:rFonts w:ascii="宋体" w:hAnsi="宋体" w:cs="宋体"/>
                      <w:szCs w:val="21"/>
                    </w:rPr>
                  </w:pPr>
                  <w:r>
                    <w:rPr>
                      <w:rFonts w:hint="eastAsia" w:ascii="宋体" w:hAnsi="宋体" w:cs="宋体"/>
                      <w:szCs w:val="21"/>
                    </w:rPr>
                    <w:t>最高允许排放速率kg/h</w:t>
                  </w:r>
                </w:p>
              </w:tc>
              <w:tc>
                <w:tcPr>
                  <w:tcW w:w="1377" w:type="dxa"/>
                  <w:vAlign w:val="center"/>
                </w:tcPr>
                <w:p>
                  <w:pPr>
                    <w:jc w:val="center"/>
                    <w:rPr>
                      <w:rFonts w:ascii="宋体" w:hAnsi="宋体" w:cs="宋体"/>
                      <w:szCs w:val="21"/>
                    </w:rPr>
                  </w:pPr>
                  <w:r>
                    <w:rPr>
                      <w:rFonts w:hint="eastAsia" w:ascii="宋体" w:hAnsi="宋体" w:cs="宋体"/>
                      <w:szCs w:val="21"/>
                    </w:rPr>
                    <w:t>监控点</w:t>
                  </w:r>
                </w:p>
              </w:tc>
              <w:tc>
                <w:tcPr>
                  <w:tcW w:w="1296" w:type="dxa"/>
                  <w:vAlign w:val="center"/>
                </w:tcPr>
                <w:p>
                  <w:pPr>
                    <w:jc w:val="center"/>
                    <w:rPr>
                      <w:rFonts w:ascii="宋体" w:hAnsi="宋体" w:cs="宋体"/>
                      <w:szCs w:val="21"/>
                    </w:rPr>
                  </w:pPr>
                  <w:r>
                    <w:rPr>
                      <w:rFonts w:hint="eastAsia" w:ascii="宋体" w:hAnsi="宋体" w:cs="宋体"/>
                      <w:szCs w:val="21"/>
                    </w:rPr>
                    <w:t>周界外浓度最高点</w:t>
                  </w:r>
                </w:p>
              </w:tc>
              <w:tc>
                <w:tcPr>
                  <w:tcW w:w="1596" w:type="dxa"/>
                  <w:vAlign w:val="center"/>
                </w:tcPr>
                <w:p>
                  <w:pPr>
                    <w:jc w:val="center"/>
                    <w:rPr>
                      <w:rFonts w:ascii="宋体" w:hAnsi="宋体" w:cs="宋体"/>
                      <w:szCs w:val="21"/>
                    </w:rPr>
                  </w:pPr>
                  <w:r>
                    <w:rPr>
                      <w:rFonts w:hint="eastAsia" w:ascii="宋体" w:hAnsi="宋体" w:cs="宋体"/>
                      <w:szCs w:val="21"/>
                    </w:rPr>
                    <w:t>标准来源</w:t>
                  </w:r>
                </w:p>
              </w:tc>
            </w:tr>
            <w:tr>
              <w:trPr>
                <w:trHeight w:val="379" w:hRule="atLeast"/>
                <w:jc w:val="center"/>
              </w:trPr>
              <w:tc>
                <w:tcPr>
                  <w:tcW w:w="671" w:type="dxa"/>
                  <w:vAlign w:val="center"/>
                </w:tcPr>
                <w:p>
                  <w:pPr>
                    <w:jc w:val="center"/>
                    <w:rPr>
                      <w:rFonts w:ascii="宋体" w:hAnsi="宋体" w:cs="宋体"/>
                      <w:szCs w:val="21"/>
                    </w:rPr>
                  </w:pPr>
                  <w:r>
                    <w:rPr>
                      <w:rFonts w:hint="eastAsia" w:ascii="宋体" w:hAnsi="宋体" w:cs="宋体"/>
                      <w:szCs w:val="21"/>
                    </w:rPr>
                    <w:t>颗粒物</w:t>
                  </w:r>
                </w:p>
              </w:tc>
              <w:tc>
                <w:tcPr>
                  <w:tcW w:w="1102" w:type="dxa"/>
                  <w:vAlign w:val="center"/>
                </w:tcPr>
                <w:p>
                  <w:pPr>
                    <w:jc w:val="center"/>
                    <w:rPr>
                      <w:rFonts w:ascii="宋体" w:hAnsi="宋体" w:cs="宋体"/>
                      <w:szCs w:val="21"/>
                    </w:rPr>
                  </w:pPr>
                  <w:r>
                    <w:rPr>
                      <w:rFonts w:hint="eastAsia" w:ascii="宋体" w:hAnsi="宋体" w:cs="宋体"/>
                      <w:szCs w:val="21"/>
                    </w:rPr>
                    <w:t>120</w:t>
                  </w:r>
                </w:p>
              </w:tc>
              <w:tc>
                <w:tcPr>
                  <w:tcW w:w="1057" w:type="dxa"/>
                  <w:vAlign w:val="center"/>
                </w:tcPr>
                <w:p>
                  <w:pPr>
                    <w:jc w:val="center"/>
                    <w:rPr>
                      <w:rFonts w:ascii="宋体" w:hAnsi="宋体" w:cs="宋体"/>
                      <w:szCs w:val="21"/>
                    </w:rPr>
                  </w:pPr>
                  <w:r>
                    <w:rPr>
                      <w:rFonts w:ascii="宋体" w:hAnsi="宋体" w:cs="宋体"/>
                      <w:szCs w:val="21"/>
                    </w:rPr>
                    <w:t>15</w:t>
                  </w:r>
                </w:p>
              </w:tc>
              <w:tc>
                <w:tcPr>
                  <w:tcW w:w="1057" w:type="dxa"/>
                  <w:vAlign w:val="center"/>
                </w:tcPr>
                <w:p>
                  <w:pPr>
                    <w:jc w:val="center"/>
                    <w:rPr>
                      <w:rFonts w:ascii="宋体" w:hAnsi="宋体" w:cs="宋体"/>
                      <w:szCs w:val="21"/>
                    </w:rPr>
                  </w:pPr>
                  <w:r>
                    <w:rPr>
                      <w:rFonts w:hint="eastAsia" w:ascii="宋体" w:hAnsi="宋体" w:cs="宋体"/>
                      <w:szCs w:val="21"/>
                    </w:rPr>
                    <w:t>3.5</w:t>
                  </w:r>
                </w:p>
              </w:tc>
              <w:tc>
                <w:tcPr>
                  <w:tcW w:w="1377" w:type="dxa"/>
                  <w:vAlign w:val="center"/>
                </w:tcPr>
                <w:p>
                  <w:pPr>
                    <w:widowControl/>
                    <w:jc w:val="center"/>
                    <w:rPr>
                      <w:rFonts w:ascii="宋体" w:hAnsi="宋体" w:cs="宋体"/>
                      <w:szCs w:val="21"/>
                    </w:rPr>
                  </w:pPr>
                  <w:r>
                    <w:rPr>
                      <w:rFonts w:hint="eastAsia" w:ascii="宋体" w:hAnsi="宋体" w:cs="宋体"/>
                      <w:kern w:val="0"/>
                      <w:szCs w:val="21"/>
                    </w:rPr>
                    <w:t>周界外浓度最高点</w:t>
                  </w:r>
                </w:p>
              </w:tc>
              <w:tc>
                <w:tcPr>
                  <w:tcW w:w="1296" w:type="dxa"/>
                  <w:vAlign w:val="center"/>
                </w:tcPr>
                <w:p>
                  <w:pPr>
                    <w:jc w:val="center"/>
                    <w:rPr>
                      <w:rFonts w:ascii="宋体" w:hAnsi="宋体" w:cs="宋体"/>
                      <w:szCs w:val="21"/>
                    </w:rPr>
                  </w:pPr>
                  <w:r>
                    <w:rPr>
                      <w:rFonts w:hint="eastAsia" w:ascii="宋体" w:hAnsi="宋体" w:cs="宋体"/>
                      <w:szCs w:val="21"/>
                    </w:rPr>
                    <w:t>1.0mg/m</w:t>
                  </w:r>
                  <w:r>
                    <w:rPr>
                      <w:rFonts w:hint="eastAsia" w:ascii="宋体" w:hAnsi="宋体" w:cs="宋体"/>
                      <w:szCs w:val="21"/>
                      <w:vertAlign w:val="superscript"/>
                    </w:rPr>
                    <w:t>3</w:t>
                  </w:r>
                </w:p>
              </w:tc>
              <w:tc>
                <w:tcPr>
                  <w:tcW w:w="1596" w:type="dxa"/>
                  <w:vMerge w:val="restart"/>
                  <w:vAlign w:val="center"/>
                </w:tcPr>
                <w:p>
                  <w:pPr>
                    <w:jc w:val="center"/>
                    <w:rPr>
                      <w:rFonts w:ascii="宋体" w:hAnsi="宋体" w:cs="宋体"/>
                      <w:szCs w:val="21"/>
                    </w:rPr>
                  </w:pPr>
                  <w:r>
                    <w:rPr>
                      <w:rFonts w:hint="eastAsia" w:ascii="宋体" w:hAnsi="宋体" w:cs="宋体"/>
                      <w:szCs w:val="21"/>
                    </w:rPr>
                    <w:t>《大气污染物综合排放标准》（GB16297-1996）</w:t>
                  </w:r>
                </w:p>
              </w:tc>
            </w:tr>
            <w:tr>
              <w:trPr>
                <w:trHeight w:val="309" w:hRule="atLeast"/>
                <w:jc w:val="center"/>
              </w:trPr>
              <w:tc>
                <w:tcPr>
                  <w:tcW w:w="671" w:type="dxa"/>
                  <w:vAlign w:val="center"/>
                </w:tcPr>
                <w:p>
                  <w:pPr>
                    <w:jc w:val="center"/>
                    <w:rPr>
                      <w:rFonts w:ascii="宋体" w:hAnsi="宋体" w:cs="宋体"/>
                      <w:szCs w:val="21"/>
                    </w:rPr>
                  </w:pPr>
                  <w:r>
                    <w:rPr>
                      <w:rFonts w:hint="eastAsia" w:ascii="宋体" w:hAnsi="宋体" w:cs="宋体"/>
                      <w:szCs w:val="21"/>
                    </w:rPr>
                    <w:t>非甲烷总烃</w:t>
                  </w:r>
                </w:p>
              </w:tc>
              <w:tc>
                <w:tcPr>
                  <w:tcW w:w="1102" w:type="dxa"/>
                  <w:vAlign w:val="center"/>
                </w:tcPr>
                <w:p>
                  <w:pPr>
                    <w:jc w:val="center"/>
                    <w:rPr>
                      <w:rFonts w:ascii="宋体" w:hAnsi="宋体" w:cs="宋体"/>
                      <w:szCs w:val="21"/>
                    </w:rPr>
                  </w:pPr>
                  <w:r>
                    <w:rPr>
                      <w:rFonts w:hint="eastAsia" w:ascii="宋体" w:hAnsi="宋体" w:cs="宋体"/>
                      <w:szCs w:val="21"/>
                    </w:rPr>
                    <w:t>120</w:t>
                  </w:r>
                </w:p>
              </w:tc>
              <w:tc>
                <w:tcPr>
                  <w:tcW w:w="1057" w:type="dxa"/>
                  <w:vAlign w:val="center"/>
                </w:tcPr>
                <w:p>
                  <w:pPr>
                    <w:jc w:val="center"/>
                    <w:rPr>
                      <w:rFonts w:ascii="宋体" w:hAnsi="宋体" w:cs="宋体"/>
                      <w:szCs w:val="21"/>
                    </w:rPr>
                  </w:pPr>
                  <w:r>
                    <w:rPr>
                      <w:rFonts w:ascii="宋体" w:hAnsi="宋体" w:cs="宋体"/>
                      <w:szCs w:val="21"/>
                    </w:rPr>
                    <w:t>15</w:t>
                  </w:r>
                </w:p>
              </w:tc>
              <w:tc>
                <w:tcPr>
                  <w:tcW w:w="1057" w:type="dxa"/>
                  <w:vAlign w:val="center"/>
                </w:tcPr>
                <w:p>
                  <w:pPr>
                    <w:jc w:val="center"/>
                    <w:rPr>
                      <w:rFonts w:ascii="宋体" w:hAnsi="宋体" w:cs="宋体"/>
                      <w:szCs w:val="21"/>
                    </w:rPr>
                  </w:pPr>
                  <w:r>
                    <w:rPr>
                      <w:rFonts w:hint="eastAsia" w:ascii="宋体" w:hAnsi="宋体" w:cs="宋体"/>
                      <w:szCs w:val="21"/>
                    </w:rPr>
                    <w:t>10</w:t>
                  </w:r>
                </w:p>
              </w:tc>
              <w:tc>
                <w:tcPr>
                  <w:tcW w:w="1377" w:type="dxa"/>
                  <w:vAlign w:val="center"/>
                </w:tcPr>
                <w:p>
                  <w:pPr>
                    <w:widowControl/>
                    <w:jc w:val="center"/>
                    <w:rPr>
                      <w:rFonts w:ascii="宋体" w:hAnsi="宋体" w:cs="宋体"/>
                      <w:szCs w:val="21"/>
                    </w:rPr>
                  </w:pPr>
                  <w:r>
                    <w:rPr>
                      <w:rFonts w:hint="eastAsia" w:ascii="宋体" w:hAnsi="宋体" w:cs="宋体"/>
                      <w:kern w:val="0"/>
                      <w:szCs w:val="21"/>
                    </w:rPr>
                    <w:t>周界外浓度最高点</w:t>
                  </w:r>
                </w:p>
              </w:tc>
              <w:tc>
                <w:tcPr>
                  <w:tcW w:w="1296" w:type="dxa"/>
                  <w:vAlign w:val="center"/>
                </w:tcPr>
                <w:p>
                  <w:pPr>
                    <w:jc w:val="center"/>
                    <w:rPr>
                      <w:rFonts w:ascii="宋体" w:hAnsi="宋体" w:cs="宋体"/>
                      <w:szCs w:val="21"/>
                    </w:rPr>
                  </w:pPr>
                  <w:r>
                    <w:rPr>
                      <w:rFonts w:hint="eastAsia" w:ascii="宋体" w:hAnsi="宋体" w:cs="宋体"/>
                      <w:szCs w:val="21"/>
                    </w:rPr>
                    <w:t>4.0mg/m</w:t>
                  </w:r>
                  <w:r>
                    <w:rPr>
                      <w:rFonts w:hint="eastAsia" w:ascii="宋体" w:hAnsi="宋体" w:cs="宋体"/>
                      <w:szCs w:val="21"/>
                      <w:vertAlign w:val="superscript"/>
                    </w:rPr>
                    <w:t>3</w:t>
                  </w:r>
                </w:p>
              </w:tc>
              <w:tc>
                <w:tcPr>
                  <w:tcW w:w="1596" w:type="dxa"/>
                  <w:vMerge w:val="continue"/>
                  <w:vAlign w:val="center"/>
                </w:tcPr>
                <w:p>
                  <w:pPr>
                    <w:jc w:val="center"/>
                    <w:rPr>
                      <w:rFonts w:ascii="宋体" w:hAnsi="宋体" w:cs="宋体"/>
                      <w:szCs w:val="21"/>
                    </w:rPr>
                  </w:pPr>
                </w:p>
              </w:tc>
            </w:tr>
            <w:tr>
              <w:trPr>
                <w:trHeight w:val="283" w:hRule="atLeast"/>
                <w:jc w:val="center"/>
              </w:trPr>
              <w:tc>
                <w:tcPr>
                  <w:tcW w:w="671" w:type="dxa"/>
                  <w:vAlign w:val="center"/>
                </w:tcPr>
                <w:p>
                  <w:pPr>
                    <w:jc w:val="center"/>
                    <w:rPr>
                      <w:rFonts w:ascii="宋体" w:hAnsi="宋体" w:cs="宋体"/>
                      <w:szCs w:val="21"/>
                    </w:rPr>
                  </w:pPr>
                  <w:r>
                    <w:rPr>
                      <w:rFonts w:hint="eastAsia" w:ascii="宋体" w:hAnsi="宋体" w:cs="宋体"/>
                      <w:szCs w:val="21"/>
                    </w:rPr>
                    <w:t>硫酸雾</w:t>
                  </w:r>
                </w:p>
              </w:tc>
              <w:tc>
                <w:tcPr>
                  <w:tcW w:w="1102" w:type="dxa"/>
                  <w:vAlign w:val="center"/>
                </w:tcPr>
                <w:p>
                  <w:pPr>
                    <w:jc w:val="center"/>
                    <w:rPr>
                      <w:rFonts w:ascii="宋体" w:hAnsi="宋体" w:cs="宋体"/>
                      <w:szCs w:val="21"/>
                    </w:rPr>
                  </w:pPr>
                  <w:r>
                    <w:rPr>
                      <w:rFonts w:hint="eastAsia" w:ascii="宋体" w:hAnsi="宋体" w:cs="宋体"/>
                      <w:szCs w:val="21"/>
                    </w:rPr>
                    <w:t>45</w:t>
                  </w:r>
                </w:p>
              </w:tc>
              <w:tc>
                <w:tcPr>
                  <w:tcW w:w="1057" w:type="dxa"/>
                  <w:vAlign w:val="center"/>
                </w:tcPr>
                <w:p>
                  <w:pPr>
                    <w:jc w:val="center"/>
                    <w:rPr>
                      <w:rFonts w:ascii="宋体" w:hAnsi="宋体" w:cs="宋体"/>
                      <w:szCs w:val="21"/>
                    </w:rPr>
                  </w:pPr>
                  <w:r>
                    <w:rPr>
                      <w:rFonts w:hint="eastAsia" w:ascii="宋体" w:hAnsi="宋体" w:cs="宋体"/>
                      <w:szCs w:val="21"/>
                    </w:rPr>
                    <w:t>15</w:t>
                  </w:r>
                </w:p>
              </w:tc>
              <w:tc>
                <w:tcPr>
                  <w:tcW w:w="1057" w:type="dxa"/>
                  <w:vAlign w:val="center"/>
                </w:tcPr>
                <w:p>
                  <w:pPr>
                    <w:jc w:val="center"/>
                    <w:rPr>
                      <w:rFonts w:ascii="宋体" w:hAnsi="宋体" w:cs="宋体"/>
                      <w:szCs w:val="21"/>
                    </w:rPr>
                  </w:pPr>
                  <w:r>
                    <w:rPr>
                      <w:rFonts w:hint="eastAsia" w:ascii="宋体" w:hAnsi="宋体" w:cs="宋体"/>
                      <w:szCs w:val="21"/>
                    </w:rPr>
                    <w:t>1.5</w:t>
                  </w:r>
                </w:p>
              </w:tc>
              <w:tc>
                <w:tcPr>
                  <w:tcW w:w="1377" w:type="dxa"/>
                  <w:vAlign w:val="center"/>
                </w:tcPr>
                <w:p>
                  <w:pPr>
                    <w:widowControl/>
                    <w:jc w:val="center"/>
                    <w:rPr>
                      <w:rFonts w:ascii="宋体" w:hAnsi="宋体" w:cs="宋体"/>
                      <w:szCs w:val="21"/>
                    </w:rPr>
                  </w:pPr>
                  <w:r>
                    <w:rPr>
                      <w:rFonts w:hint="eastAsia" w:ascii="宋体" w:hAnsi="宋体" w:cs="宋体"/>
                      <w:kern w:val="0"/>
                      <w:szCs w:val="21"/>
                    </w:rPr>
                    <w:t>周界外浓度最高点</w:t>
                  </w:r>
                </w:p>
              </w:tc>
              <w:tc>
                <w:tcPr>
                  <w:tcW w:w="1296" w:type="dxa"/>
                  <w:vAlign w:val="center"/>
                </w:tcPr>
                <w:p>
                  <w:pPr>
                    <w:jc w:val="center"/>
                    <w:rPr>
                      <w:rFonts w:ascii="宋体" w:hAnsi="宋体" w:cs="宋体"/>
                      <w:szCs w:val="21"/>
                    </w:rPr>
                  </w:pPr>
                  <w:r>
                    <w:rPr>
                      <w:rFonts w:hint="eastAsia" w:ascii="宋体" w:hAnsi="宋体" w:cs="宋体"/>
                      <w:szCs w:val="21"/>
                    </w:rPr>
                    <w:t>1.2mg/m</w:t>
                  </w:r>
                  <w:r>
                    <w:rPr>
                      <w:rFonts w:hint="eastAsia" w:ascii="宋体" w:hAnsi="宋体" w:cs="宋体"/>
                      <w:szCs w:val="21"/>
                      <w:vertAlign w:val="superscript"/>
                    </w:rPr>
                    <w:t>3</w:t>
                  </w:r>
                </w:p>
              </w:tc>
              <w:tc>
                <w:tcPr>
                  <w:tcW w:w="1596" w:type="dxa"/>
                  <w:vMerge w:val="continue"/>
                  <w:vAlign w:val="center"/>
                </w:tcPr>
                <w:p>
                  <w:pPr>
                    <w:jc w:val="center"/>
                    <w:rPr>
                      <w:rFonts w:ascii="宋体" w:hAnsi="宋体" w:cs="宋体"/>
                      <w:szCs w:val="21"/>
                    </w:rPr>
                  </w:pPr>
                </w:p>
              </w:tc>
            </w:tr>
          </w:tbl>
          <w:p>
            <w:pPr>
              <w:jc w:val="center"/>
              <w:rPr>
                <w:rFonts w:ascii="宋体" w:hAnsi="宋体" w:cs="宋体"/>
                <w:b/>
                <w:szCs w:val="21"/>
              </w:rPr>
            </w:pPr>
          </w:p>
          <w:p>
            <w:pPr>
              <w:jc w:val="center"/>
              <w:rPr>
                <w:rFonts w:ascii="宋体" w:hAnsi="宋体" w:cs="宋体"/>
                <w:b/>
                <w:sz w:val="24"/>
              </w:rPr>
            </w:pPr>
          </w:p>
          <w:p>
            <w:pPr>
              <w:pStyle w:val="2"/>
            </w:pPr>
          </w:p>
          <w:p>
            <w:pPr>
              <w:jc w:val="center"/>
              <w:rPr>
                <w:rFonts w:ascii="宋体" w:hAnsi="宋体" w:cs="宋体"/>
                <w:b/>
                <w:sz w:val="24"/>
              </w:rPr>
            </w:pPr>
            <w:r>
              <w:rPr>
                <w:rFonts w:hint="eastAsia" w:ascii="宋体" w:hAnsi="宋体" w:cs="宋体"/>
                <w:b/>
                <w:sz w:val="24"/>
              </w:rPr>
              <w:t>表3-12 挥发性有机物无组织排放标准限值</w:t>
            </w:r>
          </w:p>
          <w:tbl>
            <w:tblPr>
              <w:tblW w:w="8238"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left w:w="108" w:type="dxa"/>
                <w:right w:w="108" w:type="dxa"/>
              </w:tblCellMar>
            </w:tblPr>
            <w:tblGrid>
              <w:gridCol w:w="1364"/>
              <w:gridCol w:w="1618"/>
              <w:gridCol w:w="2587"/>
              <w:gridCol w:w="2669"/>
            </w:tblGrid>
            <w:tr>
              <w:trPr>
                <w:trHeight w:val="350" w:hRule="atLeast"/>
                <w:jc w:val="center"/>
              </w:trPr>
              <w:tc>
                <w:tcPr>
                  <w:tcW w:w="1364" w:type="dxa"/>
                  <w:vAlign w:val="center"/>
                </w:tcPr>
                <w:p>
                  <w:pPr>
                    <w:jc w:val="center"/>
                    <w:rPr>
                      <w:rFonts w:ascii="宋体" w:hAnsi="宋体" w:cs="宋体"/>
                      <w:b/>
                      <w:bCs/>
                      <w:szCs w:val="21"/>
                    </w:rPr>
                  </w:pPr>
                  <w:r>
                    <w:rPr>
                      <w:rFonts w:hint="eastAsia" w:ascii="宋体" w:hAnsi="宋体" w:cs="宋体"/>
                      <w:b/>
                      <w:bCs/>
                      <w:szCs w:val="21"/>
                    </w:rPr>
                    <w:t>污染物项目</w:t>
                  </w:r>
                </w:p>
              </w:tc>
              <w:tc>
                <w:tcPr>
                  <w:tcW w:w="1618" w:type="dxa"/>
                  <w:vAlign w:val="center"/>
                </w:tcPr>
                <w:p>
                  <w:pPr>
                    <w:jc w:val="center"/>
                    <w:rPr>
                      <w:rFonts w:ascii="宋体" w:hAnsi="宋体" w:cs="宋体"/>
                      <w:b/>
                      <w:bCs/>
                      <w:szCs w:val="21"/>
                    </w:rPr>
                  </w:pPr>
                  <w:r>
                    <w:rPr>
                      <w:rFonts w:hint="eastAsia" w:ascii="宋体" w:hAnsi="宋体" w:cs="宋体"/>
                      <w:b/>
                      <w:bCs/>
                      <w:szCs w:val="21"/>
                    </w:rPr>
                    <w:t xml:space="preserve">特别排放限值 </w:t>
                  </w:r>
                </w:p>
              </w:tc>
              <w:tc>
                <w:tcPr>
                  <w:tcW w:w="2587" w:type="dxa"/>
                  <w:vAlign w:val="center"/>
                </w:tcPr>
                <w:p>
                  <w:pPr>
                    <w:jc w:val="center"/>
                    <w:rPr>
                      <w:rFonts w:ascii="宋体" w:hAnsi="宋体" w:cs="宋体"/>
                      <w:b/>
                      <w:bCs/>
                      <w:szCs w:val="21"/>
                    </w:rPr>
                  </w:pPr>
                  <w:r>
                    <w:rPr>
                      <w:rFonts w:hint="eastAsia" w:ascii="宋体" w:hAnsi="宋体" w:cs="宋体"/>
                      <w:b/>
                      <w:bCs/>
                      <w:szCs w:val="21"/>
                    </w:rPr>
                    <w:t xml:space="preserve">限值含义 </w:t>
                  </w:r>
                </w:p>
              </w:tc>
              <w:tc>
                <w:tcPr>
                  <w:tcW w:w="2669" w:type="dxa"/>
                  <w:vAlign w:val="center"/>
                </w:tcPr>
                <w:p>
                  <w:pPr>
                    <w:jc w:val="center"/>
                    <w:rPr>
                      <w:rFonts w:ascii="宋体" w:hAnsi="宋体" w:cs="宋体"/>
                      <w:b/>
                      <w:bCs/>
                      <w:szCs w:val="21"/>
                    </w:rPr>
                  </w:pPr>
                  <w:r>
                    <w:rPr>
                      <w:rFonts w:hint="eastAsia" w:ascii="宋体" w:hAnsi="宋体" w:cs="宋体"/>
                      <w:b/>
                      <w:bCs/>
                      <w:szCs w:val="21"/>
                    </w:rPr>
                    <w:t>无组织排放监控位置</w:t>
                  </w:r>
                </w:p>
              </w:tc>
            </w:tr>
            <w:tr>
              <w:trPr>
                <w:trHeight w:val="314" w:hRule="atLeast"/>
                <w:jc w:val="center"/>
              </w:trPr>
              <w:tc>
                <w:tcPr>
                  <w:tcW w:w="1364" w:type="dxa"/>
                  <w:vMerge w:val="restart"/>
                  <w:vAlign w:val="center"/>
                </w:tcPr>
                <w:p>
                  <w:pPr>
                    <w:jc w:val="center"/>
                    <w:rPr>
                      <w:rFonts w:ascii="宋体" w:hAnsi="宋体" w:cs="宋体"/>
                      <w:bCs/>
                      <w:szCs w:val="21"/>
                    </w:rPr>
                  </w:pPr>
                  <w:r>
                    <w:rPr>
                      <w:rFonts w:hint="eastAsia" w:ascii="宋体" w:hAnsi="宋体" w:cs="宋体"/>
                      <w:bCs/>
                      <w:szCs w:val="21"/>
                    </w:rPr>
                    <w:t>NMHC</w:t>
                  </w:r>
                </w:p>
              </w:tc>
              <w:tc>
                <w:tcPr>
                  <w:tcW w:w="1618" w:type="dxa"/>
                  <w:vAlign w:val="center"/>
                </w:tcPr>
                <w:p>
                  <w:pPr>
                    <w:jc w:val="center"/>
                    <w:rPr>
                      <w:rFonts w:ascii="宋体" w:hAnsi="宋体" w:cs="宋体"/>
                      <w:bCs/>
                      <w:szCs w:val="21"/>
                    </w:rPr>
                  </w:pPr>
                  <w:r>
                    <w:rPr>
                      <w:rFonts w:hint="eastAsia" w:ascii="宋体" w:hAnsi="宋体" w:cs="宋体"/>
                      <w:bCs/>
                      <w:szCs w:val="21"/>
                    </w:rPr>
                    <w:t>10</w:t>
                  </w:r>
                  <w:r>
                    <w:rPr>
                      <w:rFonts w:hint="eastAsia" w:ascii="宋体" w:hAnsi="宋体" w:cs="宋体"/>
                      <w:szCs w:val="21"/>
                    </w:rPr>
                    <w:t>mg/m</w:t>
                  </w:r>
                  <w:r>
                    <w:rPr>
                      <w:rFonts w:hint="eastAsia" w:ascii="宋体" w:hAnsi="宋体" w:cs="宋体"/>
                      <w:szCs w:val="21"/>
                      <w:vertAlign w:val="superscript"/>
                    </w:rPr>
                    <w:t>3</w:t>
                  </w:r>
                </w:p>
              </w:tc>
              <w:tc>
                <w:tcPr>
                  <w:tcW w:w="2587" w:type="dxa"/>
                  <w:vAlign w:val="center"/>
                </w:tcPr>
                <w:p>
                  <w:pPr>
                    <w:jc w:val="center"/>
                    <w:rPr>
                      <w:rFonts w:ascii="宋体" w:hAnsi="宋体" w:cs="宋体"/>
                      <w:bCs/>
                      <w:szCs w:val="21"/>
                    </w:rPr>
                  </w:pPr>
                  <w:r>
                    <w:rPr>
                      <w:rFonts w:hint="eastAsia" w:ascii="宋体" w:hAnsi="宋体" w:cs="宋体"/>
                      <w:bCs/>
                      <w:szCs w:val="21"/>
                    </w:rPr>
                    <w:t>监控点处 1h 平均浓度值</w:t>
                  </w:r>
                </w:p>
              </w:tc>
              <w:tc>
                <w:tcPr>
                  <w:tcW w:w="2669" w:type="dxa"/>
                  <w:vMerge w:val="restart"/>
                  <w:vAlign w:val="center"/>
                </w:tcPr>
                <w:p>
                  <w:pPr>
                    <w:jc w:val="center"/>
                    <w:rPr>
                      <w:rFonts w:ascii="宋体" w:hAnsi="宋体" w:cs="宋体"/>
                      <w:bCs/>
                      <w:szCs w:val="21"/>
                    </w:rPr>
                  </w:pPr>
                  <w:r>
                    <w:rPr>
                      <w:rFonts w:hint="eastAsia" w:ascii="宋体" w:hAnsi="宋体" w:cs="宋体"/>
                      <w:bCs/>
                      <w:szCs w:val="21"/>
                    </w:rPr>
                    <w:t>在厂房外设置监控点</w:t>
                  </w:r>
                </w:p>
              </w:tc>
            </w:tr>
            <w:tr>
              <w:trPr>
                <w:trHeight w:val="369" w:hRule="atLeast"/>
                <w:jc w:val="center"/>
              </w:trPr>
              <w:tc>
                <w:tcPr>
                  <w:tcW w:w="1364" w:type="dxa"/>
                  <w:vMerge w:val="continue"/>
                  <w:vAlign w:val="center"/>
                </w:tcPr>
                <w:p>
                  <w:pPr>
                    <w:jc w:val="center"/>
                    <w:rPr>
                      <w:rFonts w:ascii="宋体" w:hAnsi="宋体" w:cs="宋体"/>
                      <w:szCs w:val="21"/>
                    </w:rPr>
                  </w:pPr>
                </w:p>
              </w:tc>
              <w:tc>
                <w:tcPr>
                  <w:tcW w:w="1618" w:type="dxa"/>
                  <w:vAlign w:val="center"/>
                </w:tcPr>
                <w:p>
                  <w:pPr>
                    <w:jc w:val="center"/>
                    <w:rPr>
                      <w:rFonts w:ascii="宋体" w:hAnsi="宋体" w:cs="宋体"/>
                      <w:bCs/>
                      <w:szCs w:val="21"/>
                    </w:rPr>
                  </w:pPr>
                  <w:r>
                    <w:rPr>
                      <w:rFonts w:hint="eastAsia" w:ascii="宋体" w:hAnsi="宋体" w:cs="宋体"/>
                      <w:bCs/>
                      <w:szCs w:val="21"/>
                    </w:rPr>
                    <w:t>30</w:t>
                  </w:r>
                  <w:r>
                    <w:rPr>
                      <w:rFonts w:hint="eastAsia" w:ascii="宋体" w:hAnsi="宋体" w:cs="宋体"/>
                      <w:szCs w:val="21"/>
                    </w:rPr>
                    <w:t>mg/m</w:t>
                  </w:r>
                  <w:r>
                    <w:rPr>
                      <w:rFonts w:hint="eastAsia" w:ascii="宋体" w:hAnsi="宋体" w:cs="宋体"/>
                      <w:szCs w:val="21"/>
                      <w:vertAlign w:val="superscript"/>
                    </w:rPr>
                    <w:t>3</w:t>
                  </w:r>
                </w:p>
              </w:tc>
              <w:tc>
                <w:tcPr>
                  <w:tcW w:w="2587" w:type="dxa"/>
                  <w:vAlign w:val="center"/>
                </w:tcPr>
                <w:p>
                  <w:pPr>
                    <w:jc w:val="center"/>
                    <w:rPr>
                      <w:rFonts w:ascii="宋体" w:hAnsi="宋体" w:cs="宋体"/>
                      <w:bCs/>
                      <w:szCs w:val="21"/>
                    </w:rPr>
                  </w:pPr>
                  <w:r>
                    <w:rPr>
                      <w:rFonts w:hint="eastAsia" w:ascii="宋体" w:hAnsi="宋体" w:cs="宋体"/>
                      <w:bCs/>
                      <w:szCs w:val="21"/>
                    </w:rPr>
                    <w:t>监控点处任意1次浓度值</w:t>
                  </w:r>
                </w:p>
              </w:tc>
              <w:tc>
                <w:tcPr>
                  <w:tcW w:w="2669" w:type="dxa"/>
                  <w:vMerge w:val="continue"/>
                  <w:vAlign w:val="center"/>
                </w:tcPr>
                <w:p>
                  <w:pPr>
                    <w:jc w:val="center"/>
                    <w:rPr>
                      <w:rFonts w:ascii="宋体" w:hAnsi="宋体" w:cs="宋体"/>
                      <w:bCs/>
                      <w:szCs w:val="21"/>
                    </w:rPr>
                  </w:pPr>
                </w:p>
              </w:tc>
            </w:tr>
          </w:tbl>
          <w:p>
            <w:pPr>
              <w:spacing w:line="360" w:lineRule="auto"/>
              <w:ind w:firstLine="482" w:firstLineChars="200"/>
              <w:rPr>
                <w:rFonts w:ascii="宋体" w:hAnsi="宋体" w:cs="宋体"/>
                <w:b/>
                <w:bCs/>
                <w:snapToGrid w:val="0"/>
                <w:kern w:val="0"/>
                <w:sz w:val="24"/>
              </w:rPr>
            </w:pPr>
            <w:r>
              <w:rPr>
                <w:rFonts w:hint="eastAsia" w:ascii="宋体" w:hAnsi="宋体" w:cs="宋体"/>
                <w:b/>
                <w:bCs/>
                <w:snapToGrid w:val="0"/>
                <w:kern w:val="0"/>
                <w:sz w:val="24"/>
              </w:rPr>
              <w:t>2、废水</w:t>
            </w:r>
          </w:p>
          <w:p>
            <w:pPr>
              <w:widowControl/>
              <w:spacing w:line="360" w:lineRule="auto"/>
              <w:ind w:firstLine="480" w:firstLineChars="200"/>
              <w:rPr>
                <w:rFonts w:ascii="宋体" w:hAnsi="宋体" w:cs="宋体"/>
                <w:kern w:val="0"/>
                <w:sz w:val="24"/>
              </w:rPr>
            </w:pPr>
            <w:r>
              <w:rPr>
                <w:rFonts w:hint="eastAsia" w:ascii="宋体" w:hAnsi="宋体" w:cs="宋体"/>
                <w:kern w:val="0"/>
                <w:sz w:val="24"/>
              </w:rPr>
              <w:t>本项目员工生活污水排入防渗化粪池，定期清掏不外排。初期雨水经油水分离器处理后，经罐车送至柳河县污水处理厂处理。废水主要污染物执行《污水综合排放标准》（GB8978-1996）中三级排放标准。</w:t>
            </w:r>
          </w:p>
          <w:p>
            <w:pPr>
              <w:jc w:val="center"/>
              <w:rPr>
                <w:rFonts w:ascii="宋体" w:hAnsi="宋体" w:cs="宋体"/>
                <w:b/>
                <w:sz w:val="24"/>
              </w:rPr>
            </w:pPr>
            <w:r>
              <w:rPr>
                <w:rFonts w:hint="eastAsia" w:ascii="宋体" w:hAnsi="宋体" w:cs="宋体"/>
                <w:b/>
                <w:sz w:val="24"/>
              </w:rPr>
              <w:t>表3-13   污水排放标准</w:t>
            </w:r>
          </w:p>
          <w:tbl>
            <w:tblPr>
              <w:tblW w:w="8279"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left w:w="108" w:type="dxa"/>
                <w:right w:w="108" w:type="dxa"/>
              </w:tblCellMar>
            </w:tblPr>
            <w:tblGrid>
              <w:gridCol w:w="2667"/>
              <w:gridCol w:w="1732"/>
              <w:gridCol w:w="1350"/>
              <w:gridCol w:w="2530"/>
            </w:tblGrid>
            <w:tr>
              <w:trPr>
                <w:trHeight w:val="368" w:hRule="atLeast"/>
                <w:jc w:val="center"/>
              </w:trPr>
              <w:tc>
                <w:tcPr>
                  <w:tcW w:w="2667" w:type="dxa"/>
                  <w:vAlign w:val="center"/>
                </w:tcPr>
                <w:p>
                  <w:pPr>
                    <w:jc w:val="center"/>
                    <w:rPr>
                      <w:rFonts w:ascii="宋体" w:hAnsi="宋体" w:cs="宋体"/>
                      <w:b/>
                      <w:bCs/>
                      <w:szCs w:val="21"/>
                    </w:rPr>
                  </w:pPr>
                  <w:r>
                    <w:rPr>
                      <w:rFonts w:hint="eastAsia" w:ascii="宋体" w:hAnsi="宋体" w:cs="宋体"/>
                      <w:b/>
                      <w:bCs/>
                      <w:szCs w:val="21"/>
                    </w:rPr>
                    <w:t>污染物</w:t>
                  </w:r>
                </w:p>
              </w:tc>
              <w:tc>
                <w:tcPr>
                  <w:tcW w:w="1732" w:type="dxa"/>
                  <w:vAlign w:val="center"/>
                </w:tcPr>
                <w:p>
                  <w:pPr>
                    <w:jc w:val="center"/>
                    <w:rPr>
                      <w:rFonts w:ascii="宋体" w:hAnsi="宋体" w:cs="宋体"/>
                      <w:b/>
                      <w:bCs/>
                      <w:szCs w:val="21"/>
                    </w:rPr>
                  </w:pPr>
                  <w:r>
                    <w:rPr>
                      <w:rFonts w:hint="eastAsia" w:ascii="宋体" w:hAnsi="宋体" w:cs="宋体"/>
                      <w:b/>
                      <w:bCs/>
                      <w:szCs w:val="21"/>
                    </w:rPr>
                    <w:t>排放浓度</w:t>
                  </w:r>
                </w:p>
              </w:tc>
              <w:tc>
                <w:tcPr>
                  <w:tcW w:w="1350" w:type="dxa"/>
                  <w:vAlign w:val="center"/>
                </w:tcPr>
                <w:p>
                  <w:pPr>
                    <w:jc w:val="center"/>
                    <w:rPr>
                      <w:rFonts w:ascii="宋体" w:hAnsi="宋体" w:cs="宋体"/>
                      <w:b/>
                      <w:bCs/>
                      <w:szCs w:val="21"/>
                    </w:rPr>
                  </w:pPr>
                  <w:r>
                    <w:rPr>
                      <w:rFonts w:hint="eastAsia" w:ascii="宋体" w:hAnsi="宋体" w:cs="宋体"/>
                      <w:b/>
                      <w:bCs/>
                      <w:szCs w:val="21"/>
                    </w:rPr>
                    <w:t>标准级别</w:t>
                  </w:r>
                </w:p>
              </w:tc>
              <w:tc>
                <w:tcPr>
                  <w:tcW w:w="2530" w:type="dxa"/>
                  <w:vAlign w:val="center"/>
                </w:tcPr>
                <w:p>
                  <w:pPr>
                    <w:jc w:val="center"/>
                    <w:rPr>
                      <w:rFonts w:ascii="宋体" w:hAnsi="宋体" w:cs="宋体"/>
                      <w:b/>
                      <w:bCs/>
                      <w:szCs w:val="21"/>
                    </w:rPr>
                  </w:pPr>
                  <w:r>
                    <w:rPr>
                      <w:rFonts w:hint="eastAsia" w:ascii="宋体" w:hAnsi="宋体" w:cs="宋体"/>
                      <w:b/>
                      <w:bCs/>
                      <w:szCs w:val="21"/>
                    </w:rPr>
                    <w:t>标准来源</w:t>
                  </w:r>
                </w:p>
              </w:tc>
            </w:tr>
            <w:tr>
              <w:trPr>
                <w:trHeight w:val="329" w:hRule="atLeast"/>
                <w:jc w:val="center"/>
              </w:trPr>
              <w:tc>
                <w:tcPr>
                  <w:tcW w:w="2667" w:type="dxa"/>
                  <w:vAlign w:val="center"/>
                </w:tcPr>
                <w:p>
                  <w:pPr>
                    <w:jc w:val="center"/>
                    <w:rPr>
                      <w:rFonts w:ascii="宋体" w:hAnsi="宋体" w:cs="宋体"/>
                      <w:szCs w:val="21"/>
                    </w:rPr>
                  </w:pPr>
                  <w:r>
                    <w:rPr>
                      <w:rFonts w:hint="eastAsia" w:ascii="宋体" w:hAnsi="宋体" w:cs="宋体"/>
                      <w:szCs w:val="21"/>
                    </w:rPr>
                    <w:t>pH</w:t>
                  </w:r>
                </w:p>
              </w:tc>
              <w:tc>
                <w:tcPr>
                  <w:tcW w:w="1732" w:type="dxa"/>
                  <w:vAlign w:val="center"/>
                </w:tcPr>
                <w:p>
                  <w:pPr>
                    <w:jc w:val="center"/>
                    <w:rPr>
                      <w:rFonts w:ascii="宋体" w:hAnsi="宋体" w:cs="宋体"/>
                      <w:szCs w:val="21"/>
                    </w:rPr>
                  </w:pPr>
                  <w:r>
                    <w:rPr>
                      <w:rFonts w:hint="eastAsia" w:ascii="宋体" w:hAnsi="宋体" w:cs="宋体"/>
                      <w:szCs w:val="21"/>
                    </w:rPr>
                    <w:t>6-9</w:t>
                  </w:r>
                </w:p>
              </w:tc>
              <w:tc>
                <w:tcPr>
                  <w:tcW w:w="1350" w:type="dxa"/>
                  <w:vMerge w:val="restart"/>
                  <w:vAlign w:val="center"/>
                </w:tcPr>
                <w:p>
                  <w:pPr>
                    <w:jc w:val="center"/>
                    <w:rPr>
                      <w:rFonts w:ascii="宋体" w:hAnsi="宋体" w:cs="宋体"/>
                      <w:szCs w:val="21"/>
                    </w:rPr>
                  </w:pPr>
                  <w:r>
                    <w:rPr>
                      <w:rFonts w:hint="eastAsia" w:ascii="宋体" w:hAnsi="宋体" w:cs="宋体"/>
                      <w:szCs w:val="21"/>
                    </w:rPr>
                    <w:t>三级</w:t>
                  </w:r>
                </w:p>
              </w:tc>
              <w:tc>
                <w:tcPr>
                  <w:tcW w:w="2530" w:type="dxa"/>
                  <w:vMerge w:val="restart"/>
                  <w:vAlign w:val="center"/>
                </w:tcPr>
                <w:p>
                  <w:pPr>
                    <w:jc w:val="center"/>
                    <w:rPr>
                      <w:rFonts w:ascii="宋体" w:hAnsi="宋体" w:cs="宋体"/>
                      <w:bCs/>
                      <w:kern w:val="0"/>
                      <w:szCs w:val="21"/>
                    </w:rPr>
                  </w:pPr>
                  <w:r>
                    <w:rPr>
                      <w:rFonts w:hint="eastAsia" w:ascii="宋体" w:hAnsi="宋体" w:cs="宋体"/>
                      <w:bCs/>
                      <w:kern w:val="0"/>
                      <w:szCs w:val="21"/>
                    </w:rPr>
                    <w:t>《污水综合排放标准》</w:t>
                  </w:r>
                </w:p>
                <w:p>
                  <w:pPr>
                    <w:jc w:val="center"/>
                    <w:rPr>
                      <w:rFonts w:ascii="宋体" w:hAnsi="宋体" w:cs="宋体"/>
                      <w:szCs w:val="21"/>
                    </w:rPr>
                  </w:pPr>
                  <w:r>
                    <w:rPr>
                      <w:rFonts w:hint="eastAsia" w:ascii="宋体" w:hAnsi="宋体" w:cs="宋体"/>
                      <w:bCs/>
                      <w:kern w:val="0"/>
                      <w:szCs w:val="21"/>
                    </w:rPr>
                    <w:t>（GB8978-1996）</w:t>
                  </w:r>
                </w:p>
              </w:tc>
            </w:tr>
            <w:tr>
              <w:trPr>
                <w:trHeight w:val="329" w:hRule="atLeast"/>
                <w:jc w:val="center"/>
              </w:trPr>
              <w:tc>
                <w:tcPr>
                  <w:tcW w:w="2667" w:type="dxa"/>
                  <w:vAlign w:val="center"/>
                </w:tcPr>
                <w:p>
                  <w:pPr>
                    <w:jc w:val="center"/>
                    <w:rPr>
                      <w:rFonts w:ascii="宋体" w:hAnsi="宋体" w:cs="宋体"/>
                      <w:szCs w:val="21"/>
                      <w:vertAlign w:val="subscript"/>
                    </w:rPr>
                  </w:pPr>
                  <w:r>
                    <w:rPr>
                      <w:rFonts w:hint="eastAsia" w:ascii="宋体" w:hAnsi="宋体" w:cs="宋体"/>
                      <w:szCs w:val="21"/>
                    </w:rPr>
                    <w:t>COD</w:t>
                  </w:r>
                </w:p>
              </w:tc>
              <w:tc>
                <w:tcPr>
                  <w:tcW w:w="1732" w:type="dxa"/>
                  <w:vAlign w:val="center"/>
                </w:tcPr>
                <w:p>
                  <w:pPr>
                    <w:jc w:val="center"/>
                    <w:rPr>
                      <w:rFonts w:ascii="宋体" w:hAnsi="宋体" w:cs="宋体"/>
                      <w:szCs w:val="21"/>
                    </w:rPr>
                  </w:pPr>
                  <w:r>
                    <w:rPr>
                      <w:rFonts w:hint="eastAsia" w:ascii="宋体" w:hAnsi="宋体" w:cs="宋体"/>
                      <w:szCs w:val="21"/>
                    </w:rPr>
                    <w:t>500mg/L</w:t>
                  </w:r>
                </w:p>
              </w:tc>
              <w:tc>
                <w:tcPr>
                  <w:tcW w:w="1350" w:type="dxa"/>
                  <w:vMerge w:val="continue"/>
                  <w:vAlign w:val="center"/>
                </w:tcPr>
                <w:p>
                  <w:pPr>
                    <w:jc w:val="center"/>
                    <w:rPr>
                      <w:rFonts w:ascii="宋体" w:hAnsi="宋体" w:cs="宋体"/>
                      <w:szCs w:val="21"/>
                    </w:rPr>
                  </w:pPr>
                </w:p>
              </w:tc>
              <w:tc>
                <w:tcPr>
                  <w:tcW w:w="2530" w:type="dxa"/>
                  <w:vMerge w:val="continue"/>
                  <w:vAlign w:val="center"/>
                </w:tcPr>
                <w:p>
                  <w:pPr>
                    <w:jc w:val="center"/>
                    <w:rPr>
                      <w:rFonts w:ascii="宋体" w:hAnsi="宋体" w:cs="宋体"/>
                      <w:szCs w:val="21"/>
                    </w:rPr>
                  </w:pPr>
                </w:p>
              </w:tc>
            </w:tr>
            <w:tr>
              <w:trPr>
                <w:trHeight w:val="329" w:hRule="atLeast"/>
                <w:jc w:val="center"/>
              </w:trPr>
              <w:tc>
                <w:tcPr>
                  <w:tcW w:w="2667" w:type="dxa"/>
                  <w:vAlign w:val="center"/>
                </w:tcPr>
                <w:p>
                  <w:pPr>
                    <w:jc w:val="center"/>
                    <w:rPr>
                      <w:rFonts w:ascii="宋体" w:hAnsi="宋体" w:cs="宋体"/>
                      <w:szCs w:val="21"/>
                    </w:rPr>
                  </w:pPr>
                  <w:r>
                    <w:rPr>
                      <w:rFonts w:hint="eastAsia" w:ascii="宋体" w:hAnsi="宋体" w:cs="宋体"/>
                      <w:szCs w:val="21"/>
                    </w:rPr>
                    <w:t>BOD</w:t>
                  </w:r>
                  <w:r>
                    <w:rPr>
                      <w:rFonts w:hint="eastAsia" w:ascii="宋体" w:hAnsi="宋体" w:cs="宋体"/>
                      <w:szCs w:val="21"/>
                      <w:vertAlign w:val="subscript"/>
                    </w:rPr>
                    <w:t>5</w:t>
                  </w:r>
                </w:p>
              </w:tc>
              <w:tc>
                <w:tcPr>
                  <w:tcW w:w="1732" w:type="dxa"/>
                  <w:vAlign w:val="center"/>
                </w:tcPr>
                <w:p>
                  <w:pPr>
                    <w:jc w:val="center"/>
                    <w:rPr>
                      <w:rFonts w:ascii="宋体" w:hAnsi="宋体" w:cs="宋体"/>
                      <w:szCs w:val="21"/>
                    </w:rPr>
                  </w:pPr>
                  <w:r>
                    <w:rPr>
                      <w:rFonts w:hint="eastAsia" w:ascii="宋体" w:hAnsi="宋体" w:cs="宋体"/>
                      <w:szCs w:val="21"/>
                    </w:rPr>
                    <w:t>300mg/L</w:t>
                  </w:r>
                </w:p>
              </w:tc>
              <w:tc>
                <w:tcPr>
                  <w:tcW w:w="1350" w:type="dxa"/>
                  <w:vMerge w:val="continue"/>
                  <w:vAlign w:val="center"/>
                </w:tcPr>
                <w:p>
                  <w:pPr>
                    <w:jc w:val="center"/>
                    <w:rPr>
                      <w:rFonts w:ascii="宋体" w:hAnsi="宋体" w:cs="宋体"/>
                      <w:szCs w:val="21"/>
                    </w:rPr>
                  </w:pPr>
                </w:p>
              </w:tc>
              <w:tc>
                <w:tcPr>
                  <w:tcW w:w="2530" w:type="dxa"/>
                  <w:vMerge w:val="continue"/>
                  <w:vAlign w:val="center"/>
                </w:tcPr>
                <w:p>
                  <w:pPr>
                    <w:jc w:val="center"/>
                    <w:rPr>
                      <w:rFonts w:ascii="宋体" w:hAnsi="宋体" w:cs="宋体"/>
                      <w:szCs w:val="21"/>
                    </w:rPr>
                  </w:pPr>
                </w:p>
              </w:tc>
            </w:tr>
            <w:tr>
              <w:trPr>
                <w:trHeight w:val="329" w:hRule="atLeast"/>
                <w:jc w:val="center"/>
              </w:trPr>
              <w:tc>
                <w:tcPr>
                  <w:tcW w:w="2667" w:type="dxa"/>
                  <w:vAlign w:val="center"/>
                </w:tcPr>
                <w:p>
                  <w:pPr>
                    <w:jc w:val="center"/>
                    <w:rPr>
                      <w:rFonts w:ascii="宋体" w:hAnsi="宋体" w:cs="宋体"/>
                      <w:szCs w:val="21"/>
                    </w:rPr>
                  </w:pPr>
                  <w:r>
                    <w:rPr>
                      <w:rFonts w:hint="eastAsia" w:ascii="宋体" w:hAnsi="宋体" w:cs="宋体"/>
                      <w:szCs w:val="21"/>
                    </w:rPr>
                    <w:t>SS</w:t>
                  </w:r>
                </w:p>
              </w:tc>
              <w:tc>
                <w:tcPr>
                  <w:tcW w:w="1732" w:type="dxa"/>
                  <w:vAlign w:val="center"/>
                </w:tcPr>
                <w:p>
                  <w:pPr>
                    <w:jc w:val="center"/>
                    <w:rPr>
                      <w:rFonts w:ascii="宋体" w:hAnsi="宋体" w:cs="宋体"/>
                      <w:szCs w:val="21"/>
                    </w:rPr>
                  </w:pPr>
                  <w:r>
                    <w:rPr>
                      <w:rFonts w:hint="eastAsia" w:ascii="宋体" w:hAnsi="宋体" w:cs="宋体"/>
                      <w:szCs w:val="21"/>
                    </w:rPr>
                    <w:t>400mg/L</w:t>
                  </w:r>
                </w:p>
              </w:tc>
              <w:tc>
                <w:tcPr>
                  <w:tcW w:w="1350" w:type="dxa"/>
                  <w:vMerge w:val="continue"/>
                  <w:vAlign w:val="center"/>
                </w:tcPr>
                <w:p>
                  <w:pPr>
                    <w:jc w:val="center"/>
                    <w:rPr>
                      <w:rFonts w:ascii="宋体" w:hAnsi="宋体" w:cs="宋体"/>
                      <w:szCs w:val="21"/>
                    </w:rPr>
                  </w:pPr>
                </w:p>
              </w:tc>
              <w:tc>
                <w:tcPr>
                  <w:tcW w:w="2530" w:type="dxa"/>
                  <w:vMerge w:val="continue"/>
                  <w:vAlign w:val="center"/>
                </w:tcPr>
                <w:p>
                  <w:pPr>
                    <w:jc w:val="center"/>
                    <w:rPr>
                      <w:rFonts w:ascii="宋体" w:hAnsi="宋体" w:cs="宋体"/>
                      <w:szCs w:val="21"/>
                    </w:rPr>
                  </w:pPr>
                </w:p>
              </w:tc>
            </w:tr>
            <w:tr>
              <w:trPr>
                <w:trHeight w:val="349" w:hRule="atLeast"/>
                <w:jc w:val="center"/>
              </w:trPr>
              <w:tc>
                <w:tcPr>
                  <w:tcW w:w="2667" w:type="dxa"/>
                  <w:vAlign w:val="center"/>
                </w:tcPr>
                <w:p>
                  <w:pPr>
                    <w:jc w:val="center"/>
                    <w:rPr>
                      <w:rFonts w:ascii="宋体" w:hAnsi="宋体" w:cs="宋体"/>
                      <w:szCs w:val="21"/>
                    </w:rPr>
                  </w:pPr>
                  <w:r>
                    <w:rPr>
                      <w:rFonts w:hint="eastAsia" w:ascii="宋体" w:hAnsi="宋体" w:cs="宋体"/>
                      <w:szCs w:val="21"/>
                    </w:rPr>
                    <w:t>氨氮</w:t>
                  </w:r>
                </w:p>
              </w:tc>
              <w:tc>
                <w:tcPr>
                  <w:tcW w:w="1732" w:type="dxa"/>
                  <w:vAlign w:val="top"/>
                </w:tcPr>
                <w:p>
                  <w:pPr>
                    <w:jc w:val="center"/>
                    <w:rPr>
                      <w:rFonts w:ascii="宋体" w:hAnsi="宋体" w:cs="宋体"/>
                      <w:szCs w:val="21"/>
                    </w:rPr>
                  </w:pPr>
                  <w:r>
                    <w:rPr>
                      <w:rFonts w:hint="eastAsia" w:ascii="宋体" w:hAnsi="宋体" w:cs="宋体"/>
                      <w:szCs w:val="21"/>
                    </w:rPr>
                    <w:t>-</w:t>
                  </w:r>
                </w:p>
              </w:tc>
              <w:tc>
                <w:tcPr>
                  <w:tcW w:w="1350" w:type="dxa"/>
                  <w:vMerge w:val="continue"/>
                  <w:vAlign w:val="center"/>
                </w:tcPr>
                <w:p>
                  <w:pPr>
                    <w:jc w:val="center"/>
                    <w:rPr>
                      <w:rFonts w:ascii="宋体" w:hAnsi="宋体" w:cs="宋体"/>
                      <w:szCs w:val="21"/>
                    </w:rPr>
                  </w:pPr>
                </w:p>
              </w:tc>
              <w:tc>
                <w:tcPr>
                  <w:tcW w:w="2530" w:type="dxa"/>
                  <w:vMerge w:val="continue"/>
                  <w:vAlign w:val="center"/>
                </w:tcPr>
                <w:p>
                  <w:pPr>
                    <w:jc w:val="center"/>
                    <w:rPr>
                      <w:rFonts w:ascii="宋体" w:hAnsi="宋体" w:cs="宋体"/>
                      <w:szCs w:val="21"/>
                    </w:rPr>
                  </w:pPr>
                </w:p>
              </w:tc>
            </w:tr>
            <w:tr>
              <w:trPr>
                <w:trHeight w:val="349" w:hRule="atLeast"/>
                <w:jc w:val="center"/>
              </w:trPr>
              <w:tc>
                <w:tcPr>
                  <w:tcW w:w="2667" w:type="dxa"/>
                  <w:vAlign w:val="center"/>
                </w:tcPr>
                <w:p>
                  <w:pPr>
                    <w:jc w:val="center"/>
                    <w:rPr>
                      <w:rFonts w:ascii="宋体" w:hAnsi="宋体" w:cs="宋体"/>
                      <w:szCs w:val="21"/>
                    </w:rPr>
                  </w:pPr>
                  <w:r>
                    <w:rPr>
                      <w:rFonts w:hint="eastAsia" w:ascii="宋体" w:hAnsi="宋体" w:cs="宋体"/>
                      <w:szCs w:val="21"/>
                    </w:rPr>
                    <w:t>石油类</w:t>
                  </w:r>
                </w:p>
              </w:tc>
              <w:tc>
                <w:tcPr>
                  <w:tcW w:w="1732" w:type="dxa"/>
                  <w:vAlign w:val="top"/>
                </w:tcPr>
                <w:p>
                  <w:pPr>
                    <w:jc w:val="center"/>
                    <w:rPr>
                      <w:rFonts w:ascii="宋体" w:hAnsi="宋体" w:cs="宋体"/>
                      <w:szCs w:val="21"/>
                    </w:rPr>
                  </w:pPr>
                  <w:r>
                    <w:rPr>
                      <w:rFonts w:hint="eastAsia" w:ascii="宋体" w:hAnsi="宋体" w:cs="宋体"/>
                      <w:szCs w:val="21"/>
                    </w:rPr>
                    <w:t>20mg/L</w:t>
                  </w:r>
                </w:p>
              </w:tc>
              <w:tc>
                <w:tcPr>
                  <w:tcW w:w="1350" w:type="dxa"/>
                  <w:vMerge w:val="continue"/>
                  <w:vAlign w:val="center"/>
                </w:tcPr>
                <w:p>
                  <w:pPr>
                    <w:jc w:val="center"/>
                    <w:rPr>
                      <w:rFonts w:ascii="宋体" w:hAnsi="宋体" w:cs="宋体"/>
                      <w:szCs w:val="21"/>
                    </w:rPr>
                  </w:pPr>
                </w:p>
              </w:tc>
              <w:tc>
                <w:tcPr>
                  <w:tcW w:w="2530" w:type="dxa"/>
                  <w:vMerge w:val="continue"/>
                  <w:vAlign w:val="center"/>
                </w:tcPr>
                <w:p>
                  <w:pPr>
                    <w:jc w:val="center"/>
                    <w:rPr>
                      <w:rFonts w:ascii="宋体" w:hAnsi="宋体" w:cs="宋体"/>
                      <w:szCs w:val="21"/>
                    </w:rPr>
                  </w:pPr>
                </w:p>
              </w:tc>
            </w:tr>
          </w:tbl>
          <w:p>
            <w:pPr>
              <w:spacing w:line="360" w:lineRule="auto"/>
              <w:ind w:firstLine="482" w:firstLineChars="200"/>
              <w:rPr>
                <w:rFonts w:ascii="宋体" w:hAnsi="宋体" w:cs="宋体"/>
                <w:b/>
                <w:bCs/>
                <w:i/>
                <w:iCs/>
                <w:snapToGrid w:val="0"/>
                <w:kern w:val="0"/>
                <w:sz w:val="24"/>
                <w:u w:val="single"/>
              </w:rPr>
            </w:pPr>
            <w:r>
              <w:rPr>
                <w:rFonts w:hint="eastAsia" w:ascii="宋体" w:hAnsi="宋体" w:cs="宋体"/>
                <w:b/>
                <w:bCs/>
                <w:i/>
                <w:iCs/>
                <w:snapToGrid w:val="0"/>
                <w:kern w:val="0"/>
                <w:sz w:val="24"/>
                <w:u w:val="single"/>
              </w:rPr>
              <w:t>3、噪声</w:t>
            </w:r>
          </w:p>
          <w:p>
            <w:pPr>
              <w:widowControl/>
              <w:spacing w:line="360" w:lineRule="auto"/>
              <w:ind w:firstLine="480" w:firstLineChars="200"/>
              <w:jc w:val="left"/>
              <w:rPr>
                <w:rFonts w:ascii="宋体" w:hAnsi="宋体" w:cs="宋体"/>
                <w:i/>
                <w:iCs/>
                <w:kern w:val="0"/>
                <w:sz w:val="24"/>
                <w:u w:val="single"/>
              </w:rPr>
            </w:pPr>
            <w:r>
              <w:rPr>
                <w:rFonts w:hint="eastAsia" w:ascii="宋体" w:hAnsi="宋体" w:cs="宋体"/>
                <w:i/>
                <w:iCs/>
                <w:kern w:val="0"/>
                <w:sz w:val="24"/>
                <w:u w:val="single"/>
              </w:rPr>
              <w:t>根据柳河县声环境功能区划分技术报告</w:t>
            </w:r>
            <w:r>
              <w:rPr>
                <w:rFonts w:ascii="宋体" w:hAnsi="宋体" w:cs="宋体"/>
                <w:i/>
                <w:iCs/>
                <w:sz w:val="24"/>
                <w:u w:val="single"/>
              </w:rPr>
              <w:t>（2022 年修订版）</w:t>
            </w:r>
            <w:r>
              <w:rPr>
                <w:rFonts w:hint="eastAsia" w:ascii="宋体" w:hAnsi="宋体" w:cs="宋体"/>
                <w:i/>
                <w:iCs/>
                <w:sz w:val="24"/>
                <w:u w:val="single"/>
              </w:rPr>
              <w:t>，</w:t>
            </w:r>
            <w:r>
              <w:rPr>
                <w:rFonts w:hint="eastAsia" w:ascii="宋体" w:hAnsi="宋体" w:cs="宋体"/>
                <w:i/>
                <w:iCs/>
                <w:kern w:val="0"/>
                <w:sz w:val="24"/>
                <w:u w:val="single"/>
              </w:rPr>
              <w:t>本项目噪声执行《工业企业厂界环境噪声排放标准》（GB12348-2008）中3类标准，本项目北侧为柳西线，为二级公路，与道路相邻功能区类型为3类区，距离20m范围内执行4类功能区标准，本项目厂区距离公路约10m，故执行4类标准。详见表3-14。</w:t>
            </w:r>
          </w:p>
          <w:p>
            <w:pPr>
              <w:jc w:val="center"/>
              <w:rPr>
                <w:rFonts w:ascii="宋体" w:hAnsi="宋体" w:cs="宋体"/>
                <w:b/>
                <w:i/>
                <w:iCs/>
                <w:szCs w:val="21"/>
                <w:u w:val="single"/>
              </w:rPr>
            </w:pPr>
            <w:r>
              <w:rPr>
                <w:rFonts w:hint="eastAsia" w:ascii="宋体" w:hAnsi="宋体" w:cs="宋体"/>
                <w:b/>
                <w:i/>
                <w:iCs/>
                <w:sz w:val="24"/>
                <w:u w:val="single"/>
              </w:rPr>
              <w:t xml:space="preserve">表3-14   噪声排放标准 </w:t>
            </w:r>
            <w:r>
              <w:rPr>
                <w:rFonts w:hint="eastAsia" w:ascii="宋体" w:hAnsi="宋体" w:cs="宋体"/>
                <w:b/>
                <w:i/>
                <w:iCs/>
                <w:szCs w:val="21"/>
                <w:u w:val="single"/>
              </w:rPr>
              <w:t xml:space="preserve">     单位： dB（A）</w:t>
            </w:r>
          </w:p>
          <w:tbl>
            <w:tblPr>
              <w:tblW w:w="8099"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left w:w="108" w:type="dxa"/>
                <w:right w:w="108" w:type="dxa"/>
              </w:tblCellMar>
            </w:tblPr>
            <w:tblGrid>
              <w:gridCol w:w="954"/>
              <w:gridCol w:w="1529"/>
              <w:gridCol w:w="1536"/>
              <w:gridCol w:w="4080"/>
            </w:tblGrid>
            <w:tr>
              <w:trPr>
                <w:trHeight w:val="325" w:hRule="atLeast"/>
                <w:jc w:val="center"/>
              </w:trPr>
              <w:tc>
                <w:tcPr>
                  <w:tcW w:w="954" w:type="dxa"/>
                  <w:vMerge w:val="restart"/>
                  <w:vAlign w:val="center"/>
                </w:tcPr>
                <w:p>
                  <w:pPr>
                    <w:jc w:val="center"/>
                    <w:rPr>
                      <w:rFonts w:ascii="宋体" w:hAnsi="宋体" w:cs="宋体"/>
                      <w:b/>
                      <w:bCs/>
                      <w:i/>
                      <w:iCs/>
                      <w:szCs w:val="21"/>
                      <w:u w:val="single"/>
                    </w:rPr>
                  </w:pPr>
                  <w:r>
                    <w:rPr>
                      <w:rFonts w:hint="eastAsia" w:ascii="宋体" w:hAnsi="宋体" w:cs="宋体"/>
                      <w:b/>
                      <w:bCs/>
                      <w:i/>
                      <w:iCs/>
                      <w:szCs w:val="21"/>
                      <w:u w:val="single"/>
                    </w:rPr>
                    <w:t>类别</w:t>
                  </w:r>
                </w:p>
              </w:tc>
              <w:tc>
                <w:tcPr>
                  <w:tcW w:w="3065" w:type="dxa"/>
                  <w:gridSpan w:val="2"/>
                  <w:vAlign w:val="center"/>
                </w:tcPr>
                <w:p>
                  <w:pPr>
                    <w:jc w:val="center"/>
                    <w:rPr>
                      <w:rFonts w:ascii="宋体" w:hAnsi="宋体" w:cs="宋体"/>
                      <w:b/>
                      <w:bCs/>
                      <w:i/>
                      <w:iCs/>
                      <w:szCs w:val="21"/>
                      <w:u w:val="single"/>
                    </w:rPr>
                  </w:pPr>
                  <w:r>
                    <w:rPr>
                      <w:rFonts w:hint="eastAsia" w:ascii="宋体" w:hAnsi="宋体" w:cs="宋体"/>
                      <w:b/>
                      <w:bCs/>
                      <w:i/>
                      <w:iCs/>
                      <w:szCs w:val="21"/>
                      <w:u w:val="single"/>
                    </w:rPr>
                    <w:t>环境噪声标准值</w:t>
                  </w:r>
                </w:p>
              </w:tc>
              <w:tc>
                <w:tcPr>
                  <w:tcW w:w="4080" w:type="dxa"/>
                  <w:vMerge w:val="restart"/>
                  <w:vAlign w:val="center"/>
                </w:tcPr>
                <w:p>
                  <w:pPr>
                    <w:pStyle w:val="35"/>
                    <w:pBdr>
                      <w:right w:val="none" w:color="auto" w:sz="0" w:space="0"/>
                    </w:pBdr>
                    <w:spacing w:before="0" w:beforeAutospacing="0" w:after="0" w:afterAutospacing="0"/>
                    <w:rPr>
                      <w:rFonts w:cs="宋体"/>
                      <w:i/>
                      <w:iCs/>
                      <w:u w:val="single"/>
                    </w:rPr>
                  </w:pPr>
                  <w:r>
                    <w:rPr>
                      <w:rFonts w:hint="eastAsia" w:cs="宋体"/>
                      <w:b/>
                      <w:bCs/>
                      <w:i/>
                      <w:iCs/>
                      <w:u w:val="single"/>
                    </w:rPr>
                    <w:t>标准来源</w:t>
                  </w:r>
                </w:p>
              </w:tc>
            </w:tr>
            <w:tr>
              <w:trPr>
                <w:trHeight w:val="306" w:hRule="atLeast"/>
                <w:jc w:val="center"/>
              </w:trPr>
              <w:tc>
                <w:tcPr>
                  <w:tcW w:w="954" w:type="dxa"/>
                  <w:vMerge w:val="continue"/>
                  <w:vAlign w:val="center"/>
                </w:tcPr>
                <w:p>
                  <w:pPr>
                    <w:jc w:val="center"/>
                    <w:rPr>
                      <w:rFonts w:ascii="宋体" w:hAnsi="宋体" w:cs="宋体"/>
                      <w:b/>
                      <w:bCs/>
                      <w:i/>
                      <w:iCs/>
                      <w:szCs w:val="21"/>
                      <w:u w:val="single"/>
                    </w:rPr>
                  </w:pPr>
                </w:p>
              </w:tc>
              <w:tc>
                <w:tcPr>
                  <w:tcW w:w="1529" w:type="dxa"/>
                  <w:vAlign w:val="center"/>
                </w:tcPr>
                <w:p>
                  <w:pPr>
                    <w:jc w:val="center"/>
                    <w:rPr>
                      <w:rFonts w:ascii="宋体" w:hAnsi="宋体" w:cs="宋体"/>
                      <w:b/>
                      <w:bCs/>
                      <w:i/>
                      <w:iCs/>
                      <w:szCs w:val="21"/>
                      <w:u w:val="single"/>
                    </w:rPr>
                  </w:pPr>
                  <w:r>
                    <w:rPr>
                      <w:rFonts w:hint="eastAsia" w:ascii="宋体" w:hAnsi="宋体" w:cs="宋体"/>
                      <w:b/>
                      <w:bCs/>
                      <w:i/>
                      <w:iCs/>
                      <w:szCs w:val="21"/>
                      <w:u w:val="single"/>
                    </w:rPr>
                    <w:t>昼间</w:t>
                  </w:r>
                </w:p>
              </w:tc>
              <w:tc>
                <w:tcPr>
                  <w:tcW w:w="1536" w:type="dxa"/>
                  <w:vAlign w:val="center"/>
                </w:tcPr>
                <w:p>
                  <w:pPr>
                    <w:jc w:val="center"/>
                    <w:rPr>
                      <w:rFonts w:ascii="宋体" w:hAnsi="宋体" w:cs="宋体"/>
                      <w:b/>
                      <w:bCs/>
                      <w:i/>
                      <w:iCs/>
                      <w:szCs w:val="21"/>
                      <w:u w:val="single"/>
                    </w:rPr>
                  </w:pPr>
                  <w:r>
                    <w:rPr>
                      <w:rFonts w:hint="eastAsia" w:ascii="宋体" w:hAnsi="宋体" w:cs="宋体"/>
                      <w:b/>
                      <w:bCs/>
                      <w:i/>
                      <w:iCs/>
                      <w:szCs w:val="21"/>
                      <w:u w:val="single"/>
                    </w:rPr>
                    <w:t>夜间</w:t>
                  </w:r>
                </w:p>
              </w:tc>
              <w:tc>
                <w:tcPr>
                  <w:tcW w:w="4080" w:type="dxa"/>
                  <w:vMerge w:val="continue"/>
                  <w:vAlign w:val="center"/>
                </w:tcPr>
                <w:p>
                  <w:pPr>
                    <w:jc w:val="center"/>
                    <w:rPr>
                      <w:rFonts w:ascii="宋体" w:hAnsi="宋体" w:cs="宋体"/>
                      <w:i/>
                      <w:iCs/>
                      <w:szCs w:val="21"/>
                      <w:u w:val="single"/>
                    </w:rPr>
                  </w:pPr>
                </w:p>
              </w:tc>
            </w:tr>
            <w:tr>
              <w:trPr>
                <w:trHeight w:val="306" w:hRule="atLeast"/>
                <w:jc w:val="center"/>
              </w:trPr>
              <w:tc>
                <w:tcPr>
                  <w:tcW w:w="954" w:type="dxa"/>
                  <w:vAlign w:val="center"/>
                </w:tcPr>
                <w:p>
                  <w:pPr>
                    <w:jc w:val="center"/>
                    <w:rPr>
                      <w:rFonts w:ascii="宋体" w:hAnsi="宋体" w:cs="宋体"/>
                      <w:i/>
                      <w:iCs/>
                      <w:szCs w:val="21"/>
                      <w:u w:val="single"/>
                    </w:rPr>
                  </w:pPr>
                  <w:r>
                    <w:rPr>
                      <w:rFonts w:hint="eastAsia" w:ascii="宋体" w:hAnsi="宋体" w:cs="宋体"/>
                      <w:i/>
                      <w:iCs/>
                      <w:szCs w:val="21"/>
                      <w:u w:val="single"/>
                    </w:rPr>
                    <w:t>3类</w:t>
                  </w:r>
                </w:p>
              </w:tc>
              <w:tc>
                <w:tcPr>
                  <w:tcW w:w="1529" w:type="dxa"/>
                  <w:vAlign w:val="center"/>
                </w:tcPr>
                <w:p>
                  <w:pPr>
                    <w:jc w:val="center"/>
                    <w:rPr>
                      <w:rFonts w:ascii="宋体" w:hAnsi="宋体" w:cs="宋体"/>
                      <w:i/>
                      <w:iCs/>
                      <w:szCs w:val="21"/>
                      <w:u w:val="single"/>
                    </w:rPr>
                  </w:pPr>
                  <w:r>
                    <w:rPr>
                      <w:rFonts w:hint="eastAsia" w:ascii="宋体" w:hAnsi="宋体" w:cs="宋体"/>
                      <w:i/>
                      <w:iCs/>
                      <w:szCs w:val="21"/>
                      <w:u w:val="single"/>
                    </w:rPr>
                    <w:t>65</w:t>
                  </w:r>
                </w:p>
              </w:tc>
              <w:tc>
                <w:tcPr>
                  <w:tcW w:w="1536" w:type="dxa"/>
                  <w:vAlign w:val="center"/>
                </w:tcPr>
                <w:p>
                  <w:pPr>
                    <w:jc w:val="center"/>
                    <w:rPr>
                      <w:rFonts w:ascii="宋体" w:hAnsi="宋体" w:cs="宋体"/>
                      <w:i/>
                      <w:iCs/>
                      <w:szCs w:val="21"/>
                      <w:u w:val="single"/>
                    </w:rPr>
                  </w:pPr>
                  <w:r>
                    <w:rPr>
                      <w:rFonts w:hint="eastAsia" w:ascii="宋体" w:hAnsi="宋体" w:cs="宋体"/>
                      <w:i/>
                      <w:iCs/>
                      <w:szCs w:val="21"/>
                      <w:u w:val="single"/>
                    </w:rPr>
                    <w:t>55</w:t>
                  </w:r>
                </w:p>
              </w:tc>
              <w:tc>
                <w:tcPr>
                  <w:tcW w:w="4080" w:type="dxa"/>
                  <w:vMerge w:val="restart"/>
                  <w:vAlign w:val="center"/>
                </w:tcPr>
                <w:p>
                  <w:pPr>
                    <w:jc w:val="center"/>
                    <w:rPr>
                      <w:rFonts w:ascii="宋体" w:hAnsi="宋体" w:cs="宋体"/>
                      <w:i/>
                      <w:iCs/>
                      <w:szCs w:val="21"/>
                      <w:u w:val="single"/>
                    </w:rPr>
                  </w:pPr>
                  <w:r>
                    <w:rPr>
                      <w:rFonts w:hint="eastAsia" w:ascii="宋体" w:hAnsi="宋体" w:cs="宋体"/>
                      <w:i/>
                      <w:iCs/>
                      <w:szCs w:val="21"/>
                      <w:u w:val="single"/>
                    </w:rPr>
                    <w:t>《工业企业厂界环境噪声排放标准》</w:t>
                  </w:r>
                </w:p>
                <w:p>
                  <w:pPr>
                    <w:jc w:val="center"/>
                    <w:rPr>
                      <w:rFonts w:ascii="宋体" w:hAnsi="宋体" w:cs="宋体"/>
                      <w:i/>
                      <w:iCs/>
                      <w:szCs w:val="21"/>
                      <w:u w:val="single"/>
                    </w:rPr>
                  </w:pPr>
                  <w:r>
                    <w:rPr>
                      <w:rFonts w:hint="eastAsia" w:ascii="宋体" w:hAnsi="宋体" w:cs="宋体"/>
                      <w:i/>
                      <w:iCs/>
                      <w:szCs w:val="21"/>
                      <w:u w:val="single"/>
                    </w:rPr>
                    <w:t>（GB12348-2008）</w:t>
                  </w:r>
                </w:p>
              </w:tc>
            </w:tr>
            <w:tr>
              <w:trPr>
                <w:trHeight w:val="335" w:hRule="atLeast"/>
                <w:jc w:val="center"/>
              </w:trPr>
              <w:tc>
                <w:tcPr>
                  <w:tcW w:w="954" w:type="dxa"/>
                  <w:vAlign w:val="center"/>
                </w:tcPr>
                <w:p>
                  <w:pPr>
                    <w:jc w:val="center"/>
                    <w:rPr>
                      <w:rFonts w:ascii="宋体" w:hAnsi="宋体" w:cs="宋体"/>
                      <w:i/>
                      <w:iCs/>
                      <w:szCs w:val="21"/>
                      <w:u w:val="single"/>
                    </w:rPr>
                  </w:pPr>
                  <w:r>
                    <w:rPr>
                      <w:rFonts w:hint="eastAsia" w:ascii="宋体" w:hAnsi="宋体" w:cs="宋体"/>
                      <w:i/>
                      <w:iCs/>
                      <w:szCs w:val="21"/>
                      <w:u w:val="single"/>
                    </w:rPr>
                    <w:t>4类</w:t>
                  </w:r>
                </w:p>
              </w:tc>
              <w:tc>
                <w:tcPr>
                  <w:tcW w:w="1529" w:type="dxa"/>
                  <w:vAlign w:val="center"/>
                </w:tcPr>
                <w:p>
                  <w:pPr>
                    <w:jc w:val="center"/>
                    <w:rPr>
                      <w:rFonts w:ascii="宋体" w:hAnsi="宋体" w:cs="宋体"/>
                      <w:i/>
                      <w:iCs/>
                      <w:szCs w:val="21"/>
                      <w:u w:val="single"/>
                    </w:rPr>
                  </w:pPr>
                  <w:r>
                    <w:rPr>
                      <w:rFonts w:hint="eastAsia" w:ascii="宋体" w:hAnsi="宋体" w:cs="宋体"/>
                      <w:i/>
                      <w:iCs/>
                      <w:szCs w:val="21"/>
                      <w:u w:val="single"/>
                    </w:rPr>
                    <w:t>70</w:t>
                  </w:r>
                </w:p>
              </w:tc>
              <w:tc>
                <w:tcPr>
                  <w:tcW w:w="1536" w:type="dxa"/>
                  <w:vAlign w:val="center"/>
                </w:tcPr>
                <w:p>
                  <w:pPr>
                    <w:jc w:val="center"/>
                    <w:rPr>
                      <w:rFonts w:ascii="宋体" w:hAnsi="宋体" w:cs="宋体"/>
                      <w:i/>
                      <w:iCs/>
                      <w:szCs w:val="21"/>
                      <w:u w:val="single"/>
                    </w:rPr>
                  </w:pPr>
                  <w:r>
                    <w:rPr>
                      <w:rFonts w:hint="eastAsia" w:ascii="宋体" w:hAnsi="宋体" w:cs="宋体"/>
                      <w:i/>
                      <w:iCs/>
                      <w:szCs w:val="21"/>
                      <w:u w:val="single"/>
                    </w:rPr>
                    <w:t>55</w:t>
                  </w:r>
                </w:p>
              </w:tc>
              <w:tc>
                <w:tcPr>
                  <w:tcW w:w="4080" w:type="dxa"/>
                  <w:vMerge w:val="continue"/>
                  <w:vAlign w:val="center"/>
                </w:tcPr>
                <w:p>
                  <w:pPr>
                    <w:jc w:val="center"/>
                    <w:rPr>
                      <w:rFonts w:ascii="宋体" w:hAnsi="宋体" w:cs="宋体"/>
                      <w:i/>
                      <w:iCs/>
                      <w:szCs w:val="21"/>
                      <w:u w:val="single"/>
                    </w:rPr>
                  </w:pPr>
                </w:p>
              </w:tc>
            </w:tr>
          </w:tbl>
          <w:p>
            <w:pPr>
              <w:spacing w:line="360" w:lineRule="auto"/>
              <w:ind w:firstLine="482" w:firstLineChars="200"/>
              <w:rPr>
                <w:rFonts w:ascii="宋体" w:hAnsi="宋体" w:cs="宋体"/>
                <w:b/>
                <w:bCs/>
                <w:snapToGrid w:val="0"/>
                <w:kern w:val="0"/>
                <w:sz w:val="24"/>
              </w:rPr>
            </w:pPr>
            <w:r>
              <w:rPr>
                <w:rFonts w:hint="eastAsia" w:ascii="宋体" w:hAnsi="宋体" w:cs="宋体"/>
                <w:b/>
                <w:bCs/>
                <w:snapToGrid w:val="0"/>
                <w:kern w:val="0"/>
                <w:sz w:val="24"/>
              </w:rPr>
              <w:t>4、固体废物</w:t>
            </w:r>
          </w:p>
          <w:p>
            <w:pPr>
              <w:spacing w:line="360" w:lineRule="auto"/>
              <w:ind w:firstLine="480" w:firstLineChars="200"/>
              <w:rPr>
                <w:rFonts w:ascii="宋体" w:hAnsi="宋体" w:cs="宋体"/>
                <w:kern w:val="0"/>
                <w:sz w:val="24"/>
              </w:rPr>
            </w:pPr>
            <w:r>
              <w:rPr>
                <w:rFonts w:hint="eastAsia" w:ascii="宋体" w:hAnsi="宋体" w:cs="宋体"/>
                <w:kern w:val="0"/>
                <w:sz w:val="24"/>
              </w:rPr>
              <w:t>本项目一般固体废物执行《一般工业固体废物贮存和填埋污染控制标准》（GB18599-2020），危险废物执行《危险废物贮存污染控制标准》（GB18597-2023）。</w:t>
            </w:r>
          </w:p>
        </w:tc>
      </w:tr>
      <w:tr>
        <w:trPr>
          <w:trHeight w:val="23" w:hRule="atLeast"/>
          <w:jc w:val="center"/>
        </w:trPr>
        <w:tc>
          <w:tcPr>
            <w:tcW w:w="447" w:type="dxa"/>
            <w:vAlign w:val="center"/>
          </w:tcPr>
          <w:p>
            <w:pPr>
              <w:spacing w:line="360" w:lineRule="auto"/>
              <w:jc w:val="center"/>
              <w:rPr>
                <w:rFonts w:ascii="宋体" w:hAnsi="宋体" w:cs="宋体"/>
                <w:kern w:val="0"/>
                <w:sz w:val="24"/>
              </w:rPr>
            </w:pPr>
            <w:r>
              <w:rPr>
                <w:rFonts w:hint="eastAsia" w:ascii="宋体" w:hAnsi="宋体" w:cs="宋体"/>
                <w:kern w:val="0"/>
                <w:sz w:val="24"/>
              </w:rPr>
              <w:t>总量</w:t>
            </w:r>
          </w:p>
          <w:p>
            <w:pPr>
              <w:spacing w:line="360" w:lineRule="auto"/>
              <w:jc w:val="center"/>
              <w:rPr>
                <w:rFonts w:ascii="宋体" w:hAnsi="宋体" w:cs="宋体"/>
                <w:kern w:val="0"/>
                <w:sz w:val="24"/>
              </w:rPr>
            </w:pPr>
            <w:r>
              <w:rPr>
                <w:rFonts w:hint="eastAsia" w:ascii="宋体" w:hAnsi="宋体" w:cs="宋体"/>
                <w:kern w:val="0"/>
                <w:sz w:val="24"/>
              </w:rPr>
              <w:t>控制</w:t>
            </w:r>
          </w:p>
          <w:p>
            <w:pPr>
              <w:spacing w:line="360" w:lineRule="auto"/>
              <w:jc w:val="center"/>
              <w:rPr>
                <w:rFonts w:ascii="宋体" w:hAnsi="宋体" w:cs="宋体"/>
                <w:kern w:val="0"/>
                <w:sz w:val="24"/>
              </w:rPr>
            </w:pPr>
            <w:r>
              <w:rPr>
                <w:rFonts w:hint="eastAsia" w:ascii="宋体" w:hAnsi="宋体" w:cs="宋体"/>
                <w:kern w:val="0"/>
                <w:sz w:val="24"/>
              </w:rPr>
              <w:t>指标</w:t>
            </w:r>
          </w:p>
        </w:tc>
        <w:tc>
          <w:tcPr>
            <w:tcW w:w="8606" w:type="dxa"/>
            <w:vAlign w:val="top"/>
          </w:tcPr>
          <w:p>
            <w:pPr>
              <w:widowControl/>
              <w:spacing w:line="360" w:lineRule="auto"/>
              <w:ind w:firstLine="480" w:firstLineChars="200"/>
              <w:rPr>
                <w:rFonts w:ascii="宋体" w:hAnsi="宋体" w:cs="宋体"/>
                <w:kern w:val="0"/>
                <w:sz w:val="24"/>
              </w:rPr>
            </w:pPr>
            <w:r>
              <w:rPr>
                <w:rFonts w:hint="eastAsia" w:ascii="宋体" w:hAnsi="宋体" w:cs="宋体"/>
                <w:kern w:val="0"/>
                <w:sz w:val="24"/>
              </w:rPr>
              <w:t>根据《关于进一步明确建设项目主要污染物排放总量审核有关事宜的复函》（吉林省生态环境厅，2022年5月10日），</w:t>
            </w:r>
            <w:r>
              <w:rPr>
                <w:rFonts w:ascii="宋体" w:hAnsi="宋体" w:cs="宋体"/>
                <w:kern w:val="0"/>
                <w:sz w:val="24"/>
              </w:rPr>
              <w:t>将建设项目总量审核分为重点行业、一般行业、其他行业三类差异化管理</w:t>
            </w:r>
            <w:r>
              <w:rPr>
                <w:rFonts w:hint="eastAsia" w:ascii="宋体" w:hAnsi="宋体" w:cs="宋体"/>
                <w:kern w:val="0"/>
                <w:sz w:val="24"/>
              </w:rPr>
              <w:t>。本项目为报废农机拆解，属于废弃资源综合利用业，不属于复函中的重点行业，无主要排放口设置要求。</w:t>
            </w:r>
            <w:r>
              <w:rPr>
                <w:rFonts w:ascii="宋体" w:hAnsi="宋体" w:cs="宋体"/>
                <w:kern w:val="0"/>
                <w:sz w:val="24"/>
              </w:rPr>
              <w:t>按照省厅文件规定，此类排污量较低的其他行业项目在环评审批阶段豁免主要污染物总量审核，无需编制区域削减替代方案、无需提前取得 VOCs、烟尘区域削减指标，仅由环评完整核算颗粒物、VOCs 排放源强，审批部门建立排放统计台账实施常态化管理。</w:t>
            </w:r>
          </w:p>
          <w:p>
            <w:pPr>
              <w:widowControl/>
              <w:spacing w:line="360" w:lineRule="auto"/>
              <w:ind w:firstLine="480" w:firstLineChars="200"/>
              <w:rPr>
                <w:rFonts w:ascii="宋体" w:hAnsi="宋体" w:cs="宋体"/>
                <w:kern w:val="0"/>
                <w:sz w:val="24"/>
              </w:rPr>
            </w:pPr>
            <w:r>
              <w:rPr>
                <w:rFonts w:hint="eastAsia" w:ascii="宋体" w:hAnsi="宋体" w:cs="宋体"/>
                <w:kern w:val="0"/>
                <w:sz w:val="24"/>
              </w:rPr>
              <w:t>按照省厅文件规定，本项目属于其他行业，执行其他行业排放管理的建设项目包括除重点行业外、仅含有按照《排污许可证申请与核发技术规范》确定的一般排放口或无排污口的建设项目，其他行业主要污染物总量审核管理：其他行业因排污量很少或基本不新增排污量，在环评审批过程中予以豁免主要污染物总量审核。各级环评审批部门应自行建立统计台账，纳入环境管理。因此本项目无需申请总量控制指标。</w:t>
            </w:r>
            <w:r>
              <w:rPr>
                <w:rFonts w:ascii="宋体" w:hAnsi="宋体" w:cs="宋体"/>
                <w:kern w:val="0"/>
                <w:sz w:val="24"/>
              </w:rPr>
              <w:t>若属地结合区域大气质量改善工作提出减排要求，建设单位将在排污许可证核发前完成对应减排</w:t>
            </w:r>
            <w:r>
              <w:rPr>
                <w:rFonts w:hint="eastAsia" w:ascii="宋体" w:hAnsi="宋体" w:cs="宋体"/>
                <w:kern w:val="0"/>
                <w:sz w:val="24"/>
              </w:rPr>
              <w:t>工作</w:t>
            </w:r>
            <w:r>
              <w:rPr>
                <w:rFonts w:ascii="宋体" w:hAnsi="宋体" w:cs="宋体"/>
                <w:kern w:val="0"/>
                <w:sz w:val="24"/>
              </w:rPr>
              <w:t>，确保区域减排要求落地执行。</w:t>
            </w:r>
          </w:p>
          <w:p>
            <w:pPr>
              <w:widowControl/>
              <w:spacing w:line="360" w:lineRule="auto"/>
              <w:ind w:firstLine="420" w:firstLineChars="200"/>
              <w:rPr>
                <w:rFonts w:ascii="宋体" w:hAnsi="宋体" w:cs="宋体"/>
              </w:rPr>
            </w:pPr>
          </w:p>
          <w:p>
            <w:pPr>
              <w:pStyle w:val="16"/>
              <w:rPr>
                <w:rFonts w:hAnsi="宋体" w:cs="宋体"/>
                <w:bCs/>
                <w:sz w:val="24"/>
              </w:rPr>
            </w:pPr>
          </w:p>
          <w:p>
            <w:pPr>
              <w:rPr>
                <w:rFonts w:ascii="宋体" w:hAnsi="宋体" w:cs="宋体"/>
                <w:bCs/>
                <w:sz w:val="24"/>
              </w:rPr>
            </w:pPr>
          </w:p>
          <w:p>
            <w:pPr>
              <w:spacing w:line="360" w:lineRule="auto"/>
              <w:rPr>
                <w:rFonts w:ascii="宋体" w:hAnsi="宋体" w:cs="宋体"/>
                <w:kern w:val="0"/>
                <w:sz w:val="24"/>
              </w:rPr>
            </w:pPr>
          </w:p>
          <w:p>
            <w:pPr>
              <w:spacing w:line="360" w:lineRule="auto"/>
              <w:rPr>
                <w:rFonts w:ascii="宋体" w:hAnsi="宋体" w:cs="宋体"/>
                <w:kern w:val="0"/>
                <w:sz w:val="24"/>
              </w:rPr>
            </w:pPr>
          </w:p>
          <w:p>
            <w:pPr>
              <w:spacing w:line="360" w:lineRule="auto"/>
              <w:rPr>
                <w:rFonts w:ascii="宋体" w:hAnsi="宋体" w:cs="宋体"/>
                <w:kern w:val="0"/>
                <w:sz w:val="24"/>
              </w:rPr>
            </w:pPr>
          </w:p>
          <w:p>
            <w:pPr>
              <w:spacing w:line="360" w:lineRule="auto"/>
              <w:rPr>
                <w:rFonts w:ascii="宋体" w:hAnsi="宋体" w:cs="宋体"/>
                <w:kern w:val="0"/>
                <w:sz w:val="24"/>
              </w:rPr>
            </w:pPr>
          </w:p>
        </w:tc>
      </w:tr>
    </w:tbl>
    <w:p>
      <w:pPr>
        <w:widowControl/>
        <w:spacing w:line="360" w:lineRule="auto"/>
        <w:outlineLvl w:val="0"/>
        <w:rPr>
          <w:rFonts w:ascii="黑体" w:hAnsi="黑体" w:eastAsia="黑体"/>
          <w:snapToGrid w:val="0"/>
          <w:kern w:val="0"/>
          <w:sz w:val="30"/>
          <w:szCs w:val="30"/>
        </w:rPr>
      </w:pPr>
      <w:r>
        <w:rPr>
          <w:rFonts w:hint="eastAsia" w:ascii="黑体" w:hAnsi="黑体" w:eastAsia="黑体"/>
          <w:snapToGrid w:val="0"/>
          <w:kern w:val="0"/>
          <w:sz w:val="30"/>
          <w:szCs w:val="30"/>
        </w:rPr>
        <w:br w:type="page"/>
      </w:r>
      <w:r>
        <w:rPr>
          <w:rFonts w:hint="eastAsia" w:ascii="黑体" w:hAnsi="黑体" w:eastAsia="黑体"/>
          <w:snapToGrid w:val="0"/>
          <w:kern w:val="0"/>
          <w:sz w:val="30"/>
          <w:szCs w:val="30"/>
        </w:rPr>
        <w:t>四、主要环境影响和保护措施</w:t>
      </w:r>
    </w:p>
    <w:tbl>
      <w:tblPr>
        <w:tblW w:w="9113"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left w:w="108" w:type="dxa"/>
          <w:right w:w="108" w:type="dxa"/>
        </w:tblCellMar>
      </w:tblPr>
      <w:tblGrid>
        <w:gridCol w:w="498"/>
        <w:gridCol w:w="8615"/>
      </w:tblGrid>
      <w:tr>
        <w:trPr>
          <w:trHeight w:val="23" w:hRule="atLeast"/>
          <w:jc w:val="center"/>
        </w:trPr>
        <w:tc>
          <w:tcPr>
            <w:tcW w:w="498" w:type="dxa"/>
            <w:tcMar>
              <w:left w:w="28" w:type="dxa"/>
              <w:right w:w="28" w:type="dxa"/>
            </w:tcMar>
            <w:vAlign w:val="center"/>
          </w:tcPr>
          <w:p>
            <w:pPr>
              <w:pStyle w:val="21"/>
              <w:widowControl w:val="0"/>
              <w:spacing w:before="0" w:beforeAutospacing="0" w:after="0" w:afterAutospacing="0" w:line="360" w:lineRule="auto"/>
              <w:jc w:val="center"/>
              <w:rPr>
                <w:rFonts w:cs="宋体"/>
                <w:kern w:val="2"/>
                <w:szCs w:val="24"/>
              </w:rPr>
            </w:pPr>
            <w:r>
              <w:rPr>
                <w:rFonts w:hint="eastAsia" w:cs="宋体"/>
                <w:kern w:val="2"/>
                <w:szCs w:val="24"/>
              </w:rPr>
              <w:t>施工</w:t>
            </w:r>
          </w:p>
          <w:p>
            <w:pPr>
              <w:pStyle w:val="21"/>
              <w:widowControl w:val="0"/>
              <w:spacing w:before="0" w:beforeAutospacing="0" w:after="0" w:afterAutospacing="0" w:line="360" w:lineRule="auto"/>
              <w:jc w:val="center"/>
              <w:rPr>
                <w:rFonts w:cs="宋体"/>
                <w:kern w:val="2"/>
                <w:szCs w:val="24"/>
              </w:rPr>
            </w:pPr>
            <w:r>
              <w:rPr>
                <w:rFonts w:hint="eastAsia" w:cs="宋体"/>
                <w:kern w:val="2"/>
                <w:szCs w:val="24"/>
              </w:rPr>
              <w:t>期环</w:t>
            </w:r>
          </w:p>
          <w:p>
            <w:pPr>
              <w:pStyle w:val="21"/>
              <w:widowControl w:val="0"/>
              <w:spacing w:before="0" w:beforeAutospacing="0" w:after="0" w:afterAutospacing="0" w:line="360" w:lineRule="auto"/>
              <w:jc w:val="center"/>
              <w:rPr>
                <w:rFonts w:cs="宋体"/>
                <w:kern w:val="2"/>
                <w:szCs w:val="24"/>
              </w:rPr>
            </w:pPr>
            <w:r>
              <w:rPr>
                <w:rFonts w:hint="eastAsia" w:cs="宋体"/>
                <w:kern w:val="2"/>
                <w:szCs w:val="24"/>
              </w:rPr>
              <w:t>境保</w:t>
            </w:r>
          </w:p>
          <w:p>
            <w:pPr>
              <w:pStyle w:val="21"/>
              <w:widowControl w:val="0"/>
              <w:spacing w:before="0" w:beforeAutospacing="0" w:after="0" w:afterAutospacing="0" w:line="360" w:lineRule="auto"/>
              <w:jc w:val="center"/>
              <w:rPr>
                <w:rFonts w:cs="宋体"/>
                <w:kern w:val="2"/>
                <w:szCs w:val="24"/>
              </w:rPr>
            </w:pPr>
            <w:r>
              <w:rPr>
                <w:rFonts w:hint="eastAsia" w:cs="宋体"/>
                <w:kern w:val="2"/>
                <w:szCs w:val="24"/>
              </w:rPr>
              <w:t>护措</w:t>
            </w:r>
          </w:p>
          <w:p>
            <w:pPr>
              <w:pStyle w:val="21"/>
              <w:widowControl w:val="0"/>
              <w:spacing w:before="0" w:beforeAutospacing="0" w:after="0" w:afterAutospacing="0" w:line="360" w:lineRule="auto"/>
              <w:jc w:val="center"/>
              <w:rPr>
                <w:rFonts w:cs="宋体"/>
                <w:bCs/>
                <w:kern w:val="2"/>
                <w:szCs w:val="24"/>
              </w:rPr>
            </w:pPr>
            <w:r>
              <w:rPr>
                <w:rFonts w:hint="eastAsia" w:cs="宋体"/>
                <w:kern w:val="2"/>
                <w:szCs w:val="24"/>
              </w:rPr>
              <w:t>施</w:t>
            </w:r>
          </w:p>
        </w:tc>
        <w:tc>
          <w:tcPr>
            <w:tcW w:w="8615" w:type="dxa"/>
            <w:vAlign w:val="top"/>
          </w:tcPr>
          <w:p>
            <w:pPr>
              <w:spacing w:line="360" w:lineRule="auto"/>
              <w:ind w:firstLine="480" w:firstLineChars="200"/>
              <w:rPr>
                <w:sz w:val="24"/>
              </w:rPr>
            </w:pPr>
            <w:r>
              <w:rPr>
                <w:sz w:val="24"/>
              </w:rPr>
              <w:t>由于本项目施工期建设内容主要</w:t>
            </w:r>
            <w:r>
              <w:rPr>
                <w:rFonts w:hint="eastAsia"/>
                <w:sz w:val="24"/>
              </w:rPr>
              <w:t>为车间内拆解设备的安装</w:t>
            </w:r>
            <w:r>
              <w:rPr>
                <w:sz w:val="24"/>
              </w:rPr>
              <w:t>，</w:t>
            </w:r>
            <w:r>
              <w:rPr>
                <w:rFonts w:hint="eastAsia"/>
                <w:sz w:val="24"/>
              </w:rPr>
              <w:t>车间内进行分区分隔，建设初期雨水收集池及事故应急池等，</w:t>
            </w:r>
            <w:r>
              <w:rPr>
                <w:sz w:val="24"/>
              </w:rPr>
              <w:t>故项目施工期污染源主要包括施工噪声、施工扬尘、建筑垃圾及施工人员生活污水等。一般来说，施工期环境影响是暂时的，随着工程的竣工，施工期环境影响都可以消除或缓解。但施工期某些环境影响因素表现</w:t>
            </w:r>
            <w:r>
              <w:rPr>
                <w:rFonts w:hint="eastAsia"/>
                <w:sz w:val="24"/>
              </w:rPr>
              <w:t>得</w:t>
            </w:r>
            <w:r>
              <w:rPr>
                <w:sz w:val="24"/>
              </w:rPr>
              <w:t>比较明显，还必须采取减缓措施，以尽可能地减少或消除这些影响</w:t>
            </w:r>
            <w:r>
              <w:rPr>
                <w:rFonts w:hint="eastAsia"/>
                <w:sz w:val="24"/>
              </w:rPr>
              <w:t>。</w:t>
            </w:r>
          </w:p>
          <w:p>
            <w:pPr>
              <w:spacing w:line="360" w:lineRule="auto"/>
              <w:ind w:firstLine="482" w:firstLineChars="200"/>
              <w:rPr>
                <w:b/>
                <w:bCs/>
                <w:sz w:val="24"/>
              </w:rPr>
            </w:pPr>
            <w:r>
              <w:rPr>
                <w:rFonts w:hint="eastAsia"/>
                <w:b/>
                <w:bCs/>
                <w:sz w:val="24"/>
              </w:rPr>
              <w:t>1、废水</w:t>
            </w:r>
          </w:p>
          <w:p>
            <w:pPr>
              <w:spacing w:line="360" w:lineRule="auto"/>
              <w:ind w:firstLine="480" w:firstLineChars="200"/>
              <w:rPr>
                <w:sz w:val="24"/>
              </w:rPr>
            </w:pPr>
            <w:r>
              <w:rPr>
                <w:rFonts w:hint="eastAsia"/>
                <w:sz w:val="24"/>
              </w:rPr>
              <w:t>本项目</w:t>
            </w:r>
            <w:r>
              <w:rPr>
                <w:sz w:val="24"/>
              </w:rPr>
              <w:t>施工期产生的废水为生活污水</w:t>
            </w:r>
            <w:r>
              <w:rPr>
                <w:rFonts w:hint="eastAsia"/>
                <w:sz w:val="24"/>
              </w:rPr>
              <w:t>和施工废水</w:t>
            </w:r>
            <w:r>
              <w:rPr>
                <w:sz w:val="24"/>
              </w:rPr>
              <w:t>。生活污水</w:t>
            </w:r>
            <w:r>
              <w:rPr>
                <w:rFonts w:hint="eastAsia"/>
                <w:sz w:val="24"/>
              </w:rPr>
              <w:t>排入防渗旱厕</w:t>
            </w:r>
            <w:r>
              <w:rPr>
                <w:sz w:val="24"/>
              </w:rPr>
              <w:t>。施工废水主要包括</w:t>
            </w:r>
            <w:r>
              <w:rPr>
                <w:rFonts w:hint="eastAsia"/>
                <w:sz w:val="24"/>
              </w:rPr>
              <w:t>设备混凝土基础</w:t>
            </w:r>
            <w:r>
              <w:rPr>
                <w:sz w:val="24"/>
              </w:rPr>
              <w:t>养护排水</w:t>
            </w:r>
            <w:r>
              <w:rPr>
                <w:rFonts w:hint="eastAsia"/>
                <w:sz w:val="24"/>
              </w:rPr>
              <w:t>，排入临时</w:t>
            </w:r>
            <w:r>
              <w:rPr>
                <w:sz w:val="24"/>
              </w:rPr>
              <w:t>沉淀池进行沉淀澄清后，回用于施工场地洒水降尘，不</w:t>
            </w:r>
            <w:r>
              <w:rPr>
                <w:rFonts w:hint="eastAsia"/>
                <w:sz w:val="24"/>
              </w:rPr>
              <w:t>外</w:t>
            </w:r>
            <w:r>
              <w:rPr>
                <w:sz w:val="24"/>
              </w:rPr>
              <w:t>排。</w:t>
            </w:r>
            <w:r>
              <w:rPr>
                <w:rFonts w:hint="eastAsia" w:ascii="宋体" w:hAnsi="宋体" w:cs="宋体"/>
                <w:sz w:val="24"/>
              </w:rPr>
              <w:t>本项目施工期对地表水环境影响不大。</w:t>
            </w:r>
          </w:p>
          <w:p>
            <w:pPr>
              <w:spacing w:line="360" w:lineRule="auto"/>
              <w:ind w:firstLine="482" w:firstLineChars="200"/>
              <w:rPr>
                <w:b/>
                <w:bCs/>
                <w:sz w:val="24"/>
              </w:rPr>
            </w:pPr>
            <w:r>
              <w:rPr>
                <w:rFonts w:hint="eastAsia"/>
                <w:b/>
                <w:bCs/>
                <w:sz w:val="24"/>
              </w:rPr>
              <w:t>2、废气</w:t>
            </w:r>
          </w:p>
          <w:p>
            <w:pPr>
              <w:spacing w:line="360" w:lineRule="auto"/>
              <w:ind w:firstLine="480" w:firstLineChars="200"/>
              <w:rPr>
                <w:sz w:val="24"/>
              </w:rPr>
            </w:pPr>
            <w:r>
              <w:rPr>
                <w:rFonts w:hint="eastAsia"/>
                <w:sz w:val="24"/>
              </w:rPr>
              <w:t xml:space="preserve">本项目施工期大气影响主要是设备安装及运输车辆产生的扬尘和施工机械、运输车辆尾气。施工场地设置围挡，定期洒水降尘，运输车辆减速行驶，同时要采取相应的遮盖、密闭措施，施工机械的废气基本是以点源形式排放，本项目施工期的燃油废气的产生量较小，属间断性、分散性排放，对大气环境影响不大。 </w:t>
            </w:r>
          </w:p>
          <w:p>
            <w:pPr>
              <w:spacing w:line="360" w:lineRule="auto"/>
              <w:ind w:firstLine="482" w:firstLineChars="200"/>
              <w:rPr>
                <w:b/>
                <w:bCs/>
                <w:sz w:val="24"/>
              </w:rPr>
            </w:pPr>
            <w:r>
              <w:rPr>
                <w:rFonts w:hint="eastAsia"/>
                <w:b/>
                <w:bCs/>
                <w:sz w:val="24"/>
              </w:rPr>
              <w:t>3、噪声</w:t>
            </w:r>
          </w:p>
          <w:p>
            <w:pPr>
              <w:spacing w:line="360" w:lineRule="auto"/>
              <w:ind w:firstLine="480" w:firstLineChars="200"/>
              <w:rPr>
                <w:sz w:val="24"/>
              </w:rPr>
            </w:pPr>
            <w:r>
              <w:rPr>
                <w:sz w:val="24"/>
              </w:rPr>
              <w:t>本项目在施工过程中，机械设备施工过程和安装设备产生的噪声源强为 75-90dB</w:t>
            </w:r>
            <w:r>
              <w:rPr>
                <w:rFonts w:hint="eastAsia"/>
                <w:sz w:val="24"/>
              </w:rPr>
              <w:t>（A）</w:t>
            </w:r>
            <w:r>
              <w:rPr>
                <w:sz w:val="24"/>
              </w:rPr>
              <w:t>。项目在施工期间采取以下措施：选用低噪声设备、合理安排施工时间，避免夜间施工；高噪声设备远离敏感点布置，并安装减振隔音基础；减少同时施工等。在采取上述措施后，施工现场场界噪声可满足《建筑施工场界噪声排放标准》</w:t>
            </w:r>
            <w:r>
              <w:rPr>
                <w:rFonts w:hint="eastAsia"/>
                <w:sz w:val="24"/>
              </w:rPr>
              <w:t>（</w:t>
            </w:r>
            <w:r>
              <w:rPr>
                <w:sz w:val="24"/>
              </w:rPr>
              <w:t>GB12523-20</w:t>
            </w:r>
            <w:r>
              <w:rPr>
                <w:rFonts w:hint="eastAsia"/>
                <w:sz w:val="24"/>
              </w:rPr>
              <w:t>25）</w:t>
            </w:r>
            <w:r>
              <w:rPr>
                <w:sz w:val="24"/>
              </w:rPr>
              <w:t>中规定的噪声限值要求，对</w:t>
            </w:r>
            <w:r>
              <w:rPr>
                <w:rFonts w:hint="eastAsia"/>
                <w:sz w:val="24"/>
              </w:rPr>
              <w:t>声</w:t>
            </w:r>
            <w:r>
              <w:rPr>
                <w:sz w:val="24"/>
              </w:rPr>
              <w:t>环境影响不大</w:t>
            </w:r>
            <w:r>
              <w:rPr>
                <w:rFonts w:hint="eastAsia"/>
                <w:sz w:val="24"/>
              </w:rPr>
              <w:t>。</w:t>
            </w:r>
          </w:p>
          <w:p>
            <w:pPr>
              <w:spacing w:line="360" w:lineRule="auto"/>
              <w:ind w:firstLine="482" w:firstLineChars="200"/>
              <w:rPr>
                <w:b/>
                <w:bCs/>
                <w:sz w:val="24"/>
              </w:rPr>
            </w:pPr>
            <w:r>
              <w:rPr>
                <w:rFonts w:hint="eastAsia"/>
                <w:b/>
                <w:bCs/>
                <w:sz w:val="24"/>
              </w:rPr>
              <w:t>4、固体废物</w:t>
            </w:r>
          </w:p>
          <w:p>
            <w:pPr>
              <w:spacing w:line="360" w:lineRule="auto"/>
              <w:ind w:firstLine="480" w:firstLineChars="200"/>
              <w:rPr>
                <w:rFonts w:ascii="宋体" w:hAnsi="宋体" w:cs="宋体"/>
                <w:bCs/>
                <w:spacing w:val="-10"/>
                <w:sz w:val="24"/>
              </w:rPr>
            </w:pPr>
            <w:r>
              <w:rPr>
                <w:rFonts w:hint="eastAsia"/>
                <w:sz w:val="24"/>
              </w:rPr>
              <w:t>本项目</w:t>
            </w:r>
            <w:r>
              <w:rPr>
                <w:sz w:val="24"/>
              </w:rPr>
              <w:t>施工期</w:t>
            </w:r>
            <w:r>
              <w:rPr>
                <w:rFonts w:hint="eastAsia"/>
                <w:sz w:val="24"/>
              </w:rPr>
              <w:t>产生的固体废物为建筑垃圾和</w:t>
            </w:r>
            <w:r>
              <w:rPr>
                <w:sz w:val="24"/>
              </w:rPr>
              <w:t>施工人员生活垃圾</w:t>
            </w:r>
            <w:r>
              <w:rPr>
                <w:rFonts w:hint="eastAsia"/>
                <w:sz w:val="24"/>
              </w:rPr>
              <w:t>。</w:t>
            </w:r>
            <w:r>
              <w:rPr>
                <w:sz w:val="24"/>
              </w:rPr>
              <w:t>施工期产生的生活垃圾采用垃圾箱收集，由环卫部门定期清运处置</w:t>
            </w:r>
            <w:r>
              <w:rPr>
                <w:rFonts w:hint="eastAsia"/>
                <w:sz w:val="24"/>
              </w:rPr>
              <w:t>。建筑垃圾运至城建部门规定的填埋场所处理。本项目施工期固体废物均合理处置，且施工期较短，随着工程的竣工而结束，对周围环境影响不大。</w:t>
            </w:r>
          </w:p>
        </w:tc>
      </w:tr>
      <w:tr>
        <w:trPr>
          <w:trHeight w:val="5802" w:hRule="atLeast"/>
          <w:jc w:val="center"/>
        </w:trPr>
        <w:tc>
          <w:tcPr>
            <w:tcW w:w="498" w:type="dxa"/>
            <w:tcMar>
              <w:left w:w="28" w:type="dxa"/>
              <w:right w:w="28" w:type="dxa"/>
            </w:tcMar>
            <w:vAlign w:val="center"/>
          </w:tcPr>
          <w:p>
            <w:pPr>
              <w:spacing w:line="360" w:lineRule="auto"/>
              <w:jc w:val="center"/>
              <w:rPr>
                <w:rFonts w:ascii="宋体" w:hAnsi="宋体" w:cs="宋体"/>
                <w:bCs/>
                <w:sz w:val="24"/>
              </w:rPr>
            </w:pPr>
          </w:p>
          <w:p>
            <w:pPr>
              <w:spacing w:line="360" w:lineRule="auto"/>
              <w:jc w:val="center"/>
              <w:rPr>
                <w:rFonts w:ascii="宋体" w:hAnsi="宋体" w:cs="宋体"/>
                <w:bCs/>
                <w:sz w:val="24"/>
              </w:rPr>
            </w:pPr>
          </w:p>
          <w:p>
            <w:pPr>
              <w:spacing w:line="360" w:lineRule="auto"/>
              <w:jc w:val="center"/>
              <w:rPr>
                <w:rFonts w:ascii="宋体" w:hAnsi="宋体" w:cs="宋体"/>
                <w:bCs/>
                <w:sz w:val="24"/>
              </w:rPr>
            </w:pPr>
          </w:p>
        </w:tc>
        <w:tc>
          <w:tcPr>
            <w:tcW w:w="8615" w:type="dxa"/>
            <w:vAlign w:val="top"/>
          </w:tcPr>
          <w:p>
            <w:pPr>
              <w:spacing w:line="360" w:lineRule="auto"/>
              <w:ind w:firstLine="482" w:firstLineChars="200"/>
              <w:rPr>
                <w:b/>
                <w:bCs/>
                <w:sz w:val="24"/>
              </w:rPr>
            </w:pPr>
            <w:r>
              <w:rPr>
                <w:rFonts w:hint="eastAsia"/>
                <w:b/>
                <w:bCs/>
                <w:sz w:val="24"/>
              </w:rPr>
              <w:t>一、废气</w:t>
            </w:r>
          </w:p>
          <w:p>
            <w:pPr>
              <w:widowControl/>
              <w:spacing w:line="360" w:lineRule="auto"/>
              <w:ind w:firstLine="480" w:firstLineChars="200"/>
              <w:jc w:val="left"/>
            </w:pPr>
            <w:r>
              <w:rPr>
                <w:rFonts w:hint="eastAsia" w:ascii="宋体" w:hAnsi="宋体" w:cs="宋体"/>
                <w:color w:val="000000"/>
                <w:kern w:val="0"/>
                <w:sz w:val="24"/>
              </w:rPr>
              <w:t>本项目运营期废气主要为拆解预处理废液排空废气、剪切过程中产生的粉尘、危险废物贮存区有机废气。</w:t>
            </w:r>
          </w:p>
          <w:p>
            <w:pPr>
              <w:widowControl/>
              <w:spacing w:line="360" w:lineRule="auto"/>
              <w:ind w:firstLine="480" w:firstLineChars="200"/>
              <w:rPr>
                <w:color w:val="000000"/>
              </w:rPr>
            </w:pPr>
            <w:r>
              <w:rPr>
                <w:rFonts w:hint="eastAsia" w:ascii="宋体" w:hAnsi="宋体" w:cs="宋体"/>
                <w:color w:val="000000"/>
                <w:kern w:val="0"/>
                <w:sz w:val="24"/>
              </w:rPr>
              <w:t xml:space="preserve">1、源强核算 </w:t>
            </w:r>
          </w:p>
          <w:p>
            <w:pPr>
              <w:widowControl/>
              <w:spacing w:line="360" w:lineRule="auto"/>
              <w:ind w:firstLine="480" w:firstLineChars="200"/>
              <w:rPr>
                <w:i/>
                <w:iCs/>
                <w:color w:val="000000"/>
                <w:sz w:val="24"/>
                <w:u w:val="single"/>
              </w:rPr>
            </w:pPr>
            <w:r>
              <w:rPr>
                <w:i/>
                <w:iCs/>
                <w:color w:val="000000"/>
                <w:kern w:val="0"/>
                <w:sz w:val="24"/>
                <w:u w:val="single"/>
              </w:rPr>
              <w:t>a.</w:t>
            </w:r>
            <w:r>
              <w:rPr>
                <w:rFonts w:hint="eastAsia" w:ascii="宋体" w:hAnsi="宋体" w:cs="宋体"/>
                <w:i/>
                <w:iCs/>
                <w:color w:val="000000"/>
                <w:kern w:val="0"/>
                <w:sz w:val="24"/>
                <w:u w:val="single"/>
              </w:rPr>
              <w:t xml:space="preserve">粉尘 </w:t>
            </w:r>
          </w:p>
          <w:p>
            <w:pPr>
              <w:widowControl/>
              <w:spacing w:line="360" w:lineRule="auto"/>
              <w:ind w:firstLine="480" w:firstLineChars="200"/>
              <w:rPr>
                <w:rFonts w:ascii="宋体" w:hAnsi="宋体" w:cs="宋体"/>
                <w:i/>
                <w:iCs/>
                <w:color w:val="000000"/>
                <w:sz w:val="24"/>
                <w:u w:val="single"/>
              </w:rPr>
            </w:pPr>
            <w:r>
              <w:rPr>
                <w:rFonts w:hint="eastAsia" w:ascii="宋体" w:hAnsi="宋体" w:cs="宋体"/>
                <w:i/>
                <w:iCs/>
                <w:color w:val="000000"/>
                <w:kern w:val="0"/>
                <w:sz w:val="24"/>
                <w:u w:val="single"/>
              </w:rPr>
              <w:t>本项目报废农机进行拆解时需进行剪断，剪断时产生粉尘。本项目不进一步破碎，因此无破碎粉尘产生。根据《排放源统计调查产排污核算方法和系数手册》中4210金属废料和碎屑加工处理行业系数手册进行核算，剪切废气产污系数为7.2克/吨-原料，本项目农机主体主要为钢铁以及其他有色金属，按前文物料平衡分析，拆解后产生待剪断的钢铁为1370.5t，废总成825t，总重量约为2195.5t，颗粒物产生量为0.016t/a，</w:t>
            </w:r>
            <w:r>
              <w:rPr>
                <w:rFonts w:hint="eastAsia" w:ascii="宋体" w:hAnsi="宋体" w:cs="宋体"/>
                <w:i/>
                <w:iCs/>
                <w:color w:val="000000"/>
                <w:sz w:val="24"/>
                <w:u w:val="single"/>
              </w:rPr>
              <w:t>本项目在剪切工位上方设置集尘罩，</w:t>
            </w:r>
            <w:r>
              <w:rPr>
                <w:rFonts w:hint="eastAsia" w:ascii="宋体" w:hAnsi="宋体" w:cs="宋体"/>
                <w:i/>
                <w:iCs/>
                <w:color w:val="000000"/>
                <w:kern w:val="0"/>
                <w:sz w:val="24"/>
                <w:u w:val="single"/>
              </w:rPr>
              <w:t>集气装置风量为1500m³/h，剪切粉尘通过集气装置收集后，采用布袋除尘器处理后由15m高排气筒排放。布袋除尘器除尘效率不低于95％，集气罩收集效率按照90％计，拆解天数为50天，每天8h，故本项目剪切粉尘有组织排放量为0.0007t/a，排放浓度为1.17mg/m³，排放速率为0.0018kg/h。未能收集的粉尘无组织排放，则无组织粉尘排放量为0.0016t/a。</w:t>
            </w:r>
          </w:p>
          <w:p>
            <w:pPr>
              <w:widowControl/>
              <w:spacing w:line="360" w:lineRule="auto"/>
              <w:ind w:firstLine="480" w:firstLineChars="200"/>
              <w:rPr>
                <w:i/>
                <w:iCs/>
                <w:color w:val="000000"/>
                <w:sz w:val="24"/>
                <w:u w:val="single"/>
              </w:rPr>
            </w:pPr>
            <w:r>
              <w:rPr>
                <w:i/>
                <w:iCs/>
                <w:color w:val="000000"/>
                <w:kern w:val="0"/>
                <w:sz w:val="24"/>
                <w:u w:val="single"/>
              </w:rPr>
              <w:t>b.</w:t>
            </w:r>
            <w:r>
              <w:rPr>
                <w:rFonts w:hint="eastAsia" w:ascii="宋体" w:hAnsi="宋体" w:cs="宋体"/>
                <w:i/>
                <w:iCs/>
                <w:color w:val="000000"/>
                <w:kern w:val="0"/>
                <w:sz w:val="24"/>
                <w:u w:val="single"/>
              </w:rPr>
              <w:t xml:space="preserve">非甲烷总烃 </w:t>
            </w:r>
          </w:p>
          <w:p>
            <w:pPr>
              <w:widowControl/>
              <w:spacing w:line="360" w:lineRule="auto"/>
              <w:ind w:firstLine="480" w:firstLineChars="200"/>
              <w:rPr>
                <w:rFonts w:ascii="宋体" w:hAnsi="宋体" w:cs="宋体"/>
                <w:i/>
                <w:iCs/>
                <w:color w:val="000000"/>
                <w:kern w:val="0"/>
                <w:sz w:val="24"/>
                <w:u w:val="single"/>
              </w:rPr>
            </w:pPr>
            <w:r>
              <w:rPr>
                <w:rFonts w:hint="eastAsia" w:ascii="宋体" w:hAnsi="宋体" w:cs="宋体"/>
                <w:i/>
                <w:iCs/>
                <w:color w:val="000000"/>
                <w:kern w:val="0"/>
                <w:sz w:val="24"/>
                <w:u w:val="single"/>
              </w:rPr>
              <w:t>本项目采用抽油机对报废农机车内的废油液封闭式抽取，再利用真空抽油机对车内残余的油液或变速箱内的残余机油抽取出来，由于报废农机内汽、柴油含量较少，且卸油、收集过程时间较短，因此在报废农机内及卸油、收集过程中非甲烷总烃的挥发量较少。油液抽取后在密闭容器内封存，可能产生的非甲烷总烃废气的环节主要为排空油液的过程中油液的挥发过程。参照《散装液态石油类产品损耗》 （</w:t>
            </w:r>
            <w:r>
              <w:rPr>
                <w:i/>
                <w:iCs/>
                <w:color w:val="000000"/>
                <w:kern w:val="0"/>
                <w:sz w:val="24"/>
                <w:u w:val="single"/>
              </w:rPr>
              <w:t>GB11085-1989</w:t>
            </w:r>
            <w:r>
              <w:rPr>
                <w:rFonts w:hint="eastAsia" w:ascii="宋体" w:hAnsi="宋体" w:cs="宋体"/>
                <w:i/>
                <w:iCs/>
                <w:color w:val="000000"/>
                <w:kern w:val="0"/>
                <w:sz w:val="24"/>
                <w:u w:val="single"/>
              </w:rPr>
              <w:t>）计算汽油挥发产生的非甲烷总烃。根据</w:t>
            </w:r>
            <w:r>
              <w:rPr>
                <w:i/>
                <w:iCs/>
                <w:color w:val="000000"/>
                <w:kern w:val="0"/>
                <w:sz w:val="24"/>
                <w:u w:val="single"/>
              </w:rPr>
              <w:t>“</w:t>
            </w:r>
            <w:r>
              <w:rPr>
                <w:rFonts w:hint="eastAsia" w:ascii="宋体" w:hAnsi="宋体" w:cs="宋体"/>
                <w:i/>
                <w:iCs/>
                <w:color w:val="000000"/>
                <w:kern w:val="0"/>
                <w:sz w:val="24"/>
                <w:u w:val="single"/>
              </w:rPr>
              <w:t>表</w:t>
            </w:r>
            <w:r>
              <w:rPr>
                <w:i/>
                <w:iCs/>
                <w:color w:val="000000"/>
                <w:kern w:val="0"/>
                <w:sz w:val="24"/>
                <w:u w:val="single"/>
              </w:rPr>
              <w:t>5</w:t>
            </w:r>
            <w:r>
              <w:rPr>
                <w:rFonts w:hint="eastAsia" w:ascii="宋体" w:hAnsi="宋体" w:cs="宋体"/>
                <w:i/>
                <w:iCs/>
                <w:color w:val="000000"/>
                <w:kern w:val="0"/>
                <w:sz w:val="24"/>
                <w:u w:val="single"/>
              </w:rPr>
              <w:t>输转损耗率</w:t>
            </w:r>
            <w:r>
              <w:rPr>
                <w:i/>
                <w:iCs/>
                <w:color w:val="000000"/>
                <w:kern w:val="0"/>
                <w:sz w:val="24"/>
                <w:u w:val="single"/>
              </w:rPr>
              <w:t>”</w:t>
            </w:r>
            <w:r>
              <w:rPr>
                <w:rFonts w:hint="eastAsia" w:ascii="宋体" w:hAnsi="宋体" w:cs="宋体"/>
                <w:i/>
                <w:iCs/>
                <w:color w:val="000000"/>
                <w:kern w:val="0"/>
                <w:sz w:val="24"/>
                <w:u w:val="single"/>
              </w:rPr>
              <w:t>及</w:t>
            </w:r>
            <w:r>
              <w:rPr>
                <w:i/>
                <w:iCs/>
                <w:color w:val="000000"/>
                <w:kern w:val="0"/>
                <w:sz w:val="24"/>
                <w:u w:val="single"/>
              </w:rPr>
              <w:t>“</w:t>
            </w:r>
            <w:r>
              <w:rPr>
                <w:rFonts w:hint="eastAsia" w:ascii="宋体" w:hAnsi="宋体" w:cs="宋体"/>
                <w:i/>
                <w:iCs/>
                <w:color w:val="000000"/>
                <w:kern w:val="0"/>
                <w:sz w:val="24"/>
                <w:u w:val="single"/>
              </w:rPr>
              <w:t>表</w:t>
            </w:r>
            <w:r>
              <w:rPr>
                <w:i/>
                <w:iCs/>
                <w:color w:val="000000"/>
                <w:kern w:val="0"/>
                <w:sz w:val="24"/>
                <w:u w:val="single"/>
              </w:rPr>
              <w:t>6</w:t>
            </w:r>
            <w:r>
              <w:rPr>
                <w:rFonts w:hint="eastAsia" w:ascii="宋体" w:hAnsi="宋体" w:cs="宋体"/>
                <w:i/>
                <w:iCs/>
                <w:color w:val="000000"/>
                <w:kern w:val="0"/>
                <w:sz w:val="24"/>
                <w:u w:val="single"/>
              </w:rPr>
              <w:t>灌桶损耗率</w:t>
            </w:r>
            <w:r>
              <w:rPr>
                <w:i/>
                <w:iCs/>
                <w:color w:val="000000"/>
                <w:kern w:val="0"/>
                <w:sz w:val="24"/>
                <w:u w:val="single"/>
              </w:rPr>
              <w:t>”</w:t>
            </w:r>
            <w:r>
              <w:rPr>
                <w:rFonts w:hint="eastAsia" w:ascii="宋体" w:hAnsi="宋体" w:cs="宋体"/>
                <w:i/>
                <w:iCs/>
                <w:color w:val="000000"/>
                <w:kern w:val="0"/>
                <w:sz w:val="24"/>
                <w:u w:val="single"/>
              </w:rPr>
              <w:t>中规定的汽油最大输转损耗率为</w:t>
            </w:r>
            <w:r>
              <w:rPr>
                <w:i/>
                <w:iCs/>
                <w:color w:val="000000"/>
                <w:kern w:val="0"/>
                <w:sz w:val="24"/>
                <w:u w:val="single"/>
              </w:rPr>
              <w:t>0.22%</w:t>
            </w:r>
            <w:r>
              <w:rPr>
                <w:rFonts w:hint="eastAsia" w:ascii="宋体" w:hAnsi="宋体" w:cs="宋体"/>
                <w:i/>
                <w:iCs/>
                <w:color w:val="000000"/>
                <w:kern w:val="0"/>
                <w:sz w:val="24"/>
                <w:u w:val="single"/>
              </w:rPr>
              <w:t>，罐桶损耗率为</w:t>
            </w:r>
            <w:r>
              <w:rPr>
                <w:i/>
                <w:iCs/>
                <w:color w:val="000000"/>
                <w:kern w:val="0"/>
                <w:sz w:val="24"/>
                <w:u w:val="single"/>
              </w:rPr>
              <w:t>0.18%</w:t>
            </w:r>
            <w:r>
              <w:rPr>
                <w:rFonts w:hint="eastAsia" w:ascii="宋体" w:hAnsi="宋体" w:cs="宋体"/>
                <w:i/>
                <w:iCs/>
                <w:color w:val="000000"/>
                <w:kern w:val="0"/>
                <w:sz w:val="24"/>
                <w:u w:val="single"/>
              </w:rPr>
              <w:t>，则回收过程中综合蒸发损失按总量</w:t>
            </w:r>
            <w:r>
              <w:rPr>
                <w:i/>
                <w:iCs/>
                <w:color w:val="000000"/>
                <w:kern w:val="0"/>
                <w:sz w:val="24"/>
                <w:u w:val="single"/>
              </w:rPr>
              <w:t>0.4%</w:t>
            </w:r>
            <w:r>
              <w:rPr>
                <w:rFonts w:hint="eastAsia" w:ascii="宋体" w:hAnsi="宋体" w:cs="宋体"/>
                <w:i/>
                <w:iCs/>
                <w:color w:val="000000"/>
                <w:kern w:val="0"/>
                <w:sz w:val="24"/>
                <w:u w:val="single"/>
              </w:rPr>
              <w:t>计。平均每天抽取时间</w:t>
            </w:r>
            <w:r>
              <w:rPr>
                <w:rFonts w:hint="eastAsia"/>
                <w:i/>
                <w:iCs/>
                <w:color w:val="000000"/>
                <w:kern w:val="0"/>
                <w:sz w:val="24"/>
                <w:u w:val="single"/>
              </w:rPr>
              <w:t>2</w:t>
            </w:r>
            <w:r>
              <w:rPr>
                <w:rFonts w:hint="eastAsia" w:ascii="宋体" w:hAnsi="宋体" w:cs="宋体"/>
                <w:i/>
                <w:iCs/>
                <w:color w:val="000000"/>
                <w:kern w:val="0"/>
                <w:sz w:val="24"/>
                <w:u w:val="single"/>
              </w:rPr>
              <w:t>小时计。年工作50天计，本项目废油液回收约3.8</w:t>
            </w:r>
            <w:r>
              <w:rPr>
                <w:i/>
                <w:iCs/>
                <w:color w:val="000000"/>
                <w:kern w:val="0"/>
                <w:sz w:val="24"/>
                <w:u w:val="single"/>
              </w:rPr>
              <w:t>t/a</w:t>
            </w:r>
            <w:r>
              <w:rPr>
                <w:rFonts w:hint="eastAsia" w:ascii="宋体" w:hAnsi="宋体" w:cs="宋体"/>
                <w:i/>
                <w:iCs/>
                <w:color w:val="000000"/>
                <w:kern w:val="0"/>
                <w:sz w:val="24"/>
                <w:u w:val="single"/>
              </w:rPr>
              <w:t>，则非甲烷总烃的产生量为</w:t>
            </w:r>
            <w:r>
              <w:rPr>
                <w:rFonts w:hint="eastAsia"/>
                <w:i/>
                <w:iCs/>
                <w:color w:val="000000"/>
                <w:kern w:val="0"/>
                <w:sz w:val="24"/>
                <w:u w:val="single"/>
              </w:rPr>
              <w:t>0.015</w:t>
            </w:r>
            <w:r>
              <w:rPr>
                <w:i/>
                <w:iCs/>
                <w:color w:val="000000"/>
                <w:kern w:val="0"/>
                <w:sz w:val="24"/>
                <w:u w:val="single"/>
              </w:rPr>
              <w:t>t/a</w:t>
            </w:r>
            <w:r>
              <w:rPr>
                <w:rFonts w:hint="eastAsia" w:ascii="宋体" w:hAnsi="宋体" w:cs="宋体"/>
                <w:i/>
                <w:iCs/>
                <w:color w:val="000000"/>
                <w:kern w:val="0"/>
                <w:sz w:val="24"/>
                <w:u w:val="single"/>
              </w:rPr>
              <w:t>（</w:t>
            </w:r>
            <w:r>
              <w:rPr>
                <w:rFonts w:hint="eastAsia"/>
                <w:i/>
                <w:iCs/>
                <w:color w:val="000000"/>
                <w:kern w:val="0"/>
                <w:sz w:val="24"/>
                <w:u w:val="single"/>
              </w:rPr>
              <w:t>0.15</w:t>
            </w:r>
            <w:r>
              <w:rPr>
                <w:i/>
                <w:iCs/>
                <w:color w:val="000000"/>
                <w:kern w:val="0"/>
                <w:sz w:val="24"/>
                <w:u w:val="single"/>
              </w:rPr>
              <w:t>kg/h</w:t>
            </w:r>
            <w:r>
              <w:rPr>
                <w:rFonts w:hint="eastAsia" w:ascii="宋体" w:hAnsi="宋体" w:cs="宋体"/>
                <w:i/>
                <w:iCs/>
                <w:color w:val="000000"/>
                <w:kern w:val="0"/>
                <w:sz w:val="24"/>
                <w:u w:val="single"/>
              </w:rPr>
              <w:t>）。本项目拟在农机预处理工位设置可移动式集气罩，在不影响操作的情况下，将可移动式集气罩尽量接近并对准抽取点，根据实际抽取操作方式选择侧吸或顶吸方式收集逸散的挥发性有机物，经收集后的废气由活性炭吸附装置进行净化，处理后的废气经</w:t>
            </w:r>
            <w:r>
              <w:rPr>
                <w:i/>
                <w:iCs/>
                <w:color w:val="000000"/>
                <w:kern w:val="0"/>
                <w:sz w:val="24"/>
                <w:u w:val="single"/>
              </w:rPr>
              <w:t>15m</w:t>
            </w:r>
            <w:r>
              <w:rPr>
                <w:rFonts w:hint="eastAsia" w:ascii="宋体" w:hAnsi="宋体" w:cs="宋体"/>
                <w:i/>
                <w:iCs/>
                <w:color w:val="000000"/>
                <w:kern w:val="0"/>
                <w:sz w:val="24"/>
                <w:u w:val="single"/>
              </w:rPr>
              <w:t>高排气筒排放（</w:t>
            </w:r>
            <w:r>
              <w:rPr>
                <w:i/>
                <w:iCs/>
                <w:color w:val="000000"/>
                <w:kern w:val="0"/>
                <w:sz w:val="24"/>
                <w:u w:val="single"/>
              </w:rPr>
              <w:t>DA001</w:t>
            </w:r>
            <w:r>
              <w:rPr>
                <w:rFonts w:hint="eastAsia" w:ascii="宋体" w:hAnsi="宋体" w:cs="宋体"/>
                <w:i/>
                <w:iCs/>
                <w:color w:val="000000"/>
                <w:kern w:val="0"/>
                <w:sz w:val="24"/>
                <w:u w:val="single"/>
              </w:rPr>
              <w:t>）。集气罩收集效率按</w:t>
            </w:r>
            <w:r>
              <w:rPr>
                <w:rFonts w:hint="eastAsia"/>
                <w:i/>
                <w:iCs/>
                <w:color w:val="000000"/>
                <w:kern w:val="0"/>
                <w:sz w:val="24"/>
                <w:u w:val="single"/>
              </w:rPr>
              <w:t>90</w:t>
            </w:r>
            <w:r>
              <w:rPr>
                <w:i/>
                <w:iCs/>
                <w:color w:val="000000"/>
                <w:kern w:val="0"/>
                <w:sz w:val="24"/>
                <w:u w:val="single"/>
              </w:rPr>
              <w:t>%</w:t>
            </w:r>
            <w:r>
              <w:rPr>
                <w:rFonts w:hint="eastAsia" w:ascii="宋体" w:hAnsi="宋体" w:cs="宋体"/>
                <w:i/>
                <w:iCs/>
                <w:color w:val="000000"/>
                <w:kern w:val="0"/>
                <w:sz w:val="24"/>
                <w:u w:val="single"/>
              </w:rPr>
              <w:t>计，活性炭吸附装置处理效率按</w:t>
            </w:r>
            <w:r>
              <w:rPr>
                <w:i/>
                <w:iCs/>
                <w:color w:val="000000"/>
                <w:kern w:val="0"/>
                <w:sz w:val="24"/>
                <w:u w:val="single"/>
              </w:rPr>
              <w:t>80%</w:t>
            </w:r>
            <w:r>
              <w:rPr>
                <w:rFonts w:hint="eastAsia" w:ascii="宋体" w:hAnsi="宋体" w:cs="宋体"/>
                <w:i/>
                <w:iCs/>
                <w:color w:val="000000"/>
                <w:kern w:val="0"/>
                <w:sz w:val="24"/>
                <w:u w:val="single"/>
              </w:rPr>
              <w:t>计，有组织排放量为</w:t>
            </w:r>
            <w:r>
              <w:rPr>
                <w:i/>
                <w:iCs/>
                <w:color w:val="000000"/>
                <w:kern w:val="0"/>
                <w:sz w:val="24"/>
                <w:u w:val="single"/>
              </w:rPr>
              <w:t>0.0</w:t>
            </w:r>
            <w:r>
              <w:rPr>
                <w:rFonts w:hint="eastAsia"/>
                <w:i/>
                <w:iCs/>
                <w:color w:val="000000"/>
                <w:kern w:val="0"/>
                <w:sz w:val="24"/>
                <w:u w:val="single"/>
              </w:rPr>
              <w:t>027</w:t>
            </w:r>
            <w:r>
              <w:rPr>
                <w:i/>
                <w:iCs/>
                <w:color w:val="000000"/>
                <w:kern w:val="0"/>
                <w:sz w:val="24"/>
                <w:u w:val="single"/>
              </w:rPr>
              <w:t>t/a</w:t>
            </w:r>
            <w:r>
              <w:rPr>
                <w:rFonts w:hint="eastAsia" w:ascii="宋体" w:hAnsi="宋体" w:cs="宋体"/>
                <w:i/>
                <w:iCs/>
                <w:color w:val="000000"/>
                <w:kern w:val="0"/>
                <w:sz w:val="24"/>
                <w:u w:val="single"/>
              </w:rPr>
              <w:t>（</w:t>
            </w:r>
            <w:r>
              <w:rPr>
                <w:rFonts w:hint="eastAsia"/>
                <w:i/>
                <w:iCs/>
                <w:color w:val="000000"/>
                <w:kern w:val="0"/>
                <w:sz w:val="24"/>
                <w:u w:val="single"/>
              </w:rPr>
              <w:t>0.0275</w:t>
            </w:r>
            <w:r>
              <w:rPr>
                <w:i/>
                <w:iCs/>
                <w:color w:val="000000"/>
                <w:kern w:val="0"/>
                <w:sz w:val="24"/>
                <w:u w:val="single"/>
              </w:rPr>
              <w:t>kg/h</w:t>
            </w:r>
            <w:r>
              <w:rPr>
                <w:rFonts w:hint="eastAsia" w:ascii="宋体" w:hAnsi="宋体" w:cs="宋体"/>
                <w:i/>
                <w:iCs/>
                <w:color w:val="000000"/>
                <w:kern w:val="0"/>
                <w:sz w:val="24"/>
                <w:u w:val="single"/>
              </w:rPr>
              <w:t>），风机风量为</w:t>
            </w:r>
            <w:r>
              <w:rPr>
                <w:rFonts w:hint="eastAsia"/>
                <w:i/>
                <w:iCs/>
                <w:color w:val="000000"/>
                <w:kern w:val="0"/>
                <w:sz w:val="24"/>
                <w:u w:val="single"/>
              </w:rPr>
              <w:t>15</w:t>
            </w:r>
            <w:r>
              <w:rPr>
                <w:i/>
                <w:iCs/>
                <w:color w:val="000000"/>
                <w:kern w:val="0"/>
                <w:sz w:val="24"/>
                <w:u w:val="single"/>
              </w:rPr>
              <w:t>00m</w:t>
            </w:r>
            <w:r>
              <w:rPr>
                <w:rFonts w:hint="eastAsia"/>
                <w:i/>
                <w:iCs/>
                <w:color w:val="000000"/>
                <w:kern w:val="0"/>
                <w:sz w:val="24"/>
                <w:u w:val="single"/>
                <w:vertAlign w:val="superscript"/>
              </w:rPr>
              <w:t>3</w:t>
            </w:r>
            <w:r>
              <w:rPr>
                <w:i/>
                <w:iCs/>
                <w:color w:val="000000"/>
                <w:kern w:val="0"/>
                <w:sz w:val="24"/>
                <w:u w:val="single"/>
              </w:rPr>
              <w:t>/h</w:t>
            </w:r>
            <w:r>
              <w:rPr>
                <w:rFonts w:hint="eastAsia" w:ascii="宋体" w:hAnsi="宋体" w:cs="宋体"/>
                <w:i/>
                <w:iCs/>
                <w:color w:val="000000"/>
                <w:kern w:val="0"/>
                <w:sz w:val="24"/>
                <w:u w:val="single"/>
              </w:rPr>
              <w:t>，排放浓度为</w:t>
            </w:r>
            <w:r>
              <w:rPr>
                <w:rFonts w:hint="eastAsia"/>
                <w:i/>
                <w:iCs/>
                <w:color w:val="000000"/>
                <w:kern w:val="0"/>
                <w:sz w:val="24"/>
                <w:u w:val="single"/>
              </w:rPr>
              <w:t>18</w:t>
            </w:r>
            <w:r>
              <w:rPr>
                <w:i/>
                <w:iCs/>
                <w:color w:val="000000"/>
                <w:kern w:val="0"/>
                <w:sz w:val="24"/>
                <w:u w:val="single"/>
              </w:rPr>
              <w:t>mg/m</w:t>
            </w:r>
            <w:r>
              <w:rPr>
                <w:i/>
                <w:iCs/>
                <w:color w:val="000000"/>
                <w:kern w:val="0"/>
                <w:sz w:val="24"/>
                <w:u w:val="single"/>
                <w:vertAlign w:val="superscript"/>
              </w:rPr>
              <w:t>3</w:t>
            </w:r>
            <w:r>
              <w:rPr>
                <w:rFonts w:hint="eastAsia" w:ascii="宋体" w:hAnsi="宋体" w:cs="宋体"/>
                <w:i/>
                <w:iCs/>
                <w:color w:val="000000"/>
                <w:kern w:val="0"/>
                <w:sz w:val="24"/>
                <w:u w:val="single"/>
              </w:rPr>
              <w:t>。废气满足</w:t>
            </w:r>
            <w:r>
              <w:rPr>
                <w:i/>
                <w:iCs/>
                <w:color w:val="000000"/>
                <w:kern w:val="0"/>
                <w:sz w:val="24"/>
                <w:u w:val="single"/>
              </w:rPr>
              <w:t>GB16297-1996</w:t>
            </w:r>
            <w:r>
              <w:rPr>
                <w:rFonts w:hint="eastAsia" w:ascii="宋体" w:hAnsi="宋体" w:cs="宋体"/>
                <w:i/>
                <w:iCs/>
                <w:color w:val="000000"/>
                <w:kern w:val="0"/>
                <w:sz w:val="24"/>
                <w:u w:val="single"/>
              </w:rPr>
              <w:t>《大气污染物综合排放标准》（</w:t>
            </w:r>
            <w:r>
              <w:rPr>
                <w:i/>
                <w:iCs/>
                <w:color w:val="000000"/>
                <w:kern w:val="0"/>
                <w:sz w:val="24"/>
                <w:u w:val="single"/>
              </w:rPr>
              <w:t>GB16297-1996</w:t>
            </w:r>
            <w:r>
              <w:rPr>
                <w:rFonts w:hint="eastAsia" w:ascii="宋体" w:hAnsi="宋体" w:cs="宋体"/>
                <w:i/>
                <w:iCs/>
                <w:color w:val="000000"/>
                <w:kern w:val="0"/>
                <w:sz w:val="24"/>
                <w:u w:val="single"/>
              </w:rPr>
              <w:t>）中表</w:t>
            </w:r>
            <w:r>
              <w:rPr>
                <w:i/>
                <w:iCs/>
                <w:color w:val="000000"/>
                <w:kern w:val="0"/>
                <w:sz w:val="24"/>
                <w:u w:val="single"/>
              </w:rPr>
              <w:t>2</w:t>
            </w:r>
            <w:r>
              <w:rPr>
                <w:rFonts w:hint="eastAsia" w:ascii="宋体" w:hAnsi="宋体" w:cs="宋体"/>
                <w:i/>
                <w:iCs/>
                <w:color w:val="000000"/>
                <w:kern w:val="0"/>
                <w:sz w:val="24"/>
                <w:u w:val="single"/>
              </w:rPr>
              <w:t>中排放限值要求。未收集的非甲烷总烃以无组织排放，排放量为0.0015</w:t>
            </w:r>
            <w:r>
              <w:rPr>
                <w:i/>
                <w:iCs/>
                <w:color w:val="000000"/>
                <w:kern w:val="0"/>
                <w:sz w:val="24"/>
                <w:u w:val="single"/>
              </w:rPr>
              <w:t>t/a</w:t>
            </w:r>
            <w:r>
              <w:rPr>
                <w:rFonts w:hint="eastAsia"/>
                <w:i/>
                <w:iCs/>
                <w:color w:val="000000"/>
                <w:kern w:val="0"/>
                <w:sz w:val="24"/>
                <w:u w:val="single"/>
              </w:rPr>
              <w:t>，排放速率为（0.015kg/h）</w:t>
            </w:r>
            <w:r>
              <w:rPr>
                <w:rFonts w:hint="eastAsia" w:ascii="宋体" w:hAnsi="宋体" w:cs="宋体"/>
                <w:i/>
                <w:iCs/>
                <w:color w:val="000000"/>
                <w:kern w:val="0"/>
                <w:sz w:val="24"/>
                <w:u w:val="single"/>
              </w:rPr>
              <w:t>。</w:t>
            </w:r>
          </w:p>
          <w:p>
            <w:pPr>
              <w:widowControl/>
              <w:spacing w:line="360" w:lineRule="auto"/>
              <w:ind w:firstLine="480" w:firstLineChars="200"/>
              <w:rPr>
                <w:rFonts w:ascii="宋体" w:hAnsi="宋体" w:cs="宋体"/>
                <w:i/>
                <w:iCs/>
                <w:color w:val="000000"/>
                <w:kern w:val="0"/>
                <w:sz w:val="24"/>
                <w:u w:val="single"/>
              </w:rPr>
            </w:pPr>
            <w:r>
              <w:rPr>
                <w:rFonts w:ascii="宋体" w:hAnsi="宋体" w:cs="宋体"/>
                <w:i/>
                <w:iCs/>
                <w:color w:val="000000"/>
                <w:kern w:val="0"/>
                <w:sz w:val="24"/>
                <w:u w:val="single"/>
              </w:rPr>
              <w:t>本项目报废农机油箱残存油液抽排工序非甲烷总烃参照GB 11085-1989选取 0.4% 综合蒸发损耗系数进行源强核算，具备合理性与工程适用性；GB11085 定义的输转损耗、灌桶损耗本质为：液体有机物料从原有容器转移至新密闭容器过程中液面扰动、气相空间置换产生的汽化损失。本项目工艺：农机油箱→真空抽油设备→密闭收集桶，工序过程同样存在液体转移、液面搅动、容器气相空间油气置换，物理传质机理与标准描述的输转、灌桶工况高度相似。两者区别仅在于容器形式（油箱</w:t>
            </w:r>
            <w:r>
              <w:rPr>
                <w:rFonts w:hint="eastAsia" w:ascii="宋体" w:hAnsi="宋体" w:cs="宋体"/>
                <w:i/>
                <w:iCs/>
                <w:color w:val="000000"/>
                <w:kern w:val="0"/>
                <w:sz w:val="24"/>
                <w:u w:val="single"/>
              </w:rPr>
              <w:t>或</w:t>
            </w:r>
            <w:r>
              <w:rPr>
                <w:rFonts w:ascii="宋体" w:hAnsi="宋体" w:cs="宋体"/>
                <w:i/>
                <w:iCs/>
                <w:color w:val="000000"/>
                <w:kern w:val="0"/>
                <w:sz w:val="24"/>
                <w:u w:val="single"/>
              </w:rPr>
              <w:t>储罐）、单次转移量大小，属于工况形式差异，不改变油气挥发的基本物理机制，具备类比条件。</w:t>
            </w:r>
          </w:p>
          <w:p>
            <w:pPr>
              <w:widowControl/>
              <w:spacing w:line="360" w:lineRule="auto"/>
              <w:ind w:firstLine="480" w:firstLineChars="200"/>
              <w:rPr>
                <w:rFonts w:ascii="宋体" w:hAnsi="宋体" w:cs="宋体"/>
                <w:i/>
                <w:iCs/>
                <w:color w:val="000000"/>
                <w:kern w:val="0"/>
                <w:sz w:val="24"/>
                <w:u w:val="single"/>
              </w:rPr>
            </w:pPr>
            <w:r>
              <w:rPr>
                <w:rFonts w:hint="eastAsia" w:ascii="宋体" w:hAnsi="宋体" w:cs="宋体"/>
                <w:i/>
                <w:iCs/>
                <w:color w:val="000000"/>
                <w:kern w:val="0"/>
                <w:sz w:val="24"/>
                <w:u w:val="single"/>
              </w:rPr>
              <w:t>目前尚未出台</w:t>
            </w:r>
            <w:r>
              <w:rPr>
                <w:rFonts w:ascii="宋体" w:hAnsi="宋体" w:cs="宋体"/>
                <w:i/>
                <w:iCs/>
                <w:color w:val="000000"/>
                <w:kern w:val="0"/>
                <w:sz w:val="24"/>
                <w:u w:val="single"/>
              </w:rPr>
              <w:t>报废农机拆解残油挥发专项核算规范、行业专用产排污系数，</w:t>
            </w:r>
            <w:r>
              <w:rPr>
                <w:rFonts w:hint="eastAsia" w:ascii="宋体" w:hAnsi="宋体" w:cs="宋体"/>
                <w:i/>
                <w:iCs/>
                <w:color w:val="000000"/>
                <w:kern w:val="0"/>
                <w:sz w:val="24"/>
                <w:u w:val="single"/>
              </w:rPr>
              <w:t>本环评采用</w:t>
            </w:r>
            <w:r>
              <w:rPr>
                <w:rFonts w:ascii="宋体" w:hAnsi="宋体" w:cs="宋体"/>
                <w:i/>
                <w:iCs/>
                <w:color w:val="000000"/>
                <w:kern w:val="0"/>
                <w:sz w:val="24"/>
                <w:u w:val="single"/>
              </w:rPr>
              <w:t>该方法属于环评行业通行保守核算方案，优于其他可选核算手段。废农机油箱内残留介质以柴油、少量汽油为主，混存少量机油；其中挥发性贡献主体为轻质燃油馏分，机油、液压油为重质组分，挥发性极低。GB11085-1989 管控对象为汽油、柴油等石油馏分，与农机残油中产生 VOCs 的核心轻质组分化学性质、汽化机理一致；挥发性差异仅体现在重质废润滑油，该类组分挥发贡献极小，不会造成量级偏差。本次核算选取汽油最大损耗参数 0.4%，本身属于偏保守取值，覆盖残存轻质燃油的挥发风险，核算结果偏安全，满足环评</w:t>
            </w:r>
            <w:r>
              <w:rPr>
                <w:rFonts w:hint="eastAsia" w:ascii="宋体" w:hAnsi="宋体" w:cs="宋体"/>
                <w:i/>
                <w:iCs/>
                <w:color w:val="000000"/>
                <w:kern w:val="0"/>
                <w:sz w:val="24"/>
                <w:u w:val="single"/>
              </w:rPr>
              <w:t>不利情况分析</w:t>
            </w:r>
            <w:r>
              <w:rPr>
                <w:rFonts w:ascii="宋体" w:hAnsi="宋体" w:cs="宋体"/>
                <w:i/>
                <w:iCs/>
                <w:color w:val="000000"/>
                <w:kern w:val="0"/>
                <w:sz w:val="24"/>
                <w:u w:val="single"/>
              </w:rPr>
              <w:t>原则。</w:t>
            </w:r>
          </w:p>
          <w:p>
            <w:pPr>
              <w:widowControl/>
              <w:spacing w:line="360" w:lineRule="auto"/>
              <w:ind w:firstLine="480" w:firstLineChars="200"/>
              <w:rPr>
                <w:rFonts w:ascii="宋体" w:hAnsi="宋体" w:cs="宋体"/>
                <w:i/>
                <w:iCs/>
                <w:color w:val="000000"/>
                <w:kern w:val="0"/>
                <w:sz w:val="24"/>
                <w:u w:val="single"/>
              </w:rPr>
            </w:pPr>
            <w:r>
              <w:rPr>
                <w:rFonts w:hint="eastAsia" w:ascii="宋体" w:hAnsi="宋体" w:cs="宋体"/>
                <w:i/>
                <w:iCs/>
                <w:color w:val="000000"/>
                <w:kern w:val="0"/>
                <w:sz w:val="24"/>
                <w:u w:val="single"/>
              </w:rPr>
              <w:t>（3）危险废物贮存产生的非甲烷总烃</w:t>
            </w:r>
          </w:p>
          <w:p>
            <w:pPr>
              <w:widowControl/>
              <w:spacing w:line="360" w:lineRule="auto"/>
              <w:ind w:firstLine="480" w:firstLineChars="200"/>
              <w:rPr>
                <w:rFonts w:ascii="宋体" w:hAnsi="宋体" w:cs="宋体"/>
                <w:i/>
                <w:iCs/>
                <w:color w:val="000000"/>
                <w:sz w:val="24"/>
                <w:u w:val="single"/>
              </w:rPr>
            </w:pPr>
            <w:r>
              <w:rPr>
                <w:rFonts w:hint="eastAsia" w:ascii="宋体" w:hAnsi="宋体" w:cs="宋体"/>
                <w:i/>
                <w:iCs/>
                <w:color w:val="000000"/>
                <w:kern w:val="0"/>
                <w:sz w:val="24"/>
                <w:u w:val="single"/>
              </w:rPr>
              <w:t>本项目收集的废液（汽油、柴油）暂存于危险废物贮存间密闭储存桶中，密封储存，其中废液中废矿物油与含矿物油废物（包括废汽油、柴油、机油等）在贮存过程中会有挥发性有机物产生，挥发性有机物主要成分是C4-C12烃类，以非甲烷总烃作为污染物控制项目。根据《抑制汽油挥发技术的进展》（2002年油气储运，作者浮东宝），石油及其产品在储运过程中的蒸发损耗率高达0.4‰-0.8‰。根据物料平衡可知，本项目废矿物油与含矿物油废物产生总量为3.8t/a。</w:t>
            </w:r>
            <w:r>
              <w:rPr>
                <w:rFonts w:hint="eastAsia" w:ascii="宋体" w:hAnsi="宋体" w:cs="宋体"/>
                <w:i/>
                <w:iCs/>
                <w:color w:val="000000"/>
                <w:sz w:val="24"/>
                <w:u w:val="single"/>
              </w:rPr>
              <w:t>项目危险废物每年转运2次</w:t>
            </w:r>
            <w:r>
              <w:rPr>
                <w:rFonts w:hint="eastAsia" w:ascii="宋体" w:hAnsi="宋体" w:cs="宋体"/>
                <w:i/>
                <w:iCs/>
                <w:color w:val="000000"/>
                <w:kern w:val="0"/>
                <w:sz w:val="24"/>
                <w:u w:val="single"/>
              </w:rPr>
              <w:t xml:space="preserve">，因此危险废物贮存区废液中废矿物油与含矿物油废物的贮存量最大约为1.9t，本项目非甲烷总烃产生量按废液中废矿物油与含矿物油废物贮存量的0.8‰计算，则非甲烷总烃产生量为0.0152t/a。 </w:t>
            </w:r>
          </w:p>
          <w:p>
            <w:pPr>
              <w:adjustRightInd w:val="0"/>
              <w:snapToGrid w:val="0"/>
              <w:spacing w:line="360" w:lineRule="auto"/>
              <w:ind w:firstLine="480" w:firstLineChars="200"/>
              <w:rPr>
                <w:rFonts w:ascii="宋体" w:hAnsi="宋体" w:cs="宋体"/>
                <w:i/>
                <w:iCs/>
                <w:color w:val="000000"/>
                <w:sz w:val="24"/>
                <w:u w:val="single"/>
              </w:rPr>
            </w:pPr>
            <w:r>
              <w:rPr>
                <w:rFonts w:hint="eastAsia" w:ascii="宋体" w:hAnsi="宋体" w:cs="宋体"/>
                <w:i/>
                <w:iCs/>
                <w:color w:val="000000"/>
                <w:kern w:val="0"/>
                <w:sz w:val="24"/>
                <w:u w:val="single"/>
              </w:rPr>
              <w:t>本项目危险废物贮存间为密闭密封状态，设置负压集气系统+活性炭吸附装置对危险废物贮存区产生的非甲烷总烃进行处理，产生的非甲烷总烃经负压集气系统+活性炭吸附装置处理后由15m 高排气筒（DA001）排放。负压集气系统风量为1500m</w:t>
            </w:r>
            <w:r>
              <w:rPr>
                <w:rFonts w:hint="eastAsia" w:ascii="宋体" w:hAnsi="宋体" w:cs="宋体"/>
                <w:i/>
                <w:iCs/>
                <w:color w:val="000000"/>
                <w:kern w:val="0"/>
                <w:sz w:val="24"/>
                <w:u w:val="single"/>
                <w:vertAlign w:val="superscript"/>
              </w:rPr>
              <w:t>3</w:t>
            </w:r>
            <w:r>
              <w:rPr>
                <w:rFonts w:hint="eastAsia" w:ascii="宋体" w:hAnsi="宋体" w:cs="宋体"/>
                <w:i/>
                <w:iCs/>
                <w:color w:val="000000"/>
                <w:kern w:val="0"/>
                <w:sz w:val="24"/>
                <w:u w:val="single"/>
              </w:rPr>
              <w:t>/h，收集效率按90%计，活性炭吸附装置处理效率按80%计，年挥发时间按120天，每天按24h计，则有组织非甲烷总烃排放量为0.0027t/a，排放速率为0.0009kg/h，排放浓度为0.625mg/m</w:t>
            </w:r>
            <w:r>
              <w:rPr>
                <w:rFonts w:hint="eastAsia" w:ascii="宋体" w:hAnsi="宋体" w:cs="宋体"/>
                <w:i/>
                <w:iCs/>
                <w:color w:val="000000"/>
                <w:kern w:val="0"/>
                <w:sz w:val="24"/>
                <w:u w:val="single"/>
                <w:vertAlign w:val="superscript"/>
              </w:rPr>
              <w:t>3</w:t>
            </w:r>
            <w:r>
              <w:rPr>
                <w:rFonts w:hint="eastAsia" w:ascii="宋体" w:hAnsi="宋体" w:cs="宋体"/>
                <w:i/>
                <w:iCs/>
                <w:color w:val="000000"/>
                <w:kern w:val="0"/>
                <w:sz w:val="24"/>
                <w:u w:val="single"/>
              </w:rPr>
              <w:t>。未收集的非甲烷总烃以无组织排放，排放量为0.0015t/a</w:t>
            </w:r>
            <w:r>
              <w:rPr>
                <w:rFonts w:hint="eastAsia" w:ascii="宋体" w:hAnsi="宋体" w:cs="宋体"/>
                <w:i/>
                <w:iCs/>
                <w:color w:val="000000"/>
                <w:sz w:val="24"/>
                <w:u w:val="single"/>
              </w:rPr>
              <w:t>。</w:t>
            </w:r>
          </w:p>
          <w:p>
            <w:pPr>
              <w:widowControl/>
              <w:spacing w:line="360" w:lineRule="auto"/>
              <w:ind w:firstLine="480" w:firstLineChars="200"/>
              <w:rPr>
                <w:rFonts w:ascii="宋体" w:hAnsi="宋体" w:cs="宋体"/>
                <w:i/>
                <w:iCs/>
                <w:color w:val="000000"/>
                <w:sz w:val="24"/>
                <w:u w:val="single"/>
              </w:rPr>
            </w:pPr>
            <w:r>
              <w:rPr>
                <w:rFonts w:hint="eastAsia" w:ascii="宋体" w:hAnsi="宋体" w:cs="宋体"/>
                <w:i/>
                <w:iCs/>
                <w:color w:val="000000"/>
                <w:kern w:val="0"/>
                <w:sz w:val="24"/>
                <w:u w:val="single"/>
              </w:rPr>
              <w:t xml:space="preserve">（4）危险废物贮存间铅酸蓄电池存储 </w:t>
            </w:r>
          </w:p>
          <w:p>
            <w:pPr>
              <w:widowControl/>
              <w:spacing w:line="360" w:lineRule="auto"/>
              <w:ind w:firstLine="480" w:firstLineChars="200"/>
              <w:rPr>
                <w:rFonts w:ascii="宋体" w:hAnsi="宋体" w:cs="宋体"/>
                <w:i/>
                <w:iCs/>
                <w:color w:val="000000"/>
                <w:sz w:val="24"/>
                <w:u w:val="single"/>
              </w:rPr>
            </w:pPr>
            <w:r>
              <w:rPr>
                <w:rFonts w:hint="eastAsia" w:ascii="宋体" w:hAnsi="宋体" w:cs="宋体"/>
                <w:i/>
                <w:iCs/>
                <w:color w:val="000000"/>
                <w:kern w:val="0"/>
                <w:sz w:val="24"/>
                <w:u w:val="single"/>
              </w:rPr>
              <w:t xml:space="preserve">①硫酸雾 </w:t>
            </w:r>
          </w:p>
          <w:p>
            <w:pPr>
              <w:widowControl/>
              <w:spacing w:line="360" w:lineRule="auto"/>
              <w:ind w:firstLine="480" w:firstLineChars="200"/>
              <w:rPr>
                <w:rFonts w:ascii="宋体" w:hAnsi="宋体" w:cs="宋体"/>
                <w:i/>
                <w:iCs/>
                <w:kern w:val="0"/>
                <w:sz w:val="24"/>
                <w:u w:val="single"/>
              </w:rPr>
            </w:pPr>
            <w:bookmarkStart w:id="8" w:name="OLE_LINK10"/>
            <w:r>
              <w:rPr>
                <w:rFonts w:hint="eastAsia" w:ascii="宋体" w:hAnsi="宋体" w:cs="宋体"/>
                <w:i/>
                <w:iCs/>
                <w:color w:val="000000"/>
                <w:kern w:val="0"/>
                <w:sz w:val="24"/>
                <w:u w:val="single"/>
              </w:rPr>
              <w:t>本项目不涉及铅酸蓄电池的进一步拆解和后续处置利用。正常工况下，在拆解过程中一般不会对完整电池造成损伤。在贮存过程中部分电池可能存在密封阀不严实或壳体轻微开裂，导致电解液中有极少量硫酸雾产生。项目预计年拆解产生的废铅酸蓄电池量为1.5t，破损率按 1%计，硫酸电解液比例约占铅酸蓄电池重量的20%，则电解液产生量为0.003t/a。</w:t>
            </w:r>
            <w:r>
              <w:rPr>
                <w:rFonts w:ascii="宋体" w:hAnsi="宋体" w:cs="宋体"/>
                <w:i/>
                <w:iCs/>
                <w:kern w:val="0"/>
                <w:sz w:val="24"/>
                <w:u w:val="single"/>
              </w:rPr>
              <w:t>硫酸雾源强采用"泄漏量×经验转化系数"法核算。废铅酸蓄电池在贮存、转运中若发生壳体开裂或阀口渗漏，电解液以液态形式泄漏；泄漏液大部分以液态滞留（地面、收集、中和处置），仅极少量在滴落、装卸晃动及风力作用下以酸液飞沫形式进入空气。参考同类废铅蓄电池收集/转运项目的无组织源强核算实践，取泄漏电解液中转化为无组织硫酸雾的保守经验系数 0.01%（万分之一）</w:t>
            </w:r>
            <w:r>
              <w:rPr>
                <w:i/>
                <w:iCs/>
                <w:kern w:val="0"/>
                <w:sz w:val="24"/>
                <w:u w:val="single"/>
              </w:rPr>
              <w:t>​</w:t>
            </w:r>
            <w:r>
              <w:rPr>
                <w:rFonts w:ascii="宋体" w:hAnsi="宋体" w:cs="宋体"/>
                <w:i/>
                <w:iCs/>
                <w:kern w:val="0"/>
                <w:sz w:val="24"/>
                <w:u w:val="single"/>
              </w:rPr>
              <w:t>，已涵盖滴溅、风力夹带飞沫等最不利情形。</w:t>
            </w:r>
            <w:r>
              <w:rPr>
                <w:rFonts w:hint="eastAsia" w:ascii="宋体" w:hAnsi="宋体" w:cs="宋体"/>
                <w:i/>
                <w:iCs/>
                <w:kern w:val="0"/>
                <w:sz w:val="24"/>
                <w:u w:val="single"/>
              </w:rPr>
              <w:t xml:space="preserve">按硫酸雾产生系数为电解液泄漏量的万分之一计算，则本项目硫酸雾产生量为 0.0003kg/a（0.7×10 </w:t>
            </w:r>
            <w:r>
              <w:rPr>
                <w:rFonts w:hint="eastAsia" w:ascii="宋体" w:hAnsi="宋体" w:cs="宋体"/>
                <w:i/>
                <w:iCs/>
                <w:kern w:val="0"/>
                <w:sz w:val="24"/>
                <w:u w:val="single"/>
                <w:vertAlign w:val="superscript"/>
              </w:rPr>
              <w:t>-7</w:t>
            </w:r>
            <w:r>
              <w:rPr>
                <w:rFonts w:hint="eastAsia" w:ascii="宋体" w:hAnsi="宋体" w:cs="宋体"/>
                <w:i/>
                <w:iCs/>
                <w:kern w:val="0"/>
                <w:sz w:val="24"/>
                <w:u w:val="single"/>
              </w:rPr>
              <w:t>kg/h）。</w:t>
            </w:r>
          </w:p>
          <w:bookmarkEnd w:id="8"/>
          <w:p>
            <w:pPr>
              <w:widowControl/>
              <w:spacing w:line="360" w:lineRule="auto"/>
              <w:ind w:firstLine="480" w:firstLineChars="200"/>
              <w:rPr>
                <w:rFonts w:ascii="宋体" w:hAnsi="宋体" w:cs="宋体"/>
                <w:i/>
                <w:iCs/>
                <w:kern w:val="0"/>
                <w:sz w:val="24"/>
                <w:u w:val="single"/>
              </w:rPr>
            </w:pPr>
            <w:r>
              <w:rPr>
                <w:rFonts w:hint="eastAsia" w:ascii="宋体" w:hAnsi="宋体" w:cs="宋体"/>
                <w:i/>
                <w:iCs/>
                <w:color w:val="000000"/>
                <w:kern w:val="0"/>
                <w:sz w:val="24"/>
                <w:u w:val="single"/>
              </w:rPr>
              <w:t>本项目危险废物暂存间内设置废铅酸蓄电池贮存区，</w:t>
            </w:r>
            <w:r>
              <w:rPr>
                <w:rFonts w:hint="eastAsia" w:ascii="宋体" w:hAnsi="宋体" w:cs="宋体"/>
                <w:i/>
                <w:iCs/>
                <w:sz w:val="24"/>
                <w:u w:val="single"/>
              </w:rPr>
              <w:t>在非正常情况下，蓄电池在拆除和贮存过程中如外壳开裂、密封阀泄漏的蓄电池及时转移收集至耐酸、防渗专业密封的容器中，单独存放至铅蓄电池贮存区，破损铅蓄电池贮存区为封闭式，</w:t>
            </w:r>
            <w:r>
              <w:rPr>
                <w:rFonts w:hint="eastAsia" w:ascii="宋体" w:hAnsi="宋体" w:cs="宋体"/>
                <w:i/>
                <w:iCs/>
                <w:color w:val="000000"/>
                <w:kern w:val="0"/>
                <w:sz w:val="24"/>
                <w:u w:val="single"/>
              </w:rPr>
              <w:t>设置负压集气系统对危险废物暂存间排放的硫酸雾进行收集处理，与危险废物暂存间贮存废油液排放的有机废气由同1根15m高排气筒（DA001）排放。负压集气系统风量为1500m</w:t>
            </w:r>
            <w:r>
              <w:rPr>
                <w:rFonts w:hint="eastAsia" w:ascii="宋体" w:hAnsi="宋体" w:cs="宋体"/>
                <w:i/>
                <w:iCs/>
                <w:color w:val="000000"/>
                <w:kern w:val="0"/>
                <w:sz w:val="24"/>
                <w:u w:val="single"/>
                <w:vertAlign w:val="superscript"/>
              </w:rPr>
              <w:t>3</w:t>
            </w:r>
            <w:r>
              <w:rPr>
                <w:rFonts w:hint="eastAsia" w:ascii="宋体" w:hAnsi="宋体" w:cs="宋体"/>
                <w:i/>
                <w:iCs/>
                <w:color w:val="000000"/>
                <w:kern w:val="0"/>
                <w:sz w:val="24"/>
                <w:u w:val="single"/>
              </w:rPr>
              <w:t>/h，收集效率按90%计，</w:t>
            </w:r>
            <w:r>
              <w:rPr>
                <w:rFonts w:hint="eastAsia" w:ascii="宋体" w:hAnsi="宋体" w:cs="宋体"/>
                <w:i/>
                <w:iCs/>
                <w:kern w:val="0"/>
                <w:sz w:val="24"/>
                <w:u w:val="single"/>
              </w:rPr>
              <w:t>该项目年拆解时间180天，拆解时段产生的危废及时运行收集转运，拆解工期结束后危废库清空全部转运出厂区，不在厂内存放。危废暂存间储存废油液年挥发时间按180天计算，每天按24h计，则有组织硫酸雾排放量为0.00027kg/a，排放速率为0.7×10</w:t>
            </w:r>
            <w:r>
              <w:rPr>
                <w:rFonts w:hint="eastAsia" w:ascii="宋体" w:hAnsi="宋体" w:cs="宋体"/>
                <w:i/>
                <w:iCs/>
                <w:kern w:val="0"/>
                <w:sz w:val="24"/>
                <w:u w:val="single"/>
                <w:vertAlign w:val="superscript"/>
              </w:rPr>
              <w:t>-7</w:t>
            </w:r>
            <w:r>
              <w:rPr>
                <w:rFonts w:hint="eastAsia" w:ascii="宋体" w:hAnsi="宋体" w:cs="宋体"/>
                <w:i/>
                <w:iCs/>
                <w:kern w:val="0"/>
                <w:sz w:val="24"/>
                <w:u w:val="single"/>
              </w:rPr>
              <w:t>kg/h，排放浓度为0.00004mg/m</w:t>
            </w:r>
            <w:r>
              <w:rPr>
                <w:rFonts w:hint="eastAsia" w:ascii="宋体" w:hAnsi="宋体" w:cs="宋体"/>
                <w:i/>
                <w:iCs/>
                <w:kern w:val="0"/>
                <w:sz w:val="24"/>
                <w:u w:val="single"/>
                <w:vertAlign w:val="superscript"/>
              </w:rPr>
              <w:t>3</w:t>
            </w:r>
            <w:r>
              <w:rPr>
                <w:rFonts w:hint="eastAsia" w:ascii="宋体" w:hAnsi="宋体" w:cs="宋体"/>
                <w:i/>
                <w:iCs/>
                <w:kern w:val="0"/>
                <w:sz w:val="24"/>
                <w:u w:val="single"/>
              </w:rPr>
              <w:t>。未收集的硫酸雾以无组织排放，排放量为0.00003kg/a。，</w:t>
            </w:r>
            <w:r>
              <w:rPr>
                <w:rFonts w:ascii="宋体" w:hAnsi="宋体" w:cs="宋体"/>
                <w:i/>
                <w:iCs/>
                <w:kern w:val="0"/>
                <w:sz w:val="24"/>
                <w:u w:val="single"/>
              </w:rPr>
              <w:t>硫酸雾仅来自极少量漏液的蒸发/飞沫，非连续</w:t>
            </w:r>
            <w:r>
              <w:rPr>
                <w:rFonts w:hint="eastAsia" w:ascii="宋体" w:hAnsi="宋体" w:cs="宋体"/>
                <w:i/>
                <w:iCs/>
                <w:kern w:val="0"/>
                <w:sz w:val="24"/>
                <w:u w:val="single"/>
              </w:rPr>
              <w:t>排放</w:t>
            </w:r>
            <w:r>
              <w:rPr>
                <w:rFonts w:ascii="宋体" w:hAnsi="宋体" w:cs="宋体"/>
                <w:i/>
                <w:iCs/>
                <w:kern w:val="0"/>
                <w:sz w:val="24"/>
                <w:u w:val="single"/>
              </w:rPr>
              <w:t>，无</w:t>
            </w:r>
            <w:r>
              <w:rPr>
                <w:rFonts w:hint="eastAsia" w:ascii="宋体" w:hAnsi="宋体" w:cs="宋体"/>
                <w:i/>
                <w:iCs/>
                <w:kern w:val="0"/>
                <w:sz w:val="24"/>
                <w:u w:val="single"/>
              </w:rPr>
              <w:t>持续性</w:t>
            </w:r>
            <w:r>
              <w:rPr>
                <w:rFonts w:ascii="宋体" w:hAnsi="宋体" w:cs="宋体"/>
                <w:i/>
                <w:iCs/>
                <w:kern w:val="0"/>
                <w:sz w:val="24"/>
                <w:u w:val="single"/>
              </w:rPr>
              <w:t>酸性废气</w:t>
            </w:r>
            <w:r>
              <w:rPr>
                <w:rFonts w:hint="eastAsia" w:ascii="宋体" w:hAnsi="宋体" w:cs="宋体"/>
                <w:i/>
                <w:iCs/>
                <w:kern w:val="0"/>
                <w:sz w:val="24"/>
                <w:u w:val="single"/>
              </w:rPr>
              <w:t>排放情形，硫酸雾排放浓度极低，</w:t>
            </w:r>
            <w:r>
              <w:rPr>
                <w:rFonts w:ascii="宋体" w:hAnsi="宋体" w:cs="宋体"/>
                <w:i/>
                <w:iCs/>
                <w:kern w:val="0"/>
                <w:sz w:val="24"/>
                <w:u w:val="single"/>
              </w:rPr>
              <w:t xml:space="preserve">破损电池及时转入耐酸防渗密封容器、单独封闭贮存区、负压集气后 </w:t>
            </w:r>
            <w:r>
              <w:rPr>
                <w:rFonts w:hint="eastAsia" w:ascii="宋体" w:hAnsi="宋体" w:cs="宋体"/>
                <w:i/>
                <w:iCs/>
                <w:kern w:val="0"/>
                <w:sz w:val="24"/>
                <w:u w:val="single"/>
              </w:rPr>
              <w:t>经</w:t>
            </w:r>
            <w:r>
              <w:rPr>
                <w:rFonts w:ascii="宋体" w:hAnsi="宋体" w:cs="宋体"/>
                <w:i/>
                <w:iCs/>
                <w:kern w:val="0"/>
                <w:sz w:val="24"/>
                <w:u w:val="single"/>
              </w:rPr>
              <w:t>15m</w:t>
            </w:r>
            <w:r>
              <w:rPr>
                <w:rFonts w:hint="eastAsia" w:ascii="宋体" w:hAnsi="宋体" w:cs="宋体"/>
                <w:i/>
                <w:iCs/>
                <w:kern w:val="0"/>
                <w:sz w:val="24"/>
                <w:u w:val="single"/>
              </w:rPr>
              <w:t>排气筒</w:t>
            </w:r>
            <w:r>
              <w:rPr>
                <w:rFonts w:ascii="宋体" w:hAnsi="宋体" w:cs="宋体"/>
                <w:i/>
                <w:iCs/>
                <w:kern w:val="0"/>
                <w:sz w:val="24"/>
                <w:u w:val="single"/>
              </w:rPr>
              <w:t>高空排放，已从源头削减并有效收集，本项目为间歇、极微量酸雾，</w:t>
            </w:r>
            <w:r>
              <w:rPr>
                <w:rFonts w:hint="eastAsia" w:ascii="宋体" w:hAnsi="宋体" w:cs="宋体"/>
                <w:i/>
                <w:iCs/>
                <w:kern w:val="0"/>
                <w:sz w:val="24"/>
                <w:u w:val="single"/>
              </w:rPr>
              <w:t>不适用于碱洗处理工艺，</w:t>
            </w:r>
            <w:r>
              <w:rPr>
                <w:rFonts w:ascii="宋体" w:hAnsi="宋体" w:cs="宋体"/>
                <w:i/>
                <w:iCs/>
                <w:kern w:val="0"/>
                <w:sz w:val="24"/>
                <w:u w:val="single"/>
              </w:rPr>
              <w:t>经收集后高空排放，</w:t>
            </w:r>
            <w:r>
              <w:rPr>
                <w:rFonts w:hint="eastAsia" w:ascii="宋体" w:hAnsi="宋体" w:cs="宋体"/>
                <w:i/>
                <w:iCs/>
                <w:kern w:val="0"/>
                <w:sz w:val="24"/>
                <w:u w:val="single"/>
              </w:rPr>
              <w:t>污染物</w:t>
            </w:r>
            <w:r>
              <w:rPr>
                <w:rFonts w:ascii="宋体" w:hAnsi="宋体" w:cs="宋体"/>
                <w:i/>
                <w:iCs/>
                <w:kern w:val="0"/>
                <w:sz w:val="24"/>
                <w:u w:val="single"/>
              </w:rPr>
              <w:t>速率、浓度均</w:t>
            </w:r>
            <w:r>
              <w:rPr>
                <w:rFonts w:hint="eastAsia" w:ascii="宋体" w:hAnsi="宋体" w:cs="宋体"/>
                <w:i/>
                <w:iCs/>
                <w:kern w:val="0"/>
                <w:sz w:val="24"/>
                <w:u w:val="single"/>
              </w:rPr>
              <w:t>远低于</w:t>
            </w:r>
            <w:r>
              <w:rPr>
                <w:rFonts w:ascii="宋体" w:hAnsi="宋体" w:cs="宋体"/>
                <w:i/>
                <w:iCs/>
                <w:kern w:val="0"/>
                <w:sz w:val="24"/>
                <w:u w:val="single"/>
              </w:rPr>
              <w:t xml:space="preserve"> GB16297-1996 要求，故本项目不设置碱洗</w:t>
            </w:r>
            <w:r>
              <w:rPr>
                <w:rFonts w:hint="eastAsia" w:ascii="宋体" w:hAnsi="宋体" w:cs="宋体"/>
                <w:i/>
                <w:iCs/>
                <w:kern w:val="0"/>
                <w:sz w:val="24"/>
                <w:u w:val="single"/>
              </w:rPr>
              <w:t>等末端治理</w:t>
            </w:r>
            <w:r>
              <w:rPr>
                <w:rFonts w:ascii="宋体" w:hAnsi="宋体" w:cs="宋体"/>
                <w:i/>
                <w:iCs/>
                <w:kern w:val="0"/>
                <w:sz w:val="24"/>
                <w:u w:val="single"/>
              </w:rPr>
              <w:t>措施。</w:t>
            </w:r>
          </w:p>
          <w:p>
            <w:pPr>
              <w:pStyle w:val="58"/>
              <w:widowControl/>
              <w:numPr>
                <w:ilvl w:val="0"/>
                <w:numId w:val="4"/>
              </w:numPr>
              <w:spacing w:line="360" w:lineRule="auto"/>
              <w:ind w:firstLineChars="0"/>
              <w:rPr>
                <w:rFonts w:ascii="宋体" w:hAnsi="宋体" w:cs="宋体"/>
                <w:i/>
                <w:iCs/>
                <w:color w:val="000000"/>
                <w:sz w:val="24"/>
                <w:u w:val="single"/>
              </w:rPr>
            </w:pPr>
            <w:r>
              <w:rPr>
                <w:rFonts w:hint="eastAsia" w:ascii="宋体" w:hAnsi="宋体" w:cs="宋体"/>
                <w:i/>
                <w:iCs/>
                <w:color w:val="000000"/>
                <w:kern w:val="0"/>
                <w:sz w:val="24"/>
                <w:u w:val="single"/>
              </w:rPr>
              <w:t xml:space="preserve">铅尘 </w:t>
            </w:r>
          </w:p>
          <w:p>
            <w:pPr>
              <w:widowControl/>
              <w:spacing w:line="360" w:lineRule="auto"/>
              <w:ind w:firstLine="480" w:firstLineChars="200"/>
              <w:rPr>
                <w:rFonts w:ascii="宋体" w:hAnsi="宋体" w:cs="宋体"/>
                <w:i/>
                <w:iCs/>
                <w:color w:val="000000"/>
                <w:kern w:val="0"/>
                <w:sz w:val="24"/>
                <w:u w:val="single"/>
              </w:rPr>
            </w:pPr>
            <w:r>
              <w:rPr>
                <w:rFonts w:hint="eastAsia" w:ascii="宋体" w:hAnsi="宋体" w:cs="宋体"/>
                <w:i/>
                <w:iCs/>
                <w:color w:val="000000"/>
                <w:kern w:val="0"/>
                <w:sz w:val="24"/>
                <w:u w:val="single"/>
              </w:rPr>
              <w:t>从物质理化性质上分析，</w:t>
            </w:r>
            <w:r>
              <w:rPr>
                <w:rFonts w:ascii="宋体" w:hAnsi="宋体" w:cs="宋体"/>
                <w:i/>
                <w:iCs/>
                <w:color w:val="000000"/>
                <w:kern w:val="0"/>
                <w:sz w:val="24"/>
                <w:u w:val="single"/>
              </w:rPr>
              <w:t>铅酸蓄电池内部活性物质为金属铅、二氧化铅、硫酸铅，均属于高沸点固态无机物。铅及其硫酸盐、氧化物常温下不挥发。铅烟</w:t>
            </w:r>
            <w:r>
              <w:rPr>
                <w:rFonts w:hint="eastAsia" w:ascii="宋体" w:hAnsi="宋体" w:cs="宋体"/>
                <w:i/>
                <w:iCs/>
                <w:color w:val="000000"/>
                <w:kern w:val="0"/>
                <w:sz w:val="24"/>
                <w:u w:val="single"/>
              </w:rPr>
              <w:t>和</w:t>
            </w:r>
            <w:r>
              <w:rPr>
                <w:rFonts w:ascii="宋体" w:hAnsi="宋体" w:cs="宋体"/>
                <w:i/>
                <w:iCs/>
                <w:color w:val="000000"/>
                <w:kern w:val="0"/>
                <w:sz w:val="24"/>
                <w:u w:val="single"/>
              </w:rPr>
              <w:t>铅蒸汽仅在高温熔炼、熔融加热（条件下才会挥发产生；单纯外壳破裂、电解液泄漏属于常温物理破损，不存在高温热源，无法形成气态含铅污染物。</w:t>
            </w:r>
            <w:r>
              <w:rPr>
                <w:rFonts w:hint="eastAsia" w:ascii="宋体" w:hAnsi="宋体" w:cs="宋体"/>
                <w:i/>
                <w:iCs/>
                <w:color w:val="000000"/>
                <w:kern w:val="0"/>
                <w:sz w:val="24"/>
                <w:u w:val="single"/>
              </w:rPr>
              <w:t>一旦发生蓄电池</w:t>
            </w:r>
            <w:r>
              <w:rPr>
                <w:rFonts w:ascii="宋体" w:hAnsi="宋体" w:cs="宋体"/>
                <w:i/>
                <w:iCs/>
                <w:color w:val="000000"/>
                <w:kern w:val="0"/>
                <w:sz w:val="24"/>
                <w:u w:val="single"/>
              </w:rPr>
              <w:t>破损</w:t>
            </w:r>
            <w:r>
              <w:rPr>
                <w:rFonts w:hint="eastAsia" w:ascii="宋体" w:hAnsi="宋体" w:cs="宋体"/>
                <w:i/>
                <w:iCs/>
                <w:color w:val="000000"/>
                <w:kern w:val="0"/>
                <w:sz w:val="24"/>
                <w:u w:val="single"/>
              </w:rPr>
              <w:t>，最不利情况下</w:t>
            </w:r>
            <w:r>
              <w:rPr>
                <w:rFonts w:ascii="宋体" w:hAnsi="宋体" w:cs="宋体"/>
                <w:i/>
                <w:iCs/>
                <w:color w:val="000000"/>
                <w:kern w:val="0"/>
                <w:sz w:val="24"/>
                <w:u w:val="single"/>
              </w:rPr>
              <w:t>仅会发生电解液（稀硫酸）挥发，产生硫酸雾；铅相关污染物全部以固态铅膏、极板、溶解态铅离子形式存在于</w:t>
            </w:r>
            <w:r>
              <w:rPr>
                <w:rFonts w:hint="eastAsia" w:ascii="宋体" w:hAnsi="宋体" w:cs="宋体"/>
                <w:i/>
                <w:iCs/>
                <w:color w:val="000000"/>
                <w:kern w:val="0"/>
                <w:sz w:val="24"/>
                <w:u w:val="single"/>
              </w:rPr>
              <w:t>电解液和极板上</w:t>
            </w:r>
            <w:r>
              <w:rPr>
                <w:rFonts w:ascii="宋体" w:hAnsi="宋体" w:cs="宋体"/>
                <w:i/>
                <w:iCs/>
                <w:color w:val="000000"/>
                <w:kern w:val="0"/>
                <w:sz w:val="24"/>
                <w:u w:val="single"/>
              </w:rPr>
              <w:t>，仅在废蓄电池长期暂存过程中出现壳体意外破损、内部极板摩擦的极端非正常工况下，才存在极微量铅尘逸散的潜在可能。该情形发生概率极低，产生量极其微小，不属于项目正常运营阶段的常规污染物排放范畴；同时项目通过缩短废蓄电池暂存周期、确保及时转运出厂、定期开展仓储巡检等管理措施，可有效防范该类情况发生。</w:t>
            </w:r>
            <w:r>
              <w:rPr>
                <w:rFonts w:hint="eastAsia" w:ascii="宋体" w:hAnsi="宋体" w:cs="宋体"/>
                <w:i/>
                <w:iCs/>
                <w:color w:val="000000"/>
                <w:kern w:val="0"/>
                <w:sz w:val="24"/>
                <w:u w:val="single"/>
              </w:rPr>
              <w:t>上述</w:t>
            </w:r>
            <w:r>
              <w:rPr>
                <w:rFonts w:ascii="宋体" w:hAnsi="宋体" w:cs="宋体"/>
                <w:i/>
                <w:iCs/>
                <w:color w:val="000000"/>
                <w:kern w:val="0"/>
                <w:sz w:val="24"/>
                <w:u w:val="single"/>
              </w:rPr>
              <w:t>潜在风险其发生概率极低、产生量可忽略，</w:t>
            </w:r>
            <w:r>
              <w:rPr>
                <w:rFonts w:hint="eastAsia" w:ascii="宋体" w:hAnsi="宋体" w:cs="宋体"/>
                <w:i/>
                <w:iCs/>
                <w:color w:val="000000"/>
                <w:kern w:val="0"/>
                <w:sz w:val="24"/>
                <w:u w:val="single"/>
              </w:rPr>
              <w:t>本项目无铅及其化合物排放情形。</w:t>
            </w:r>
          </w:p>
          <w:p>
            <w:pPr>
              <w:widowControl/>
              <w:spacing w:line="360" w:lineRule="auto"/>
              <w:ind w:firstLine="480" w:firstLineChars="200"/>
              <w:rPr>
                <w:rFonts w:ascii="宋体" w:hAnsi="宋体" w:cs="宋体"/>
                <w:i/>
                <w:iCs/>
                <w:color w:val="000000"/>
                <w:kern w:val="0"/>
                <w:sz w:val="24"/>
                <w:u w:val="single"/>
              </w:rPr>
            </w:pPr>
            <w:r>
              <w:rPr>
                <w:rFonts w:hint="eastAsia" w:ascii="宋体" w:hAnsi="宋体" w:cs="宋体"/>
                <w:i/>
                <w:iCs/>
                <w:color w:val="000000"/>
                <w:kern w:val="0"/>
                <w:sz w:val="24"/>
                <w:u w:val="single"/>
              </w:rPr>
              <w:t>从拆解工艺流程上分析，本项目根据拆解技术规范进行分步骤拆解作业，首先把铅蓄电池整体取出，在取出过程中没有破碎和剪切工艺，人工搬运过程中即使废铅蓄电池外壳破损，也不会导致电解液中的二氧化铅释放，因此拆解过程中无含铅废气排放。</w:t>
            </w:r>
          </w:p>
          <w:p>
            <w:pPr>
              <w:widowControl/>
              <w:spacing w:line="360" w:lineRule="auto"/>
              <w:ind w:firstLine="480" w:firstLineChars="200"/>
              <w:rPr>
                <w:rFonts w:ascii="宋体" w:hAnsi="宋体" w:cs="宋体"/>
                <w:i/>
                <w:iCs/>
                <w:color w:val="000000"/>
                <w:kern w:val="0"/>
                <w:sz w:val="24"/>
                <w:u w:val="single"/>
              </w:rPr>
            </w:pPr>
            <w:r>
              <w:rPr>
                <w:rFonts w:hint="eastAsia" w:ascii="宋体" w:hAnsi="宋体" w:cs="宋体"/>
                <w:i/>
                <w:iCs/>
                <w:color w:val="000000"/>
                <w:kern w:val="0"/>
                <w:sz w:val="24"/>
                <w:u w:val="single"/>
              </w:rPr>
              <w:t>从行业技术规范上分析，参照《排污许可证申请与核发技术规范 废弃资源加工工业》（</w:t>
            </w:r>
            <w:r>
              <w:rPr>
                <w:rFonts w:ascii="宋体" w:hAnsi="宋体" w:cs="宋体"/>
                <w:i/>
                <w:iCs/>
                <w:color w:val="000000"/>
                <w:kern w:val="0"/>
                <w:sz w:val="24"/>
                <w:u w:val="single"/>
              </w:rPr>
              <w:t>HJ 1034—2019</w:t>
            </w:r>
            <w:r>
              <w:rPr>
                <w:rFonts w:hint="eastAsia" w:ascii="宋体" w:hAnsi="宋体" w:cs="宋体"/>
                <w:i/>
                <w:iCs/>
                <w:color w:val="000000"/>
                <w:kern w:val="0"/>
                <w:sz w:val="24"/>
                <w:u w:val="single"/>
              </w:rPr>
              <w:t>）中的“废机动车加工工业排污单位废气产排污环节名称、污染物种类、排放形式及污染防治设施”，拆解过程污染物种类包含非甲烷总烃和颗粒物，无含铅污染物。又根据《</w:t>
            </w:r>
            <w:r>
              <w:rPr>
                <w:rFonts w:ascii="宋体" w:hAnsi="宋体" w:cs="宋体"/>
                <w:i/>
                <w:iCs/>
                <w:color w:val="000000"/>
                <w:kern w:val="0"/>
                <w:sz w:val="24"/>
                <w:u w:val="single"/>
              </w:rPr>
              <w:t>废铅蓄电池处理污染控制技术规范</w:t>
            </w:r>
            <w:r>
              <w:rPr>
                <w:rFonts w:hint="eastAsia" w:ascii="宋体" w:hAnsi="宋体" w:cs="宋体"/>
                <w:i/>
                <w:iCs/>
                <w:color w:val="000000"/>
                <w:kern w:val="0"/>
                <w:sz w:val="24"/>
                <w:u w:val="single"/>
              </w:rPr>
              <w:t>》（HJ519-2020），该标准</w:t>
            </w:r>
            <w:r>
              <w:rPr>
                <w:rFonts w:ascii="宋体" w:hAnsi="宋体" w:cs="宋体"/>
                <w:i/>
                <w:iCs/>
                <w:color w:val="000000"/>
                <w:kern w:val="0"/>
                <w:sz w:val="24"/>
                <w:u w:val="single"/>
              </w:rPr>
              <w:t>规定了废铅蓄电池收集、贮存、运输、利用和处置过程的污染控制要求</w:t>
            </w:r>
            <w:r>
              <w:rPr>
                <w:rFonts w:hint="eastAsia" w:ascii="宋体" w:hAnsi="宋体" w:cs="宋体"/>
                <w:i/>
                <w:iCs/>
                <w:color w:val="000000"/>
                <w:kern w:val="0"/>
                <w:sz w:val="24"/>
                <w:u w:val="single"/>
              </w:rPr>
              <w:t>，未对废铅蓄电池收集、运输和贮存提出铅尘排放控制要求，仅对再生铅行业提出铅尘的污染物控制规定，由此判定拆解过程中产生的废铅蓄电池不排放铅尘污染物。</w:t>
            </w:r>
          </w:p>
          <w:p>
            <w:pPr>
              <w:jc w:val="center"/>
              <w:rPr>
                <w:rFonts w:ascii="宋体" w:hAnsi="宋体" w:cs="宋体"/>
                <w:b/>
                <w:i/>
                <w:iCs/>
                <w:sz w:val="24"/>
                <w:u w:val="single"/>
              </w:rPr>
            </w:pPr>
            <w:r>
              <w:rPr>
                <w:rFonts w:hint="eastAsia" w:ascii="宋体" w:hAnsi="宋体" w:cs="宋体"/>
                <w:b/>
                <w:i/>
                <w:iCs/>
                <w:sz w:val="24"/>
                <w:u w:val="single"/>
              </w:rPr>
              <w:t>表4-1    本项目废气产排情况一览表</w:t>
            </w:r>
          </w:p>
          <w:tbl>
            <w:tblPr>
              <w:tblW w:w="8399"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left w:w="28" w:type="dxa"/>
                <w:right w:w="28" w:type="dxa"/>
              </w:tblCellMar>
            </w:tblPr>
            <w:tblGrid>
              <w:gridCol w:w="390"/>
              <w:gridCol w:w="391"/>
              <w:gridCol w:w="740"/>
              <w:gridCol w:w="391"/>
              <w:gridCol w:w="828"/>
              <w:gridCol w:w="915"/>
              <w:gridCol w:w="653"/>
              <w:gridCol w:w="478"/>
              <w:gridCol w:w="851"/>
              <w:gridCol w:w="979"/>
              <w:gridCol w:w="653"/>
              <w:gridCol w:w="565"/>
              <w:gridCol w:w="565"/>
            </w:tblGrid>
            <w:tr>
              <w:trPr>
                <w:trHeight w:val="1241" w:hRule="atLeast"/>
              </w:trPr>
              <w:tc>
                <w:tcPr>
                  <w:tcW w:w="390" w:type="dxa"/>
                  <w:tcBorders>
                    <w:tl2br w:val="nil"/>
                    <w:tr2bl w:val="nil"/>
                  </w:tcBorders>
                  <w:vAlign w:val="center"/>
                </w:tcPr>
                <w:p>
                  <w:pPr>
                    <w:pStyle w:val="2"/>
                    <w:spacing w:line="240" w:lineRule="auto"/>
                    <w:jc w:val="center"/>
                    <w:rPr>
                      <w:rFonts w:ascii="宋体" w:hAnsi="宋体" w:cs="宋体"/>
                      <w:i/>
                      <w:iCs/>
                      <w:color w:val="000000"/>
                      <w:kern w:val="0"/>
                      <w:sz w:val="21"/>
                      <w:szCs w:val="21"/>
                      <w:u w:val="single"/>
                    </w:rPr>
                  </w:pPr>
                  <w:r>
                    <w:rPr>
                      <w:rFonts w:hint="eastAsia" w:ascii="宋体" w:hAnsi="宋体" w:cs="宋体"/>
                      <w:i/>
                      <w:iCs/>
                      <w:color w:val="000000"/>
                      <w:kern w:val="0"/>
                      <w:sz w:val="21"/>
                      <w:szCs w:val="21"/>
                      <w:u w:val="single"/>
                    </w:rPr>
                    <w:t>产生环节</w:t>
                  </w:r>
                </w:p>
              </w:tc>
              <w:tc>
                <w:tcPr>
                  <w:tcW w:w="391" w:type="dxa"/>
                  <w:tcBorders>
                    <w:tl2br w:val="nil"/>
                    <w:tr2bl w:val="nil"/>
                  </w:tcBorders>
                  <w:vAlign w:val="center"/>
                </w:tcPr>
                <w:p>
                  <w:pPr>
                    <w:pStyle w:val="2"/>
                    <w:spacing w:line="240" w:lineRule="auto"/>
                    <w:jc w:val="center"/>
                    <w:rPr>
                      <w:rFonts w:ascii="宋体" w:hAnsi="宋体" w:cs="宋体"/>
                      <w:i/>
                      <w:iCs/>
                      <w:color w:val="000000"/>
                      <w:kern w:val="0"/>
                      <w:sz w:val="21"/>
                      <w:szCs w:val="21"/>
                      <w:u w:val="single"/>
                    </w:rPr>
                  </w:pPr>
                  <w:r>
                    <w:rPr>
                      <w:rFonts w:hint="eastAsia" w:ascii="宋体" w:hAnsi="宋体" w:cs="宋体"/>
                      <w:i/>
                      <w:iCs/>
                      <w:color w:val="000000"/>
                      <w:kern w:val="0"/>
                      <w:sz w:val="21"/>
                      <w:szCs w:val="21"/>
                      <w:u w:val="single"/>
                    </w:rPr>
                    <w:t>污染物</w:t>
                  </w:r>
                </w:p>
              </w:tc>
              <w:tc>
                <w:tcPr>
                  <w:tcW w:w="740" w:type="dxa"/>
                  <w:tcBorders>
                    <w:tl2br w:val="nil"/>
                    <w:tr2bl w:val="nil"/>
                  </w:tcBorders>
                  <w:vAlign w:val="center"/>
                </w:tcPr>
                <w:p>
                  <w:pPr>
                    <w:pStyle w:val="2"/>
                    <w:spacing w:line="240" w:lineRule="auto"/>
                    <w:jc w:val="center"/>
                    <w:rPr>
                      <w:rFonts w:ascii="宋体" w:hAnsi="宋体" w:cs="宋体"/>
                      <w:i/>
                      <w:iCs/>
                      <w:color w:val="000000"/>
                      <w:kern w:val="0"/>
                      <w:sz w:val="21"/>
                      <w:szCs w:val="21"/>
                      <w:u w:val="single"/>
                    </w:rPr>
                  </w:pPr>
                  <w:r>
                    <w:rPr>
                      <w:rFonts w:hint="eastAsia" w:ascii="宋体" w:hAnsi="宋体" w:cs="宋体"/>
                      <w:i/>
                      <w:iCs/>
                      <w:color w:val="000000"/>
                      <w:kern w:val="0"/>
                      <w:sz w:val="21"/>
                      <w:szCs w:val="21"/>
                      <w:u w:val="single"/>
                    </w:rPr>
                    <w:t>产生总量t/a</w:t>
                  </w:r>
                </w:p>
              </w:tc>
              <w:tc>
                <w:tcPr>
                  <w:tcW w:w="391" w:type="dxa"/>
                  <w:tcBorders>
                    <w:tl2br w:val="nil"/>
                    <w:tr2bl w:val="nil"/>
                  </w:tcBorders>
                  <w:vAlign w:val="center"/>
                </w:tcPr>
                <w:p>
                  <w:pPr>
                    <w:pStyle w:val="2"/>
                    <w:spacing w:line="240" w:lineRule="auto"/>
                    <w:jc w:val="center"/>
                    <w:rPr>
                      <w:rFonts w:ascii="宋体" w:hAnsi="宋体" w:cs="宋体"/>
                      <w:i/>
                      <w:iCs/>
                      <w:color w:val="000000"/>
                      <w:kern w:val="0"/>
                      <w:sz w:val="21"/>
                      <w:szCs w:val="21"/>
                      <w:u w:val="single"/>
                    </w:rPr>
                  </w:pPr>
                  <w:r>
                    <w:rPr>
                      <w:rFonts w:hint="eastAsia" w:ascii="宋体" w:hAnsi="宋体" w:cs="宋体"/>
                      <w:i/>
                      <w:iCs/>
                      <w:color w:val="000000"/>
                      <w:kern w:val="0"/>
                      <w:sz w:val="21"/>
                      <w:szCs w:val="21"/>
                      <w:u w:val="single"/>
                    </w:rPr>
                    <w:t>产生类型</w:t>
                  </w:r>
                </w:p>
              </w:tc>
              <w:tc>
                <w:tcPr>
                  <w:tcW w:w="828" w:type="dxa"/>
                  <w:tcBorders>
                    <w:tl2br w:val="nil"/>
                    <w:tr2bl w:val="nil"/>
                  </w:tcBorders>
                  <w:vAlign w:val="center"/>
                </w:tcPr>
                <w:p>
                  <w:pPr>
                    <w:pStyle w:val="2"/>
                    <w:spacing w:line="240" w:lineRule="auto"/>
                    <w:jc w:val="center"/>
                    <w:rPr>
                      <w:rFonts w:ascii="宋体" w:hAnsi="宋体" w:cs="宋体"/>
                      <w:i/>
                      <w:iCs/>
                      <w:color w:val="000000"/>
                      <w:kern w:val="0"/>
                      <w:sz w:val="21"/>
                      <w:szCs w:val="21"/>
                      <w:u w:val="single"/>
                    </w:rPr>
                  </w:pPr>
                  <w:r>
                    <w:rPr>
                      <w:rFonts w:hint="eastAsia" w:ascii="宋体" w:hAnsi="宋体" w:cs="宋体"/>
                      <w:i/>
                      <w:iCs/>
                      <w:color w:val="000000"/>
                      <w:kern w:val="0"/>
                      <w:sz w:val="21"/>
                      <w:szCs w:val="21"/>
                      <w:u w:val="single"/>
                    </w:rPr>
                    <w:t>产生量t/a</w:t>
                  </w:r>
                </w:p>
              </w:tc>
              <w:tc>
                <w:tcPr>
                  <w:tcW w:w="915" w:type="dxa"/>
                  <w:tcBorders>
                    <w:tl2br w:val="nil"/>
                    <w:tr2bl w:val="nil"/>
                  </w:tcBorders>
                  <w:vAlign w:val="center"/>
                </w:tcPr>
                <w:p>
                  <w:pPr>
                    <w:pStyle w:val="2"/>
                    <w:spacing w:line="240" w:lineRule="auto"/>
                    <w:jc w:val="center"/>
                    <w:rPr>
                      <w:rFonts w:ascii="宋体" w:hAnsi="宋体" w:cs="宋体"/>
                      <w:i/>
                      <w:iCs/>
                      <w:color w:val="000000"/>
                      <w:kern w:val="0"/>
                      <w:sz w:val="21"/>
                      <w:szCs w:val="21"/>
                      <w:u w:val="single"/>
                    </w:rPr>
                  </w:pPr>
                  <w:r>
                    <w:rPr>
                      <w:rFonts w:hint="eastAsia" w:ascii="宋体" w:hAnsi="宋体" w:cs="宋体"/>
                      <w:i/>
                      <w:iCs/>
                      <w:color w:val="000000"/>
                      <w:kern w:val="0"/>
                      <w:sz w:val="21"/>
                      <w:szCs w:val="21"/>
                      <w:u w:val="single"/>
                    </w:rPr>
                    <w:t>产生速率kg/h</w:t>
                  </w:r>
                </w:p>
              </w:tc>
              <w:tc>
                <w:tcPr>
                  <w:tcW w:w="653" w:type="dxa"/>
                  <w:tcBorders>
                    <w:tl2br w:val="nil"/>
                    <w:tr2bl w:val="nil"/>
                  </w:tcBorders>
                  <w:vAlign w:val="center"/>
                </w:tcPr>
                <w:p>
                  <w:pPr>
                    <w:pStyle w:val="2"/>
                    <w:spacing w:line="240" w:lineRule="auto"/>
                    <w:jc w:val="center"/>
                    <w:rPr>
                      <w:rFonts w:ascii="宋体" w:hAnsi="宋体" w:cs="宋体"/>
                      <w:i/>
                      <w:iCs/>
                      <w:color w:val="000000"/>
                      <w:kern w:val="0"/>
                      <w:sz w:val="21"/>
                      <w:szCs w:val="21"/>
                      <w:u w:val="single"/>
                      <w:vertAlign w:val="superscript"/>
                    </w:rPr>
                  </w:pPr>
                  <w:r>
                    <w:rPr>
                      <w:rFonts w:hint="eastAsia" w:ascii="宋体" w:hAnsi="宋体" w:cs="宋体"/>
                      <w:i/>
                      <w:iCs/>
                      <w:color w:val="000000"/>
                      <w:kern w:val="0"/>
                      <w:sz w:val="21"/>
                      <w:szCs w:val="21"/>
                      <w:u w:val="single"/>
                    </w:rPr>
                    <w:t>产生浓度</w:t>
                  </w:r>
                  <w:bookmarkStart w:id="9" w:name="OLE_LINK1"/>
                  <w:r>
                    <w:rPr>
                      <w:rFonts w:hint="eastAsia" w:ascii="宋体" w:hAnsi="宋体" w:cs="宋体"/>
                      <w:i/>
                      <w:iCs/>
                      <w:color w:val="000000"/>
                      <w:kern w:val="0"/>
                      <w:sz w:val="21"/>
                      <w:szCs w:val="21"/>
                      <w:u w:val="single"/>
                    </w:rPr>
                    <w:t>mg/m</w:t>
                  </w:r>
                  <w:r>
                    <w:rPr>
                      <w:rFonts w:hint="eastAsia" w:ascii="宋体" w:hAnsi="宋体" w:cs="宋体"/>
                      <w:i/>
                      <w:iCs/>
                      <w:color w:val="000000"/>
                      <w:kern w:val="0"/>
                      <w:sz w:val="21"/>
                      <w:szCs w:val="21"/>
                      <w:u w:val="single"/>
                      <w:vertAlign w:val="superscript"/>
                    </w:rPr>
                    <w:t>3</w:t>
                  </w:r>
                  <w:bookmarkEnd w:id="9"/>
                </w:p>
              </w:tc>
              <w:tc>
                <w:tcPr>
                  <w:tcW w:w="478" w:type="dxa"/>
                  <w:tcBorders>
                    <w:tl2br w:val="nil"/>
                    <w:tr2bl w:val="nil"/>
                  </w:tcBorders>
                  <w:vAlign w:val="center"/>
                </w:tcPr>
                <w:p>
                  <w:pPr>
                    <w:pStyle w:val="2"/>
                    <w:spacing w:line="240" w:lineRule="auto"/>
                    <w:jc w:val="center"/>
                    <w:rPr>
                      <w:rFonts w:ascii="宋体" w:hAnsi="宋体" w:cs="宋体"/>
                      <w:i/>
                      <w:iCs/>
                      <w:color w:val="000000"/>
                      <w:kern w:val="0"/>
                      <w:sz w:val="21"/>
                      <w:szCs w:val="21"/>
                      <w:u w:val="single"/>
                    </w:rPr>
                  </w:pPr>
                  <w:r>
                    <w:rPr>
                      <w:rFonts w:hint="eastAsia" w:ascii="宋体" w:hAnsi="宋体" w:cs="宋体"/>
                      <w:i/>
                      <w:iCs/>
                      <w:color w:val="000000"/>
                      <w:kern w:val="0"/>
                      <w:sz w:val="21"/>
                      <w:szCs w:val="21"/>
                      <w:u w:val="single"/>
                    </w:rPr>
                    <w:t>处理效率</w:t>
                  </w:r>
                </w:p>
              </w:tc>
              <w:tc>
                <w:tcPr>
                  <w:tcW w:w="851" w:type="dxa"/>
                  <w:tcBorders>
                    <w:tl2br w:val="nil"/>
                    <w:tr2bl w:val="nil"/>
                  </w:tcBorders>
                  <w:vAlign w:val="center"/>
                </w:tcPr>
                <w:p>
                  <w:pPr>
                    <w:pStyle w:val="2"/>
                    <w:spacing w:line="240" w:lineRule="auto"/>
                    <w:jc w:val="center"/>
                    <w:rPr>
                      <w:rFonts w:ascii="宋体" w:hAnsi="宋体" w:cs="宋体"/>
                      <w:i/>
                      <w:iCs/>
                      <w:color w:val="000000"/>
                      <w:kern w:val="0"/>
                      <w:sz w:val="21"/>
                      <w:szCs w:val="21"/>
                      <w:u w:val="single"/>
                    </w:rPr>
                  </w:pPr>
                  <w:r>
                    <w:rPr>
                      <w:rFonts w:hint="eastAsia" w:ascii="宋体" w:hAnsi="宋体" w:cs="宋体"/>
                      <w:i/>
                      <w:iCs/>
                      <w:color w:val="000000"/>
                      <w:kern w:val="0"/>
                      <w:sz w:val="21"/>
                      <w:szCs w:val="21"/>
                      <w:u w:val="single"/>
                    </w:rPr>
                    <w:t>排放量t/a</w:t>
                  </w:r>
                </w:p>
              </w:tc>
              <w:tc>
                <w:tcPr>
                  <w:tcW w:w="979" w:type="dxa"/>
                  <w:tcBorders>
                    <w:tl2br w:val="nil"/>
                    <w:tr2bl w:val="nil"/>
                  </w:tcBorders>
                  <w:vAlign w:val="center"/>
                </w:tcPr>
                <w:p>
                  <w:pPr>
                    <w:pStyle w:val="2"/>
                    <w:spacing w:line="240" w:lineRule="auto"/>
                    <w:jc w:val="center"/>
                    <w:rPr>
                      <w:rFonts w:ascii="宋体" w:hAnsi="宋体" w:cs="宋体"/>
                      <w:i/>
                      <w:iCs/>
                      <w:color w:val="000000"/>
                      <w:kern w:val="0"/>
                      <w:sz w:val="21"/>
                      <w:szCs w:val="21"/>
                      <w:u w:val="single"/>
                    </w:rPr>
                  </w:pPr>
                  <w:r>
                    <w:rPr>
                      <w:rFonts w:hint="eastAsia" w:ascii="宋体" w:hAnsi="宋体" w:cs="宋体"/>
                      <w:i/>
                      <w:iCs/>
                      <w:color w:val="000000"/>
                      <w:kern w:val="0"/>
                      <w:sz w:val="21"/>
                      <w:szCs w:val="21"/>
                      <w:u w:val="single"/>
                    </w:rPr>
                    <w:t>排放速率kg/h</w:t>
                  </w:r>
                </w:p>
              </w:tc>
              <w:tc>
                <w:tcPr>
                  <w:tcW w:w="653" w:type="dxa"/>
                  <w:tcBorders>
                    <w:tl2br w:val="nil"/>
                    <w:tr2bl w:val="nil"/>
                  </w:tcBorders>
                  <w:vAlign w:val="center"/>
                </w:tcPr>
                <w:p>
                  <w:pPr>
                    <w:pStyle w:val="2"/>
                    <w:spacing w:line="240" w:lineRule="auto"/>
                    <w:jc w:val="center"/>
                    <w:rPr>
                      <w:rFonts w:ascii="宋体" w:hAnsi="宋体" w:cs="宋体"/>
                      <w:i/>
                      <w:iCs/>
                      <w:color w:val="000000"/>
                      <w:kern w:val="0"/>
                      <w:sz w:val="21"/>
                      <w:szCs w:val="21"/>
                      <w:u w:val="single"/>
                    </w:rPr>
                  </w:pPr>
                  <w:r>
                    <w:rPr>
                      <w:rFonts w:hint="eastAsia" w:ascii="宋体" w:hAnsi="宋体" w:cs="宋体"/>
                      <w:i/>
                      <w:iCs/>
                      <w:color w:val="000000"/>
                      <w:kern w:val="0"/>
                      <w:sz w:val="21"/>
                      <w:szCs w:val="21"/>
                      <w:u w:val="single"/>
                    </w:rPr>
                    <w:t>排放浓度mg/m</w:t>
                  </w:r>
                  <w:r>
                    <w:rPr>
                      <w:rFonts w:hint="eastAsia" w:ascii="宋体" w:hAnsi="宋体" w:cs="宋体"/>
                      <w:i/>
                      <w:iCs/>
                      <w:color w:val="000000"/>
                      <w:kern w:val="0"/>
                      <w:sz w:val="21"/>
                      <w:szCs w:val="21"/>
                      <w:u w:val="single"/>
                      <w:vertAlign w:val="superscript"/>
                    </w:rPr>
                    <w:t>3</w:t>
                  </w:r>
                </w:p>
              </w:tc>
              <w:tc>
                <w:tcPr>
                  <w:tcW w:w="565" w:type="dxa"/>
                  <w:tcBorders>
                    <w:tl2br w:val="nil"/>
                    <w:tr2bl w:val="nil"/>
                  </w:tcBorders>
                  <w:vAlign w:val="center"/>
                </w:tcPr>
                <w:p>
                  <w:pPr>
                    <w:pStyle w:val="2"/>
                    <w:spacing w:line="240" w:lineRule="auto"/>
                    <w:jc w:val="center"/>
                    <w:rPr>
                      <w:rFonts w:ascii="宋体" w:hAnsi="宋体" w:cs="宋体"/>
                      <w:i/>
                      <w:iCs/>
                      <w:color w:val="000000"/>
                      <w:kern w:val="0"/>
                      <w:sz w:val="21"/>
                      <w:szCs w:val="21"/>
                      <w:u w:val="single"/>
                    </w:rPr>
                  </w:pPr>
                  <w:r>
                    <w:rPr>
                      <w:rFonts w:hint="eastAsia" w:ascii="宋体" w:hAnsi="宋体" w:cs="宋体"/>
                      <w:i/>
                      <w:iCs/>
                      <w:color w:val="000000"/>
                      <w:kern w:val="0"/>
                      <w:sz w:val="21"/>
                      <w:szCs w:val="21"/>
                      <w:u w:val="single"/>
                    </w:rPr>
                    <w:t>风量m</w:t>
                  </w:r>
                  <w:r>
                    <w:rPr>
                      <w:rFonts w:hint="eastAsia" w:ascii="宋体" w:hAnsi="宋体" w:cs="宋体"/>
                      <w:i/>
                      <w:iCs/>
                      <w:color w:val="000000"/>
                      <w:kern w:val="0"/>
                      <w:sz w:val="21"/>
                      <w:szCs w:val="21"/>
                      <w:u w:val="single"/>
                      <w:vertAlign w:val="superscript"/>
                    </w:rPr>
                    <w:t>3</w:t>
                  </w:r>
                  <w:r>
                    <w:rPr>
                      <w:rFonts w:hint="eastAsia" w:ascii="宋体" w:hAnsi="宋体" w:cs="宋体"/>
                      <w:i/>
                      <w:iCs/>
                      <w:color w:val="000000"/>
                      <w:kern w:val="0"/>
                      <w:sz w:val="21"/>
                      <w:szCs w:val="21"/>
                      <w:u w:val="single"/>
                    </w:rPr>
                    <w:t>/h</w:t>
                  </w:r>
                </w:p>
              </w:tc>
              <w:tc>
                <w:tcPr>
                  <w:tcW w:w="565" w:type="dxa"/>
                  <w:tcBorders>
                    <w:tl2br w:val="nil"/>
                    <w:tr2bl w:val="nil"/>
                  </w:tcBorders>
                  <w:vAlign w:val="center"/>
                </w:tcPr>
                <w:p>
                  <w:pPr>
                    <w:pStyle w:val="2"/>
                    <w:spacing w:line="240" w:lineRule="auto"/>
                    <w:jc w:val="center"/>
                    <w:rPr>
                      <w:rFonts w:ascii="宋体" w:hAnsi="宋体" w:cs="宋体"/>
                      <w:i/>
                      <w:iCs/>
                      <w:color w:val="000000"/>
                      <w:kern w:val="0"/>
                      <w:sz w:val="21"/>
                      <w:szCs w:val="21"/>
                      <w:u w:val="single"/>
                    </w:rPr>
                  </w:pPr>
                  <w:r>
                    <w:rPr>
                      <w:rFonts w:hint="eastAsia" w:ascii="宋体" w:hAnsi="宋体" w:cs="宋体"/>
                      <w:i/>
                      <w:iCs/>
                      <w:color w:val="000000"/>
                      <w:kern w:val="0"/>
                      <w:sz w:val="21"/>
                      <w:szCs w:val="21"/>
                      <w:u w:val="single"/>
                    </w:rPr>
                    <w:t>工作小时数</w:t>
                  </w:r>
                </w:p>
              </w:tc>
            </w:tr>
            <w:tr>
              <w:trPr>
                <w:trHeight w:val="626" w:hRule="atLeast"/>
              </w:trPr>
              <w:tc>
                <w:tcPr>
                  <w:tcW w:w="390" w:type="dxa"/>
                  <w:vMerge w:val="restart"/>
                  <w:tcBorders>
                    <w:tl2br w:val="nil"/>
                    <w:tr2bl w:val="nil"/>
                  </w:tcBorders>
                  <w:vAlign w:val="center"/>
                </w:tcPr>
                <w:p>
                  <w:pPr>
                    <w:pStyle w:val="2"/>
                    <w:spacing w:line="240" w:lineRule="auto"/>
                    <w:jc w:val="center"/>
                    <w:rPr>
                      <w:rFonts w:ascii="宋体" w:hAnsi="宋体" w:cs="宋体"/>
                      <w:i/>
                      <w:iCs/>
                      <w:color w:val="000000"/>
                      <w:kern w:val="0"/>
                      <w:sz w:val="21"/>
                      <w:szCs w:val="21"/>
                      <w:u w:val="single"/>
                    </w:rPr>
                  </w:pPr>
                  <w:r>
                    <w:rPr>
                      <w:rFonts w:hint="eastAsia" w:ascii="宋体" w:hAnsi="宋体" w:cs="宋体"/>
                      <w:i/>
                      <w:iCs/>
                      <w:color w:val="000000"/>
                      <w:kern w:val="0"/>
                      <w:sz w:val="21"/>
                      <w:szCs w:val="21"/>
                      <w:u w:val="single"/>
                    </w:rPr>
                    <w:t>废油液排空</w:t>
                  </w:r>
                </w:p>
              </w:tc>
              <w:tc>
                <w:tcPr>
                  <w:tcW w:w="391" w:type="dxa"/>
                  <w:vMerge w:val="restart"/>
                  <w:tcBorders>
                    <w:tl2br w:val="nil"/>
                    <w:tr2bl w:val="nil"/>
                  </w:tcBorders>
                  <w:vAlign w:val="center"/>
                </w:tcPr>
                <w:p>
                  <w:pPr>
                    <w:pStyle w:val="2"/>
                    <w:spacing w:line="240" w:lineRule="auto"/>
                    <w:jc w:val="center"/>
                    <w:rPr>
                      <w:rFonts w:ascii="宋体" w:hAnsi="宋体" w:cs="宋体"/>
                      <w:i/>
                      <w:iCs/>
                      <w:color w:val="000000"/>
                      <w:kern w:val="0"/>
                      <w:sz w:val="21"/>
                      <w:szCs w:val="21"/>
                      <w:u w:val="single"/>
                    </w:rPr>
                  </w:pPr>
                  <w:r>
                    <w:rPr>
                      <w:rFonts w:hint="eastAsia" w:ascii="宋体" w:hAnsi="宋体" w:cs="宋体"/>
                      <w:i/>
                      <w:iCs/>
                      <w:color w:val="000000"/>
                      <w:kern w:val="0"/>
                      <w:sz w:val="21"/>
                      <w:szCs w:val="21"/>
                      <w:u w:val="single"/>
                    </w:rPr>
                    <w:t>非甲烷总烃</w:t>
                  </w:r>
                </w:p>
              </w:tc>
              <w:tc>
                <w:tcPr>
                  <w:tcW w:w="740" w:type="dxa"/>
                  <w:vMerge w:val="restart"/>
                  <w:tcBorders>
                    <w:tl2br w:val="nil"/>
                    <w:tr2bl w:val="nil"/>
                  </w:tcBorders>
                  <w:vAlign w:val="center"/>
                </w:tcPr>
                <w:p>
                  <w:pPr>
                    <w:pStyle w:val="2"/>
                    <w:spacing w:line="240" w:lineRule="auto"/>
                    <w:jc w:val="center"/>
                    <w:rPr>
                      <w:rFonts w:ascii="宋体" w:hAnsi="宋体" w:cs="宋体"/>
                      <w:i/>
                      <w:iCs/>
                      <w:color w:val="000000"/>
                      <w:kern w:val="0"/>
                      <w:sz w:val="21"/>
                      <w:szCs w:val="21"/>
                      <w:u w:val="single"/>
                    </w:rPr>
                  </w:pPr>
                  <w:r>
                    <w:rPr>
                      <w:rFonts w:hint="eastAsia" w:ascii="宋体" w:hAnsi="宋体" w:cs="宋体"/>
                      <w:i/>
                      <w:iCs/>
                      <w:color w:val="000000"/>
                      <w:kern w:val="0"/>
                      <w:sz w:val="21"/>
                      <w:szCs w:val="21"/>
                      <w:u w:val="single"/>
                    </w:rPr>
                    <w:t>0.015</w:t>
                  </w:r>
                </w:p>
              </w:tc>
              <w:tc>
                <w:tcPr>
                  <w:tcW w:w="391" w:type="dxa"/>
                  <w:tcBorders>
                    <w:tl2br w:val="nil"/>
                    <w:tr2bl w:val="nil"/>
                  </w:tcBorders>
                  <w:vAlign w:val="center"/>
                </w:tcPr>
                <w:p>
                  <w:pPr>
                    <w:pStyle w:val="2"/>
                    <w:spacing w:line="240" w:lineRule="auto"/>
                    <w:jc w:val="center"/>
                    <w:rPr>
                      <w:rFonts w:ascii="宋体" w:hAnsi="宋体" w:cs="宋体"/>
                      <w:i/>
                      <w:iCs/>
                      <w:color w:val="000000"/>
                      <w:kern w:val="0"/>
                      <w:sz w:val="21"/>
                      <w:szCs w:val="21"/>
                      <w:u w:val="single"/>
                    </w:rPr>
                  </w:pPr>
                  <w:r>
                    <w:rPr>
                      <w:rFonts w:hint="eastAsia" w:ascii="宋体" w:hAnsi="宋体" w:cs="宋体"/>
                      <w:i/>
                      <w:iCs/>
                      <w:color w:val="000000"/>
                      <w:kern w:val="0"/>
                      <w:sz w:val="21"/>
                      <w:szCs w:val="21"/>
                      <w:u w:val="single"/>
                    </w:rPr>
                    <w:t>有组织</w:t>
                  </w:r>
                </w:p>
              </w:tc>
              <w:tc>
                <w:tcPr>
                  <w:tcW w:w="828" w:type="dxa"/>
                  <w:tcBorders>
                    <w:tl2br w:val="nil"/>
                    <w:tr2bl w:val="nil"/>
                  </w:tcBorders>
                  <w:vAlign w:val="center"/>
                </w:tcPr>
                <w:p>
                  <w:pPr>
                    <w:widowControl/>
                    <w:jc w:val="center"/>
                    <w:textAlignment w:val="top"/>
                    <w:rPr>
                      <w:rFonts w:ascii="宋体" w:hAnsi="宋体" w:cs="宋体"/>
                      <w:i/>
                      <w:iCs/>
                      <w:color w:val="000000"/>
                      <w:szCs w:val="21"/>
                      <w:u w:val="single"/>
                    </w:rPr>
                  </w:pPr>
                  <w:r>
                    <w:rPr>
                      <w:rFonts w:hint="eastAsia" w:ascii="宋体" w:hAnsi="宋体" w:cs="宋体"/>
                      <w:i/>
                      <w:iCs/>
                      <w:color w:val="000000"/>
                      <w:kern w:val="0"/>
                      <w:szCs w:val="21"/>
                      <w:u w:val="single"/>
                    </w:rPr>
                    <w:t>0.0135</w:t>
                  </w:r>
                </w:p>
              </w:tc>
              <w:tc>
                <w:tcPr>
                  <w:tcW w:w="915" w:type="dxa"/>
                  <w:tcBorders>
                    <w:tl2br w:val="nil"/>
                    <w:tr2bl w:val="nil"/>
                  </w:tcBorders>
                  <w:vAlign w:val="center"/>
                </w:tcPr>
                <w:p>
                  <w:pPr>
                    <w:widowControl/>
                    <w:jc w:val="center"/>
                    <w:textAlignment w:val="top"/>
                    <w:rPr>
                      <w:rFonts w:ascii="宋体" w:hAnsi="宋体" w:cs="宋体"/>
                      <w:i/>
                      <w:iCs/>
                      <w:color w:val="000000"/>
                      <w:szCs w:val="21"/>
                      <w:u w:val="single"/>
                    </w:rPr>
                  </w:pPr>
                  <w:r>
                    <w:rPr>
                      <w:rFonts w:hint="eastAsia" w:ascii="宋体" w:hAnsi="宋体" w:cs="宋体"/>
                      <w:i/>
                      <w:iCs/>
                      <w:color w:val="000000"/>
                      <w:kern w:val="0"/>
                      <w:szCs w:val="21"/>
                      <w:u w:val="single"/>
                    </w:rPr>
                    <w:t>0.13</w:t>
                  </w:r>
                </w:p>
              </w:tc>
              <w:tc>
                <w:tcPr>
                  <w:tcW w:w="653" w:type="dxa"/>
                  <w:tcBorders>
                    <w:tl2br w:val="nil"/>
                    <w:tr2bl w:val="nil"/>
                  </w:tcBorders>
                  <w:vAlign w:val="center"/>
                </w:tcPr>
                <w:p>
                  <w:pPr>
                    <w:widowControl/>
                    <w:jc w:val="center"/>
                    <w:textAlignment w:val="top"/>
                    <w:rPr>
                      <w:rFonts w:ascii="宋体" w:hAnsi="宋体" w:cs="宋体"/>
                      <w:i/>
                      <w:iCs/>
                      <w:color w:val="000000"/>
                      <w:szCs w:val="21"/>
                      <w:u w:val="single"/>
                    </w:rPr>
                  </w:pPr>
                  <w:r>
                    <w:rPr>
                      <w:rFonts w:hint="eastAsia" w:ascii="宋体" w:hAnsi="宋体" w:cs="宋体"/>
                      <w:i/>
                      <w:iCs/>
                      <w:color w:val="000000"/>
                      <w:kern w:val="0"/>
                      <w:szCs w:val="21"/>
                      <w:u w:val="single"/>
                    </w:rPr>
                    <w:t>91.25</w:t>
                  </w:r>
                </w:p>
              </w:tc>
              <w:tc>
                <w:tcPr>
                  <w:tcW w:w="478" w:type="dxa"/>
                  <w:tcBorders>
                    <w:tl2br w:val="nil"/>
                    <w:tr2bl w:val="nil"/>
                  </w:tcBorders>
                  <w:vAlign w:val="center"/>
                </w:tcPr>
                <w:p>
                  <w:pPr>
                    <w:widowControl/>
                    <w:jc w:val="center"/>
                    <w:textAlignment w:val="top"/>
                    <w:rPr>
                      <w:rFonts w:ascii="宋体" w:hAnsi="宋体" w:cs="宋体"/>
                      <w:i/>
                      <w:iCs/>
                      <w:color w:val="000000"/>
                      <w:szCs w:val="21"/>
                      <w:u w:val="single"/>
                    </w:rPr>
                  </w:pPr>
                  <w:r>
                    <w:rPr>
                      <w:rFonts w:hint="eastAsia" w:ascii="宋体" w:hAnsi="宋体" w:cs="宋体"/>
                      <w:i/>
                      <w:iCs/>
                      <w:color w:val="000000"/>
                      <w:kern w:val="0"/>
                      <w:szCs w:val="21"/>
                      <w:u w:val="single"/>
                    </w:rPr>
                    <w:t>80%</w:t>
                  </w:r>
                </w:p>
              </w:tc>
              <w:tc>
                <w:tcPr>
                  <w:tcW w:w="851" w:type="dxa"/>
                  <w:tcBorders>
                    <w:tl2br w:val="nil"/>
                    <w:tr2bl w:val="nil"/>
                  </w:tcBorders>
                  <w:vAlign w:val="center"/>
                </w:tcPr>
                <w:p>
                  <w:pPr>
                    <w:widowControl/>
                    <w:jc w:val="center"/>
                    <w:textAlignment w:val="top"/>
                    <w:rPr>
                      <w:rFonts w:ascii="宋体" w:hAnsi="宋体" w:cs="宋体"/>
                      <w:i/>
                      <w:iCs/>
                      <w:color w:val="000000"/>
                      <w:szCs w:val="21"/>
                      <w:u w:val="single"/>
                    </w:rPr>
                  </w:pPr>
                  <w:r>
                    <w:rPr>
                      <w:rFonts w:hint="eastAsia" w:ascii="宋体" w:hAnsi="宋体" w:cs="宋体"/>
                      <w:i/>
                      <w:iCs/>
                      <w:color w:val="000000"/>
                      <w:kern w:val="0"/>
                      <w:szCs w:val="21"/>
                      <w:u w:val="single"/>
                    </w:rPr>
                    <w:t>0.0027</w:t>
                  </w:r>
                </w:p>
              </w:tc>
              <w:tc>
                <w:tcPr>
                  <w:tcW w:w="979" w:type="dxa"/>
                  <w:tcBorders>
                    <w:tl2br w:val="nil"/>
                    <w:tr2bl w:val="nil"/>
                  </w:tcBorders>
                  <w:vAlign w:val="center"/>
                </w:tcPr>
                <w:p>
                  <w:pPr>
                    <w:widowControl/>
                    <w:jc w:val="center"/>
                    <w:textAlignment w:val="top"/>
                    <w:rPr>
                      <w:rFonts w:ascii="宋体" w:hAnsi="宋体" w:cs="宋体"/>
                      <w:i/>
                      <w:iCs/>
                      <w:color w:val="000000"/>
                      <w:szCs w:val="21"/>
                      <w:u w:val="single"/>
                    </w:rPr>
                  </w:pPr>
                  <w:r>
                    <w:rPr>
                      <w:rFonts w:hint="eastAsia" w:ascii="宋体" w:hAnsi="宋体" w:cs="宋体"/>
                      <w:i/>
                      <w:iCs/>
                      <w:color w:val="000000"/>
                      <w:kern w:val="0"/>
                      <w:szCs w:val="21"/>
                      <w:u w:val="single"/>
                    </w:rPr>
                    <w:t>0.0275</w:t>
                  </w:r>
                </w:p>
              </w:tc>
              <w:tc>
                <w:tcPr>
                  <w:tcW w:w="653" w:type="dxa"/>
                  <w:tcBorders>
                    <w:tl2br w:val="nil"/>
                    <w:tr2bl w:val="nil"/>
                  </w:tcBorders>
                  <w:vAlign w:val="center"/>
                </w:tcPr>
                <w:p>
                  <w:pPr>
                    <w:widowControl/>
                    <w:jc w:val="center"/>
                    <w:textAlignment w:val="top"/>
                    <w:rPr>
                      <w:rFonts w:ascii="宋体" w:hAnsi="宋体" w:cs="宋体"/>
                      <w:i/>
                      <w:iCs/>
                      <w:color w:val="000000"/>
                      <w:szCs w:val="21"/>
                      <w:u w:val="single"/>
                    </w:rPr>
                  </w:pPr>
                  <w:r>
                    <w:rPr>
                      <w:rFonts w:hint="eastAsia" w:ascii="宋体" w:hAnsi="宋体" w:cs="宋体"/>
                      <w:i/>
                      <w:iCs/>
                      <w:color w:val="000000"/>
                      <w:kern w:val="0"/>
                      <w:szCs w:val="21"/>
                      <w:u w:val="single"/>
                    </w:rPr>
                    <w:t>18</w:t>
                  </w:r>
                </w:p>
              </w:tc>
              <w:tc>
                <w:tcPr>
                  <w:tcW w:w="565" w:type="dxa"/>
                  <w:tcBorders>
                    <w:tl2br w:val="nil"/>
                    <w:tr2bl w:val="nil"/>
                  </w:tcBorders>
                  <w:vAlign w:val="center"/>
                </w:tcPr>
                <w:p>
                  <w:pPr>
                    <w:widowControl/>
                    <w:jc w:val="center"/>
                    <w:textAlignment w:val="top"/>
                    <w:rPr>
                      <w:rFonts w:ascii="宋体" w:hAnsi="宋体" w:cs="宋体"/>
                      <w:i/>
                      <w:iCs/>
                      <w:color w:val="000000"/>
                      <w:szCs w:val="21"/>
                      <w:u w:val="single"/>
                    </w:rPr>
                  </w:pPr>
                  <w:r>
                    <w:rPr>
                      <w:rFonts w:hint="eastAsia" w:ascii="宋体" w:hAnsi="宋体" w:cs="宋体"/>
                      <w:i/>
                      <w:iCs/>
                      <w:color w:val="000000"/>
                      <w:kern w:val="0"/>
                      <w:szCs w:val="21"/>
                      <w:u w:val="single"/>
                    </w:rPr>
                    <w:t>1500</w:t>
                  </w:r>
                </w:p>
              </w:tc>
              <w:tc>
                <w:tcPr>
                  <w:tcW w:w="565" w:type="dxa"/>
                  <w:tcBorders>
                    <w:tl2br w:val="nil"/>
                    <w:tr2bl w:val="nil"/>
                  </w:tcBorders>
                  <w:vAlign w:val="center"/>
                </w:tcPr>
                <w:p>
                  <w:pPr>
                    <w:widowControl/>
                    <w:jc w:val="center"/>
                    <w:textAlignment w:val="top"/>
                    <w:rPr>
                      <w:rFonts w:ascii="宋体" w:hAnsi="宋体" w:cs="宋体"/>
                      <w:i/>
                      <w:iCs/>
                      <w:color w:val="000000"/>
                      <w:szCs w:val="21"/>
                      <w:u w:val="single"/>
                    </w:rPr>
                  </w:pPr>
                  <w:r>
                    <w:rPr>
                      <w:rFonts w:hint="eastAsia" w:ascii="宋体" w:hAnsi="宋体" w:cs="宋体"/>
                      <w:i/>
                      <w:iCs/>
                      <w:color w:val="000000"/>
                      <w:kern w:val="0"/>
                      <w:szCs w:val="21"/>
                      <w:u w:val="single"/>
                    </w:rPr>
                    <w:t>100</w:t>
                  </w:r>
                </w:p>
              </w:tc>
            </w:tr>
            <w:tr>
              <w:trPr>
                <w:trHeight w:val="626" w:hRule="atLeast"/>
              </w:trPr>
              <w:tc>
                <w:tcPr>
                  <w:tcW w:w="390" w:type="dxa"/>
                  <w:vMerge w:val="continue"/>
                  <w:tcBorders>
                    <w:tl2br w:val="nil"/>
                    <w:tr2bl w:val="nil"/>
                  </w:tcBorders>
                  <w:vAlign w:val="center"/>
                </w:tcPr>
                <w:p>
                  <w:pPr>
                    <w:pStyle w:val="2"/>
                    <w:spacing w:line="240" w:lineRule="auto"/>
                    <w:jc w:val="center"/>
                    <w:rPr>
                      <w:rFonts w:ascii="宋体" w:hAnsi="宋体" w:cs="宋体"/>
                      <w:i/>
                      <w:iCs/>
                      <w:color w:val="000000"/>
                      <w:kern w:val="0"/>
                      <w:sz w:val="21"/>
                      <w:szCs w:val="21"/>
                      <w:u w:val="single"/>
                    </w:rPr>
                  </w:pPr>
                </w:p>
              </w:tc>
              <w:tc>
                <w:tcPr>
                  <w:tcW w:w="391" w:type="dxa"/>
                  <w:vMerge w:val="continue"/>
                  <w:tcBorders>
                    <w:tl2br w:val="nil"/>
                    <w:tr2bl w:val="nil"/>
                  </w:tcBorders>
                  <w:vAlign w:val="center"/>
                </w:tcPr>
                <w:p>
                  <w:pPr>
                    <w:pStyle w:val="2"/>
                    <w:spacing w:line="240" w:lineRule="auto"/>
                    <w:jc w:val="center"/>
                    <w:rPr>
                      <w:rFonts w:ascii="宋体" w:hAnsi="宋体" w:cs="宋体"/>
                      <w:i/>
                      <w:iCs/>
                      <w:color w:val="000000"/>
                      <w:kern w:val="0"/>
                      <w:sz w:val="21"/>
                      <w:szCs w:val="21"/>
                      <w:u w:val="single"/>
                    </w:rPr>
                  </w:pPr>
                </w:p>
              </w:tc>
              <w:tc>
                <w:tcPr>
                  <w:tcW w:w="740" w:type="dxa"/>
                  <w:vMerge w:val="continue"/>
                  <w:tcBorders>
                    <w:tl2br w:val="nil"/>
                    <w:tr2bl w:val="nil"/>
                  </w:tcBorders>
                  <w:vAlign w:val="center"/>
                </w:tcPr>
                <w:p>
                  <w:pPr>
                    <w:pStyle w:val="2"/>
                    <w:spacing w:line="240" w:lineRule="auto"/>
                    <w:jc w:val="center"/>
                    <w:rPr>
                      <w:rFonts w:ascii="宋体" w:hAnsi="宋体" w:cs="宋体"/>
                      <w:i/>
                      <w:iCs/>
                      <w:color w:val="000000"/>
                      <w:kern w:val="0"/>
                      <w:sz w:val="21"/>
                      <w:szCs w:val="21"/>
                      <w:u w:val="single"/>
                    </w:rPr>
                  </w:pPr>
                </w:p>
              </w:tc>
              <w:tc>
                <w:tcPr>
                  <w:tcW w:w="391" w:type="dxa"/>
                  <w:tcBorders>
                    <w:tl2br w:val="nil"/>
                    <w:tr2bl w:val="nil"/>
                  </w:tcBorders>
                  <w:vAlign w:val="center"/>
                </w:tcPr>
                <w:p>
                  <w:pPr>
                    <w:pStyle w:val="2"/>
                    <w:spacing w:line="240" w:lineRule="auto"/>
                    <w:jc w:val="center"/>
                    <w:rPr>
                      <w:rFonts w:ascii="宋体" w:hAnsi="宋体" w:cs="宋体"/>
                      <w:i/>
                      <w:iCs/>
                      <w:color w:val="000000"/>
                      <w:kern w:val="0"/>
                      <w:sz w:val="21"/>
                      <w:szCs w:val="21"/>
                      <w:u w:val="single"/>
                    </w:rPr>
                  </w:pPr>
                  <w:r>
                    <w:rPr>
                      <w:rFonts w:hint="eastAsia" w:ascii="宋体" w:hAnsi="宋体" w:cs="宋体"/>
                      <w:i/>
                      <w:iCs/>
                      <w:color w:val="000000"/>
                      <w:kern w:val="0"/>
                      <w:sz w:val="21"/>
                      <w:szCs w:val="21"/>
                      <w:u w:val="single"/>
                    </w:rPr>
                    <w:t>无组织</w:t>
                  </w:r>
                </w:p>
              </w:tc>
              <w:tc>
                <w:tcPr>
                  <w:tcW w:w="828" w:type="dxa"/>
                  <w:tcBorders>
                    <w:tl2br w:val="nil"/>
                    <w:tr2bl w:val="nil"/>
                  </w:tcBorders>
                  <w:vAlign w:val="center"/>
                </w:tcPr>
                <w:p>
                  <w:pPr>
                    <w:widowControl/>
                    <w:jc w:val="center"/>
                    <w:textAlignment w:val="top"/>
                    <w:rPr>
                      <w:rFonts w:ascii="宋体" w:hAnsi="宋体" w:cs="宋体"/>
                      <w:i/>
                      <w:iCs/>
                      <w:color w:val="000000"/>
                      <w:szCs w:val="21"/>
                      <w:u w:val="single"/>
                    </w:rPr>
                  </w:pPr>
                  <w:r>
                    <w:rPr>
                      <w:rFonts w:hint="eastAsia" w:ascii="宋体" w:hAnsi="宋体" w:cs="宋体"/>
                      <w:i/>
                      <w:iCs/>
                      <w:color w:val="000000"/>
                      <w:kern w:val="0"/>
                      <w:szCs w:val="21"/>
                      <w:u w:val="single"/>
                    </w:rPr>
                    <w:t>0.0015</w:t>
                  </w:r>
                </w:p>
              </w:tc>
              <w:tc>
                <w:tcPr>
                  <w:tcW w:w="915" w:type="dxa"/>
                  <w:tcBorders>
                    <w:tl2br w:val="nil"/>
                    <w:tr2bl w:val="nil"/>
                  </w:tcBorders>
                  <w:vAlign w:val="center"/>
                </w:tcPr>
                <w:p>
                  <w:pPr>
                    <w:widowControl/>
                    <w:jc w:val="center"/>
                    <w:textAlignment w:val="top"/>
                    <w:rPr>
                      <w:rFonts w:ascii="宋体" w:hAnsi="宋体" w:cs="宋体"/>
                      <w:i/>
                      <w:iCs/>
                      <w:color w:val="000000"/>
                      <w:szCs w:val="21"/>
                      <w:u w:val="single"/>
                    </w:rPr>
                  </w:pPr>
                  <w:r>
                    <w:rPr>
                      <w:rFonts w:hint="eastAsia" w:ascii="宋体" w:hAnsi="宋体" w:cs="宋体"/>
                      <w:i/>
                      <w:iCs/>
                      <w:color w:val="000000"/>
                      <w:kern w:val="0"/>
                      <w:szCs w:val="21"/>
                      <w:u w:val="single"/>
                    </w:rPr>
                    <w:t>0.015</w:t>
                  </w:r>
                </w:p>
              </w:tc>
              <w:tc>
                <w:tcPr>
                  <w:tcW w:w="653" w:type="dxa"/>
                  <w:tcBorders>
                    <w:tl2br w:val="nil"/>
                    <w:tr2bl w:val="nil"/>
                  </w:tcBorders>
                  <w:vAlign w:val="center"/>
                </w:tcPr>
                <w:p>
                  <w:pPr>
                    <w:widowControl/>
                    <w:jc w:val="center"/>
                    <w:textAlignment w:val="top"/>
                    <w:rPr>
                      <w:rFonts w:ascii="宋体" w:hAnsi="宋体" w:cs="宋体"/>
                      <w:i/>
                      <w:iCs/>
                      <w:color w:val="000000"/>
                      <w:szCs w:val="21"/>
                      <w:u w:val="single"/>
                    </w:rPr>
                  </w:pPr>
                  <w:r>
                    <w:rPr>
                      <w:rFonts w:hint="eastAsia" w:ascii="宋体" w:hAnsi="宋体" w:cs="宋体"/>
                      <w:i/>
                      <w:iCs/>
                      <w:color w:val="000000"/>
                      <w:kern w:val="0"/>
                      <w:szCs w:val="21"/>
                      <w:u w:val="single"/>
                    </w:rPr>
                    <w:t>/</w:t>
                  </w:r>
                </w:p>
              </w:tc>
              <w:tc>
                <w:tcPr>
                  <w:tcW w:w="478" w:type="dxa"/>
                  <w:tcBorders>
                    <w:tl2br w:val="nil"/>
                    <w:tr2bl w:val="nil"/>
                  </w:tcBorders>
                  <w:vAlign w:val="center"/>
                </w:tcPr>
                <w:p>
                  <w:pPr>
                    <w:widowControl/>
                    <w:jc w:val="center"/>
                    <w:textAlignment w:val="top"/>
                    <w:rPr>
                      <w:rFonts w:ascii="宋体" w:hAnsi="宋体" w:cs="宋体"/>
                      <w:i/>
                      <w:iCs/>
                      <w:color w:val="000000"/>
                      <w:szCs w:val="21"/>
                      <w:u w:val="single"/>
                    </w:rPr>
                  </w:pPr>
                  <w:r>
                    <w:rPr>
                      <w:rFonts w:hint="eastAsia" w:ascii="宋体" w:hAnsi="宋体" w:cs="宋体"/>
                      <w:i/>
                      <w:iCs/>
                      <w:color w:val="000000"/>
                      <w:kern w:val="0"/>
                      <w:szCs w:val="21"/>
                      <w:u w:val="single"/>
                    </w:rPr>
                    <w:t>/</w:t>
                  </w:r>
                </w:p>
              </w:tc>
              <w:tc>
                <w:tcPr>
                  <w:tcW w:w="851" w:type="dxa"/>
                  <w:tcBorders>
                    <w:tl2br w:val="nil"/>
                    <w:tr2bl w:val="nil"/>
                  </w:tcBorders>
                  <w:vAlign w:val="center"/>
                </w:tcPr>
                <w:p>
                  <w:pPr>
                    <w:widowControl/>
                    <w:jc w:val="center"/>
                    <w:textAlignment w:val="top"/>
                    <w:rPr>
                      <w:rFonts w:ascii="宋体" w:hAnsi="宋体" w:cs="宋体"/>
                      <w:i/>
                      <w:iCs/>
                      <w:color w:val="000000"/>
                      <w:szCs w:val="21"/>
                      <w:u w:val="single"/>
                    </w:rPr>
                  </w:pPr>
                  <w:r>
                    <w:rPr>
                      <w:rFonts w:hint="eastAsia" w:ascii="宋体" w:hAnsi="宋体" w:cs="宋体"/>
                      <w:i/>
                      <w:iCs/>
                      <w:color w:val="000000"/>
                      <w:kern w:val="0"/>
                      <w:szCs w:val="21"/>
                      <w:u w:val="single"/>
                    </w:rPr>
                    <w:t>0.0015</w:t>
                  </w:r>
                </w:p>
              </w:tc>
              <w:tc>
                <w:tcPr>
                  <w:tcW w:w="979" w:type="dxa"/>
                  <w:tcBorders>
                    <w:tl2br w:val="nil"/>
                    <w:tr2bl w:val="nil"/>
                  </w:tcBorders>
                  <w:vAlign w:val="center"/>
                </w:tcPr>
                <w:p>
                  <w:pPr>
                    <w:widowControl/>
                    <w:jc w:val="center"/>
                    <w:textAlignment w:val="top"/>
                    <w:rPr>
                      <w:rFonts w:ascii="宋体" w:hAnsi="宋体" w:cs="宋体"/>
                      <w:i/>
                      <w:iCs/>
                      <w:color w:val="000000"/>
                      <w:szCs w:val="21"/>
                      <w:u w:val="single"/>
                    </w:rPr>
                  </w:pPr>
                  <w:r>
                    <w:rPr>
                      <w:rFonts w:hint="eastAsia" w:ascii="宋体" w:hAnsi="宋体" w:cs="宋体"/>
                      <w:i/>
                      <w:iCs/>
                      <w:color w:val="000000"/>
                      <w:kern w:val="0"/>
                      <w:szCs w:val="21"/>
                      <w:u w:val="single"/>
                    </w:rPr>
                    <w:t>0.015</w:t>
                  </w:r>
                </w:p>
              </w:tc>
              <w:tc>
                <w:tcPr>
                  <w:tcW w:w="653" w:type="dxa"/>
                  <w:tcBorders>
                    <w:tl2br w:val="nil"/>
                    <w:tr2bl w:val="nil"/>
                  </w:tcBorders>
                  <w:vAlign w:val="center"/>
                </w:tcPr>
                <w:p>
                  <w:pPr>
                    <w:widowControl/>
                    <w:jc w:val="center"/>
                    <w:textAlignment w:val="top"/>
                    <w:rPr>
                      <w:rFonts w:ascii="宋体" w:hAnsi="宋体" w:cs="宋体"/>
                      <w:i/>
                      <w:iCs/>
                      <w:color w:val="000000"/>
                      <w:szCs w:val="21"/>
                      <w:u w:val="single"/>
                    </w:rPr>
                  </w:pPr>
                  <w:r>
                    <w:rPr>
                      <w:rFonts w:hint="eastAsia" w:ascii="宋体" w:hAnsi="宋体" w:cs="宋体"/>
                      <w:i/>
                      <w:iCs/>
                      <w:color w:val="000000"/>
                      <w:kern w:val="0"/>
                      <w:szCs w:val="21"/>
                      <w:u w:val="single"/>
                    </w:rPr>
                    <w:t>/</w:t>
                  </w:r>
                </w:p>
              </w:tc>
              <w:tc>
                <w:tcPr>
                  <w:tcW w:w="565" w:type="dxa"/>
                  <w:tcBorders>
                    <w:tl2br w:val="nil"/>
                    <w:tr2bl w:val="nil"/>
                  </w:tcBorders>
                  <w:vAlign w:val="center"/>
                </w:tcPr>
                <w:p>
                  <w:pPr>
                    <w:widowControl/>
                    <w:jc w:val="center"/>
                    <w:textAlignment w:val="top"/>
                    <w:rPr>
                      <w:rFonts w:ascii="宋体" w:hAnsi="宋体" w:cs="宋体"/>
                      <w:i/>
                      <w:iCs/>
                      <w:color w:val="000000"/>
                      <w:szCs w:val="21"/>
                      <w:u w:val="single"/>
                    </w:rPr>
                  </w:pPr>
                  <w:r>
                    <w:rPr>
                      <w:rFonts w:hint="eastAsia" w:ascii="宋体" w:hAnsi="宋体" w:cs="宋体"/>
                      <w:i/>
                      <w:iCs/>
                      <w:color w:val="000000"/>
                      <w:kern w:val="0"/>
                      <w:szCs w:val="21"/>
                      <w:u w:val="single"/>
                    </w:rPr>
                    <w:t>/</w:t>
                  </w:r>
                </w:p>
              </w:tc>
              <w:tc>
                <w:tcPr>
                  <w:tcW w:w="565" w:type="dxa"/>
                  <w:tcBorders>
                    <w:tl2br w:val="nil"/>
                    <w:tr2bl w:val="nil"/>
                  </w:tcBorders>
                  <w:vAlign w:val="center"/>
                </w:tcPr>
                <w:p>
                  <w:pPr>
                    <w:widowControl/>
                    <w:jc w:val="center"/>
                    <w:textAlignment w:val="top"/>
                    <w:rPr>
                      <w:rFonts w:ascii="宋体" w:hAnsi="宋体" w:cs="宋体"/>
                      <w:i/>
                      <w:iCs/>
                      <w:color w:val="000000"/>
                      <w:szCs w:val="21"/>
                      <w:u w:val="single"/>
                    </w:rPr>
                  </w:pPr>
                  <w:r>
                    <w:rPr>
                      <w:rFonts w:hint="eastAsia" w:ascii="宋体" w:hAnsi="宋体" w:cs="宋体"/>
                      <w:i/>
                      <w:iCs/>
                      <w:color w:val="000000"/>
                      <w:kern w:val="0"/>
                      <w:szCs w:val="21"/>
                      <w:u w:val="single"/>
                    </w:rPr>
                    <w:t>100</w:t>
                  </w:r>
                </w:p>
              </w:tc>
            </w:tr>
            <w:tr>
              <w:trPr>
                <w:trHeight w:val="626" w:hRule="atLeast"/>
              </w:trPr>
              <w:tc>
                <w:tcPr>
                  <w:tcW w:w="390" w:type="dxa"/>
                  <w:vMerge w:val="restart"/>
                  <w:tcBorders>
                    <w:tl2br w:val="nil"/>
                    <w:tr2bl w:val="nil"/>
                  </w:tcBorders>
                  <w:vAlign w:val="center"/>
                </w:tcPr>
                <w:p>
                  <w:pPr>
                    <w:pStyle w:val="2"/>
                    <w:spacing w:line="240" w:lineRule="auto"/>
                    <w:jc w:val="center"/>
                    <w:rPr>
                      <w:rFonts w:ascii="宋体" w:hAnsi="宋体" w:cs="宋体"/>
                      <w:i/>
                      <w:iCs/>
                      <w:color w:val="000000"/>
                      <w:kern w:val="0"/>
                      <w:sz w:val="21"/>
                      <w:szCs w:val="21"/>
                      <w:u w:val="single"/>
                    </w:rPr>
                  </w:pPr>
                  <w:r>
                    <w:rPr>
                      <w:rFonts w:hint="eastAsia" w:ascii="宋体" w:hAnsi="宋体" w:cs="宋体"/>
                      <w:i/>
                      <w:iCs/>
                      <w:color w:val="000000"/>
                      <w:kern w:val="0"/>
                      <w:sz w:val="21"/>
                      <w:szCs w:val="21"/>
                      <w:u w:val="single"/>
                    </w:rPr>
                    <w:t>拆解剪切粉尘</w:t>
                  </w:r>
                </w:p>
              </w:tc>
              <w:tc>
                <w:tcPr>
                  <w:tcW w:w="391" w:type="dxa"/>
                  <w:vMerge w:val="restart"/>
                  <w:tcBorders>
                    <w:tl2br w:val="nil"/>
                    <w:tr2bl w:val="nil"/>
                  </w:tcBorders>
                  <w:vAlign w:val="center"/>
                </w:tcPr>
                <w:p>
                  <w:pPr>
                    <w:pStyle w:val="2"/>
                    <w:spacing w:line="240" w:lineRule="auto"/>
                    <w:jc w:val="center"/>
                    <w:rPr>
                      <w:rFonts w:ascii="宋体" w:hAnsi="宋体" w:cs="宋体"/>
                      <w:i/>
                      <w:iCs/>
                      <w:color w:val="000000"/>
                      <w:kern w:val="0"/>
                      <w:sz w:val="21"/>
                      <w:szCs w:val="21"/>
                      <w:u w:val="single"/>
                    </w:rPr>
                  </w:pPr>
                  <w:r>
                    <w:rPr>
                      <w:rFonts w:hint="eastAsia" w:ascii="宋体" w:hAnsi="宋体" w:cs="宋体"/>
                      <w:i/>
                      <w:iCs/>
                      <w:color w:val="000000"/>
                      <w:kern w:val="0"/>
                      <w:sz w:val="21"/>
                      <w:szCs w:val="21"/>
                      <w:u w:val="single"/>
                    </w:rPr>
                    <w:t>颗粒物</w:t>
                  </w:r>
                </w:p>
              </w:tc>
              <w:tc>
                <w:tcPr>
                  <w:tcW w:w="740" w:type="dxa"/>
                  <w:vMerge w:val="restart"/>
                  <w:tcBorders>
                    <w:tl2br w:val="nil"/>
                    <w:tr2bl w:val="nil"/>
                  </w:tcBorders>
                  <w:vAlign w:val="center"/>
                </w:tcPr>
                <w:p>
                  <w:pPr>
                    <w:pStyle w:val="2"/>
                    <w:spacing w:line="240" w:lineRule="auto"/>
                    <w:jc w:val="center"/>
                    <w:rPr>
                      <w:rFonts w:ascii="宋体" w:hAnsi="宋体" w:cs="宋体"/>
                      <w:i/>
                      <w:iCs/>
                      <w:color w:val="000000"/>
                      <w:kern w:val="0"/>
                      <w:sz w:val="21"/>
                      <w:szCs w:val="21"/>
                      <w:u w:val="single"/>
                    </w:rPr>
                  </w:pPr>
                  <w:r>
                    <w:rPr>
                      <w:rFonts w:hint="eastAsia" w:ascii="宋体" w:hAnsi="宋体" w:cs="宋体"/>
                      <w:i/>
                      <w:iCs/>
                      <w:color w:val="000000"/>
                      <w:kern w:val="0"/>
                      <w:sz w:val="21"/>
                      <w:szCs w:val="21"/>
                      <w:u w:val="single"/>
                    </w:rPr>
                    <w:t>0.016</w:t>
                  </w:r>
                </w:p>
              </w:tc>
              <w:tc>
                <w:tcPr>
                  <w:tcW w:w="391" w:type="dxa"/>
                  <w:tcBorders>
                    <w:tl2br w:val="nil"/>
                    <w:tr2bl w:val="nil"/>
                  </w:tcBorders>
                  <w:vAlign w:val="center"/>
                </w:tcPr>
                <w:p>
                  <w:pPr>
                    <w:pStyle w:val="2"/>
                    <w:spacing w:line="240" w:lineRule="auto"/>
                    <w:jc w:val="center"/>
                    <w:rPr>
                      <w:rFonts w:ascii="宋体" w:hAnsi="宋体" w:cs="宋体"/>
                      <w:i/>
                      <w:iCs/>
                      <w:color w:val="000000"/>
                      <w:kern w:val="0"/>
                      <w:sz w:val="21"/>
                      <w:szCs w:val="21"/>
                      <w:u w:val="single"/>
                    </w:rPr>
                  </w:pPr>
                  <w:r>
                    <w:rPr>
                      <w:rFonts w:hint="eastAsia" w:ascii="宋体" w:hAnsi="宋体" w:cs="宋体"/>
                      <w:i/>
                      <w:iCs/>
                      <w:color w:val="000000"/>
                      <w:kern w:val="0"/>
                      <w:sz w:val="21"/>
                      <w:szCs w:val="21"/>
                      <w:u w:val="single"/>
                    </w:rPr>
                    <w:t>有组织</w:t>
                  </w:r>
                </w:p>
              </w:tc>
              <w:tc>
                <w:tcPr>
                  <w:tcW w:w="828" w:type="dxa"/>
                  <w:tcBorders>
                    <w:tl2br w:val="nil"/>
                    <w:tr2bl w:val="nil"/>
                  </w:tcBorders>
                  <w:vAlign w:val="center"/>
                </w:tcPr>
                <w:p>
                  <w:pPr>
                    <w:widowControl/>
                    <w:jc w:val="center"/>
                    <w:textAlignment w:val="top"/>
                    <w:rPr>
                      <w:rFonts w:ascii="宋体" w:hAnsi="宋体" w:cs="宋体"/>
                      <w:i/>
                      <w:iCs/>
                      <w:color w:val="000000"/>
                      <w:szCs w:val="21"/>
                      <w:u w:val="single"/>
                    </w:rPr>
                  </w:pPr>
                  <w:r>
                    <w:rPr>
                      <w:rFonts w:hint="eastAsia" w:ascii="宋体" w:hAnsi="宋体" w:cs="宋体"/>
                      <w:i/>
                      <w:iCs/>
                      <w:color w:val="000000"/>
                      <w:szCs w:val="21"/>
                      <w:u w:val="single"/>
                    </w:rPr>
                    <w:t>0.0144</w:t>
                  </w:r>
                </w:p>
              </w:tc>
              <w:tc>
                <w:tcPr>
                  <w:tcW w:w="915" w:type="dxa"/>
                  <w:tcBorders>
                    <w:tl2br w:val="nil"/>
                    <w:tr2bl w:val="nil"/>
                  </w:tcBorders>
                  <w:vAlign w:val="center"/>
                </w:tcPr>
                <w:p>
                  <w:pPr>
                    <w:widowControl/>
                    <w:jc w:val="center"/>
                    <w:textAlignment w:val="top"/>
                    <w:rPr>
                      <w:rFonts w:ascii="宋体" w:hAnsi="宋体" w:cs="宋体"/>
                      <w:i/>
                      <w:iCs/>
                      <w:color w:val="000000"/>
                      <w:szCs w:val="21"/>
                      <w:u w:val="single"/>
                    </w:rPr>
                  </w:pPr>
                  <w:r>
                    <w:rPr>
                      <w:rFonts w:hint="eastAsia" w:ascii="宋体" w:hAnsi="宋体" w:cs="宋体"/>
                      <w:i/>
                      <w:iCs/>
                      <w:color w:val="000000"/>
                      <w:szCs w:val="21"/>
                      <w:u w:val="single"/>
                    </w:rPr>
                    <w:t>0.025</w:t>
                  </w:r>
                </w:p>
              </w:tc>
              <w:tc>
                <w:tcPr>
                  <w:tcW w:w="653" w:type="dxa"/>
                  <w:tcBorders>
                    <w:tl2br w:val="nil"/>
                    <w:tr2bl w:val="nil"/>
                  </w:tcBorders>
                  <w:vAlign w:val="center"/>
                </w:tcPr>
                <w:p>
                  <w:pPr>
                    <w:widowControl/>
                    <w:jc w:val="center"/>
                    <w:textAlignment w:val="top"/>
                    <w:rPr>
                      <w:rFonts w:ascii="宋体" w:hAnsi="宋体" w:cs="宋体"/>
                      <w:i/>
                      <w:iCs/>
                      <w:color w:val="000000"/>
                      <w:szCs w:val="21"/>
                      <w:u w:val="single"/>
                    </w:rPr>
                  </w:pPr>
                  <w:r>
                    <w:rPr>
                      <w:rFonts w:hint="eastAsia" w:ascii="宋体" w:hAnsi="宋体" w:cs="宋体"/>
                      <w:i/>
                      <w:iCs/>
                      <w:color w:val="000000"/>
                      <w:szCs w:val="21"/>
                      <w:u w:val="single"/>
                    </w:rPr>
                    <w:t>33.4</w:t>
                  </w:r>
                </w:p>
              </w:tc>
              <w:tc>
                <w:tcPr>
                  <w:tcW w:w="478" w:type="dxa"/>
                  <w:tcBorders>
                    <w:tl2br w:val="nil"/>
                    <w:tr2bl w:val="nil"/>
                  </w:tcBorders>
                  <w:vAlign w:val="center"/>
                </w:tcPr>
                <w:p>
                  <w:pPr>
                    <w:widowControl/>
                    <w:jc w:val="center"/>
                    <w:textAlignment w:val="top"/>
                    <w:rPr>
                      <w:rFonts w:ascii="宋体" w:hAnsi="宋体" w:cs="宋体"/>
                      <w:i/>
                      <w:iCs/>
                      <w:color w:val="000000"/>
                      <w:szCs w:val="21"/>
                      <w:u w:val="single"/>
                    </w:rPr>
                  </w:pPr>
                  <w:r>
                    <w:rPr>
                      <w:rFonts w:hint="eastAsia" w:ascii="宋体" w:hAnsi="宋体" w:cs="宋体"/>
                      <w:i/>
                      <w:iCs/>
                      <w:color w:val="000000"/>
                      <w:kern w:val="0"/>
                      <w:szCs w:val="21"/>
                      <w:u w:val="single"/>
                    </w:rPr>
                    <w:t>95%</w:t>
                  </w:r>
                </w:p>
              </w:tc>
              <w:tc>
                <w:tcPr>
                  <w:tcW w:w="851" w:type="dxa"/>
                  <w:tcBorders>
                    <w:tl2br w:val="nil"/>
                    <w:tr2bl w:val="nil"/>
                  </w:tcBorders>
                  <w:vAlign w:val="center"/>
                </w:tcPr>
                <w:p>
                  <w:pPr>
                    <w:widowControl/>
                    <w:jc w:val="center"/>
                    <w:textAlignment w:val="top"/>
                    <w:rPr>
                      <w:rFonts w:ascii="宋体" w:hAnsi="宋体" w:cs="宋体"/>
                      <w:i/>
                      <w:iCs/>
                      <w:color w:val="000000"/>
                      <w:szCs w:val="21"/>
                      <w:u w:val="single"/>
                    </w:rPr>
                  </w:pPr>
                  <w:r>
                    <w:rPr>
                      <w:rFonts w:hint="eastAsia" w:ascii="宋体" w:hAnsi="宋体" w:cs="宋体"/>
                      <w:i/>
                      <w:iCs/>
                      <w:color w:val="000000"/>
                      <w:kern w:val="0"/>
                      <w:szCs w:val="21"/>
                      <w:u w:val="single"/>
                    </w:rPr>
                    <w:t>0.0007</w:t>
                  </w:r>
                </w:p>
              </w:tc>
              <w:tc>
                <w:tcPr>
                  <w:tcW w:w="979" w:type="dxa"/>
                  <w:tcBorders>
                    <w:tl2br w:val="nil"/>
                    <w:tr2bl w:val="nil"/>
                  </w:tcBorders>
                  <w:vAlign w:val="center"/>
                </w:tcPr>
                <w:p>
                  <w:pPr>
                    <w:widowControl/>
                    <w:jc w:val="center"/>
                    <w:textAlignment w:val="top"/>
                    <w:rPr>
                      <w:rFonts w:ascii="宋体" w:hAnsi="宋体" w:cs="宋体"/>
                      <w:i/>
                      <w:iCs/>
                      <w:color w:val="000000"/>
                      <w:szCs w:val="21"/>
                      <w:u w:val="single"/>
                    </w:rPr>
                  </w:pPr>
                  <w:r>
                    <w:rPr>
                      <w:rFonts w:hint="eastAsia" w:ascii="宋体" w:hAnsi="宋体" w:cs="宋体"/>
                      <w:i/>
                      <w:iCs/>
                      <w:color w:val="000000"/>
                      <w:kern w:val="0"/>
                      <w:szCs w:val="21"/>
                      <w:u w:val="single"/>
                    </w:rPr>
                    <w:t>0.0018</w:t>
                  </w:r>
                </w:p>
              </w:tc>
              <w:tc>
                <w:tcPr>
                  <w:tcW w:w="653" w:type="dxa"/>
                  <w:tcBorders>
                    <w:tl2br w:val="nil"/>
                    <w:tr2bl w:val="nil"/>
                  </w:tcBorders>
                  <w:vAlign w:val="center"/>
                </w:tcPr>
                <w:p>
                  <w:pPr>
                    <w:widowControl/>
                    <w:jc w:val="center"/>
                    <w:textAlignment w:val="top"/>
                    <w:rPr>
                      <w:rFonts w:ascii="宋体" w:hAnsi="宋体" w:cs="宋体"/>
                      <w:i/>
                      <w:iCs/>
                      <w:color w:val="000000"/>
                      <w:szCs w:val="21"/>
                      <w:u w:val="single"/>
                    </w:rPr>
                  </w:pPr>
                  <w:r>
                    <w:rPr>
                      <w:rFonts w:hint="eastAsia" w:ascii="宋体" w:hAnsi="宋体" w:cs="宋体"/>
                      <w:i/>
                      <w:iCs/>
                      <w:color w:val="000000"/>
                      <w:kern w:val="0"/>
                      <w:szCs w:val="21"/>
                      <w:u w:val="single"/>
                    </w:rPr>
                    <w:t>1.17</w:t>
                  </w:r>
                </w:p>
              </w:tc>
              <w:tc>
                <w:tcPr>
                  <w:tcW w:w="565" w:type="dxa"/>
                  <w:tcBorders>
                    <w:tl2br w:val="nil"/>
                    <w:tr2bl w:val="nil"/>
                  </w:tcBorders>
                  <w:vAlign w:val="center"/>
                </w:tcPr>
                <w:p>
                  <w:pPr>
                    <w:widowControl/>
                    <w:jc w:val="center"/>
                    <w:textAlignment w:val="top"/>
                    <w:rPr>
                      <w:rFonts w:ascii="宋体" w:hAnsi="宋体" w:cs="宋体"/>
                      <w:i/>
                      <w:iCs/>
                      <w:color w:val="000000"/>
                      <w:szCs w:val="21"/>
                      <w:u w:val="single"/>
                    </w:rPr>
                  </w:pPr>
                  <w:r>
                    <w:rPr>
                      <w:rFonts w:hint="eastAsia" w:ascii="宋体" w:hAnsi="宋体" w:cs="宋体"/>
                      <w:i/>
                      <w:iCs/>
                      <w:color w:val="000000"/>
                      <w:kern w:val="0"/>
                      <w:szCs w:val="21"/>
                      <w:u w:val="single"/>
                    </w:rPr>
                    <w:t>1500</w:t>
                  </w:r>
                </w:p>
              </w:tc>
              <w:tc>
                <w:tcPr>
                  <w:tcW w:w="565" w:type="dxa"/>
                  <w:tcBorders>
                    <w:tl2br w:val="nil"/>
                    <w:tr2bl w:val="nil"/>
                  </w:tcBorders>
                  <w:vAlign w:val="center"/>
                </w:tcPr>
                <w:p>
                  <w:pPr>
                    <w:widowControl/>
                    <w:jc w:val="center"/>
                    <w:textAlignment w:val="top"/>
                    <w:rPr>
                      <w:rFonts w:ascii="宋体" w:hAnsi="宋体" w:cs="宋体"/>
                      <w:i/>
                      <w:iCs/>
                      <w:color w:val="000000"/>
                      <w:szCs w:val="21"/>
                      <w:u w:val="single"/>
                    </w:rPr>
                  </w:pPr>
                  <w:r>
                    <w:rPr>
                      <w:rFonts w:hint="eastAsia" w:ascii="宋体" w:hAnsi="宋体" w:cs="宋体"/>
                      <w:i/>
                      <w:iCs/>
                      <w:color w:val="000000"/>
                      <w:kern w:val="0"/>
                      <w:szCs w:val="21"/>
                      <w:u w:val="single"/>
                    </w:rPr>
                    <w:t>400</w:t>
                  </w:r>
                </w:p>
              </w:tc>
            </w:tr>
            <w:tr>
              <w:trPr>
                <w:trHeight w:val="626" w:hRule="atLeast"/>
              </w:trPr>
              <w:tc>
                <w:tcPr>
                  <w:tcW w:w="390" w:type="dxa"/>
                  <w:vMerge w:val="continue"/>
                  <w:tcBorders>
                    <w:tl2br w:val="nil"/>
                    <w:tr2bl w:val="nil"/>
                  </w:tcBorders>
                  <w:vAlign w:val="center"/>
                </w:tcPr>
                <w:p>
                  <w:pPr>
                    <w:pStyle w:val="2"/>
                    <w:spacing w:line="240" w:lineRule="auto"/>
                    <w:jc w:val="center"/>
                    <w:rPr>
                      <w:rFonts w:ascii="宋体" w:hAnsi="宋体" w:cs="宋体"/>
                      <w:i/>
                      <w:iCs/>
                      <w:color w:val="000000"/>
                      <w:kern w:val="0"/>
                      <w:sz w:val="21"/>
                      <w:szCs w:val="21"/>
                      <w:u w:val="single"/>
                    </w:rPr>
                  </w:pPr>
                </w:p>
              </w:tc>
              <w:tc>
                <w:tcPr>
                  <w:tcW w:w="391" w:type="dxa"/>
                  <w:vMerge w:val="continue"/>
                  <w:tcBorders>
                    <w:tl2br w:val="nil"/>
                    <w:tr2bl w:val="nil"/>
                  </w:tcBorders>
                  <w:vAlign w:val="center"/>
                </w:tcPr>
                <w:p>
                  <w:pPr>
                    <w:pStyle w:val="2"/>
                    <w:spacing w:line="240" w:lineRule="auto"/>
                    <w:jc w:val="center"/>
                    <w:rPr>
                      <w:rFonts w:ascii="宋体" w:hAnsi="宋体" w:cs="宋体"/>
                      <w:i/>
                      <w:iCs/>
                      <w:color w:val="000000"/>
                      <w:kern w:val="0"/>
                      <w:sz w:val="21"/>
                      <w:szCs w:val="21"/>
                      <w:u w:val="single"/>
                    </w:rPr>
                  </w:pPr>
                </w:p>
              </w:tc>
              <w:tc>
                <w:tcPr>
                  <w:tcW w:w="740" w:type="dxa"/>
                  <w:vMerge w:val="continue"/>
                  <w:tcBorders>
                    <w:tl2br w:val="nil"/>
                    <w:tr2bl w:val="nil"/>
                  </w:tcBorders>
                  <w:vAlign w:val="center"/>
                </w:tcPr>
                <w:p>
                  <w:pPr>
                    <w:pStyle w:val="2"/>
                    <w:spacing w:line="240" w:lineRule="auto"/>
                    <w:jc w:val="center"/>
                    <w:rPr>
                      <w:rFonts w:ascii="宋体" w:hAnsi="宋体" w:cs="宋体"/>
                      <w:i/>
                      <w:iCs/>
                      <w:color w:val="000000"/>
                      <w:kern w:val="0"/>
                      <w:sz w:val="21"/>
                      <w:szCs w:val="21"/>
                      <w:u w:val="single"/>
                    </w:rPr>
                  </w:pPr>
                </w:p>
              </w:tc>
              <w:tc>
                <w:tcPr>
                  <w:tcW w:w="391" w:type="dxa"/>
                  <w:tcBorders>
                    <w:tl2br w:val="nil"/>
                    <w:tr2bl w:val="nil"/>
                  </w:tcBorders>
                  <w:vAlign w:val="center"/>
                </w:tcPr>
                <w:p>
                  <w:pPr>
                    <w:pStyle w:val="2"/>
                    <w:spacing w:line="240" w:lineRule="auto"/>
                    <w:jc w:val="center"/>
                    <w:rPr>
                      <w:rFonts w:ascii="宋体" w:hAnsi="宋体" w:cs="宋体"/>
                      <w:i/>
                      <w:iCs/>
                      <w:color w:val="000000"/>
                      <w:kern w:val="0"/>
                      <w:sz w:val="21"/>
                      <w:szCs w:val="21"/>
                      <w:u w:val="single"/>
                    </w:rPr>
                  </w:pPr>
                  <w:r>
                    <w:rPr>
                      <w:rFonts w:hint="eastAsia" w:ascii="宋体" w:hAnsi="宋体" w:cs="宋体"/>
                      <w:i/>
                      <w:iCs/>
                      <w:color w:val="000000"/>
                      <w:kern w:val="0"/>
                      <w:sz w:val="21"/>
                      <w:szCs w:val="21"/>
                      <w:u w:val="single"/>
                    </w:rPr>
                    <w:t>无组织</w:t>
                  </w:r>
                </w:p>
              </w:tc>
              <w:tc>
                <w:tcPr>
                  <w:tcW w:w="828" w:type="dxa"/>
                  <w:tcBorders>
                    <w:tl2br w:val="nil"/>
                    <w:tr2bl w:val="nil"/>
                  </w:tcBorders>
                  <w:vAlign w:val="center"/>
                </w:tcPr>
                <w:p>
                  <w:pPr>
                    <w:widowControl/>
                    <w:jc w:val="center"/>
                    <w:textAlignment w:val="top"/>
                    <w:rPr>
                      <w:rFonts w:ascii="宋体" w:hAnsi="宋体" w:cs="宋体"/>
                      <w:i/>
                      <w:iCs/>
                      <w:color w:val="000000"/>
                      <w:szCs w:val="21"/>
                      <w:u w:val="single"/>
                    </w:rPr>
                  </w:pPr>
                  <w:r>
                    <w:rPr>
                      <w:rFonts w:hint="eastAsia" w:ascii="宋体" w:hAnsi="宋体" w:cs="宋体"/>
                      <w:i/>
                      <w:iCs/>
                      <w:color w:val="000000"/>
                      <w:kern w:val="0"/>
                      <w:szCs w:val="21"/>
                      <w:u w:val="single"/>
                    </w:rPr>
                    <w:t>0.0016</w:t>
                  </w:r>
                </w:p>
              </w:tc>
              <w:tc>
                <w:tcPr>
                  <w:tcW w:w="915" w:type="dxa"/>
                  <w:tcBorders>
                    <w:tl2br w:val="nil"/>
                    <w:tr2bl w:val="nil"/>
                  </w:tcBorders>
                  <w:vAlign w:val="center"/>
                </w:tcPr>
                <w:p>
                  <w:pPr>
                    <w:widowControl/>
                    <w:jc w:val="center"/>
                    <w:textAlignment w:val="top"/>
                    <w:rPr>
                      <w:rFonts w:ascii="宋体" w:hAnsi="宋体" w:cs="宋体"/>
                      <w:i/>
                      <w:iCs/>
                      <w:color w:val="000000"/>
                      <w:szCs w:val="21"/>
                      <w:u w:val="single"/>
                    </w:rPr>
                  </w:pPr>
                  <w:r>
                    <w:rPr>
                      <w:rFonts w:hint="eastAsia" w:ascii="宋体" w:hAnsi="宋体" w:cs="宋体"/>
                      <w:i/>
                      <w:iCs/>
                      <w:color w:val="000000"/>
                      <w:kern w:val="0"/>
                      <w:szCs w:val="21"/>
                      <w:u w:val="single"/>
                    </w:rPr>
                    <w:t>0.004</w:t>
                  </w:r>
                </w:p>
              </w:tc>
              <w:tc>
                <w:tcPr>
                  <w:tcW w:w="653" w:type="dxa"/>
                  <w:tcBorders>
                    <w:tl2br w:val="nil"/>
                    <w:tr2bl w:val="nil"/>
                  </w:tcBorders>
                  <w:vAlign w:val="center"/>
                </w:tcPr>
                <w:p>
                  <w:pPr>
                    <w:widowControl/>
                    <w:jc w:val="center"/>
                    <w:textAlignment w:val="top"/>
                    <w:rPr>
                      <w:rFonts w:ascii="宋体" w:hAnsi="宋体" w:cs="宋体"/>
                      <w:i/>
                      <w:iCs/>
                      <w:color w:val="000000"/>
                      <w:szCs w:val="21"/>
                      <w:u w:val="single"/>
                    </w:rPr>
                  </w:pPr>
                  <w:r>
                    <w:rPr>
                      <w:rFonts w:hint="eastAsia" w:ascii="宋体" w:hAnsi="宋体" w:cs="宋体"/>
                      <w:i/>
                      <w:iCs/>
                      <w:color w:val="000000"/>
                      <w:kern w:val="0"/>
                      <w:szCs w:val="21"/>
                      <w:u w:val="single"/>
                    </w:rPr>
                    <w:t>/</w:t>
                  </w:r>
                </w:p>
              </w:tc>
              <w:tc>
                <w:tcPr>
                  <w:tcW w:w="478" w:type="dxa"/>
                  <w:tcBorders>
                    <w:tl2br w:val="nil"/>
                    <w:tr2bl w:val="nil"/>
                  </w:tcBorders>
                  <w:vAlign w:val="center"/>
                </w:tcPr>
                <w:p>
                  <w:pPr>
                    <w:widowControl/>
                    <w:jc w:val="center"/>
                    <w:textAlignment w:val="top"/>
                    <w:rPr>
                      <w:rFonts w:ascii="宋体" w:hAnsi="宋体" w:cs="宋体"/>
                      <w:i/>
                      <w:iCs/>
                      <w:color w:val="000000"/>
                      <w:szCs w:val="21"/>
                      <w:u w:val="single"/>
                    </w:rPr>
                  </w:pPr>
                  <w:r>
                    <w:rPr>
                      <w:rFonts w:hint="eastAsia" w:ascii="宋体" w:hAnsi="宋体" w:cs="宋体"/>
                      <w:i/>
                      <w:iCs/>
                      <w:color w:val="000000"/>
                      <w:kern w:val="0"/>
                      <w:szCs w:val="21"/>
                      <w:u w:val="single"/>
                    </w:rPr>
                    <w:t>/</w:t>
                  </w:r>
                </w:p>
              </w:tc>
              <w:tc>
                <w:tcPr>
                  <w:tcW w:w="851" w:type="dxa"/>
                  <w:tcBorders>
                    <w:tl2br w:val="nil"/>
                    <w:tr2bl w:val="nil"/>
                  </w:tcBorders>
                  <w:vAlign w:val="center"/>
                </w:tcPr>
                <w:p>
                  <w:pPr>
                    <w:widowControl/>
                    <w:jc w:val="center"/>
                    <w:textAlignment w:val="top"/>
                    <w:rPr>
                      <w:rFonts w:ascii="宋体" w:hAnsi="宋体" w:cs="宋体"/>
                      <w:i/>
                      <w:iCs/>
                      <w:color w:val="000000"/>
                      <w:szCs w:val="21"/>
                      <w:u w:val="single"/>
                    </w:rPr>
                  </w:pPr>
                  <w:r>
                    <w:rPr>
                      <w:rFonts w:hint="eastAsia" w:ascii="宋体" w:hAnsi="宋体" w:cs="宋体"/>
                      <w:i/>
                      <w:iCs/>
                      <w:color w:val="000000"/>
                      <w:kern w:val="0"/>
                      <w:szCs w:val="21"/>
                      <w:u w:val="single"/>
                    </w:rPr>
                    <w:t>0.0016</w:t>
                  </w:r>
                </w:p>
              </w:tc>
              <w:tc>
                <w:tcPr>
                  <w:tcW w:w="979" w:type="dxa"/>
                  <w:tcBorders>
                    <w:tl2br w:val="nil"/>
                    <w:tr2bl w:val="nil"/>
                  </w:tcBorders>
                  <w:vAlign w:val="center"/>
                </w:tcPr>
                <w:p>
                  <w:pPr>
                    <w:widowControl/>
                    <w:jc w:val="center"/>
                    <w:textAlignment w:val="top"/>
                    <w:rPr>
                      <w:rFonts w:ascii="宋体" w:hAnsi="宋体" w:cs="宋体"/>
                      <w:i/>
                      <w:iCs/>
                      <w:color w:val="000000"/>
                      <w:szCs w:val="21"/>
                      <w:u w:val="single"/>
                    </w:rPr>
                  </w:pPr>
                  <w:r>
                    <w:rPr>
                      <w:rFonts w:hint="eastAsia" w:ascii="宋体" w:hAnsi="宋体" w:cs="宋体"/>
                      <w:i/>
                      <w:iCs/>
                      <w:color w:val="000000"/>
                      <w:kern w:val="0"/>
                      <w:szCs w:val="21"/>
                      <w:u w:val="single"/>
                    </w:rPr>
                    <w:t>0.004</w:t>
                  </w:r>
                </w:p>
              </w:tc>
              <w:tc>
                <w:tcPr>
                  <w:tcW w:w="653" w:type="dxa"/>
                  <w:tcBorders>
                    <w:tl2br w:val="nil"/>
                    <w:tr2bl w:val="nil"/>
                  </w:tcBorders>
                  <w:vAlign w:val="center"/>
                </w:tcPr>
                <w:p>
                  <w:pPr>
                    <w:widowControl/>
                    <w:jc w:val="center"/>
                    <w:textAlignment w:val="top"/>
                    <w:rPr>
                      <w:rFonts w:ascii="宋体" w:hAnsi="宋体" w:cs="宋体"/>
                      <w:i/>
                      <w:iCs/>
                      <w:color w:val="000000"/>
                      <w:szCs w:val="21"/>
                      <w:u w:val="single"/>
                    </w:rPr>
                  </w:pPr>
                  <w:r>
                    <w:rPr>
                      <w:rFonts w:hint="eastAsia" w:ascii="宋体" w:hAnsi="宋体" w:cs="宋体"/>
                      <w:i/>
                      <w:iCs/>
                      <w:color w:val="000000"/>
                      <w:kern w:val="0"/>
                      <w:szCs w:val="21"/>
                      <w:u w:val="single"/>
                    </w:rPr>
                    <w:t>/</w:t>
                  </w:r>
                </w:p>
              </w:tc>
              <w:tc>
                <w:tcPr>
                  <w:tcW w:w="565" w:type="dxa"/>
                  <w:tcBorders>
                    <w:tl2br w:val="nil"/>
                    <w:tr2bl w:val="nil"/>
                  </w:tcBorders>
                  <w:vAlign w:val="center"/>
                </w:tcPr>
                <w:p>
                  <w:pPr>
                    <w:widowControl/>
                    <w:jc w:val="center"/>
                    <w:textAlignment w:val="top"/>
                    <w:rPr>
                      <w:rFonts w:ascii="宋体" w:hAnsi="宋体" w:cs="宋体"/>
                      <w:i/>
                      <w:iCs/>
                      <w:color w:val="000000"/>
                      <w:szCs w:val="21"/>
                      <w:u w:val="single"/>
                    </w:rPr>
                  </w:pPr>
                  <w:r>
                    <w:rPr>
                      <w:rFonts w:hint="eastAsia" w:ascii="宋体" w:hAnsi="宋体" w:cs="宋体"/>
                      <w:i/>
                      <w:iCs/>
                      <w:color w:val="000000"/>
                      <w:kern w:val="0"/>
                      <w:szCs w:val="21"/>
                      <w:u w:val="single"/>
                    </w:rPr>
                    <w:t>/</w:t>
                  </w:r>
                </w:p>
              </w:tc>
              <w:tc>
                <w:tcPr>
                  <w:tcW w:w="565" w:type="dxa"/>
                  <w:tcBorders>
                    <w:tl2br w:val="nil"/>
                    <w:tr2bl w:val="nil"/>
                  </w:tcBorders>
                  <w:vAlign w:val="center"/>
                </w:tcPr>
                <w:p>
                  <w:pPr>
                    <w:widowControl/>
                    <w:jc w:val="center"/>
                    <w:textAlignment w:val="top"/>
                    <w:rPr>
                      <w:rFonts w:ascii="宋体" w:hAnsi="宋体" w:cs="宋体"/>
                      <w:i/>
                      <w:iCs/>
                      <w:color w:val="000000"/>
                      <w:szCs w:val="21"/>
                      <w:u w:val="single"/>
                    </w:rPr>
                  </w:pPr>
                  <w:r>
                    <w:rPr>
                      <w:rFonts w:hint="eastAsia" w:ascii="宋体" w:hAnsi="宋体" w:cs="宋体"/>
                      <w:i/>
                      <w:iCs/>
                      <w:color w:val="000000"/>
                      <w:kern w:val="0"/>
                      <w:szCs w:val="21"/>
                      <w:u w:val="single"/>
                    </w:rPr>
                    <w:t>400</w:t>
                  </w:r>
                </w:p>
              </w:tc>
            </w:tr>
            <w:tr>
              <w:trPr>
                <w:trHeight w:val="626" w:hRule="atLeast"/>
              </w:trPr>
              <w:tc>
                <w:tcPr>
                  <w:tcW w:w="390" w:type="dxa"/>
                  <w:vMerge w:val="restart"/>
                  <w:tcBorders>
                    <w:tl2br w:val="nil"/>
                    <w:tr2bl w:val="nil"/>
                  </w:tcBorders>
                  <w:vAlign w:val="center"/>
                </w:tcPr>
                <w:p>
                  <w:pPr>
                    <w:pStyle w:val="2"/>
                    <w:spacing w:line="240" w:lineRule="auto"/>
                    <w:jc w:val="center"/>
                    <w:rPr>
                      <w:rFonts w:ascii="宋体" w:hAnsi="宋体" w:cs="宋体"/>
                      <w:i/>
                      <w:iCs/>
                      <w:color w:val="000000"/>
                      <w:kern w:val="0"/>
                      <w:sz w:val="21"/>
                      <w:szCs w:val="21"/>
                      <w:u w:val="single"/>
                    </w:rPr>
                  </w:pPr>
                  <w:r>
                    <w:rPr>
                      <w:rFonts w:hint="eastAsia" w:ascii="宋体" w:hAnsi="宋体" w:cs="宋体"/>
                      <w:i/>
                      <w:iCs/>
                      <w:color w:val="000000"/>
                      <w:kern w:val="0"/>
                      <w:sz w:val="21"/>
                      <w:szCs w:val="21"/>
                      <w:u w:val="single"/>
                    </w:rPr>
                    <w:t>危废贮存区</w:t>
                  </w:r>
                </w:p>
              </w:tc>
              <w:tc>
                <w:tcPr>
                  <w:tcW w:w="391" w:type="dxa"/>
                  <w:vMerge w:val="restart"/>
                  <w:tcBorders>
                    <w:tl2br w:val="nil"/>
                    <w:tr2bl w:val="nil"/>
                  </w:tcBorders>
                  <w:vAlign w:val="center"/>
                </w:tcPr>
                <w:p>
                  <w:pPr>
                    <w:pStyle w:val="2"/>
                    <w:spacing w:line="240" w:lineRule="auto"/>
                    <w:jc w:val="center"/>
                    <w:rPr>
                      <w:rFonts w:ascii="宋体" w:hAnsi="宋体" w:cs="宋体"/>
                      <w:i/>
                      <w:iCs/>
                      <w:color w:val="000000"/>
                      <w:kern w:val="0"/>
                      <w:sz w:val="21"/>
                      <w:szCs w:val="21"/>
                      <w:u w:val="single"/>
                    </w:rPr>
                  </w:pPr>
                  <w:r>
                    <w:rPr>
                      <w:rFonts w:hint="eastAsia" w:ascii="宋体" w:hAnsi="宋体" w:cs="宋体"/>
                      <w:i/>
                      <w:iCs/>
                      <w:color w:val="000000"/>
                      <w:kern w:val="0"/>
                      <w:sz w:val="21"/>
                      <w:szCs w:val="21"/>
                      <w:u w:val="single"/>
                    </w:rPr>
                    <w:t>非甲烷总烃</w:t>
                  </w:r>
                </w:p>
              </w:tc>
              <w:tc>
                <w:tcPr>
                  <w:tcW w:w="740" w:type="dxa"/>
                  <w:vMerge w:val="restart"/>
                  <w:tcBorders>
                    <w:tl2br w:val="nil"/>
                    <w:tr2bl w:val="nil"/>
                  </w:tcBorders>
                  <w:vAlign w:val="center"/>
                </w:tcPr>
                <w:p>
                  <w:pPr>
                    <w:pStyle w:val="2"/>
                    <w:spacing w:line="240" w:lineRule="auto"/>
                    <w:jc w:val="center"/>
                    <w:rPr>
                      <w:rFonts w:ascii="宋体" w:hAnsi="宋体" w:cs="宋体"/>
                      <w:i/>
                      <w:iCs/>
                      <w:color w:val="000000"/>
                      <w:kern w:val="0"/>
                      <w:sz w:val="21"/>
                      <w:szCs w:val="21"/>
                      <w:u w:val="single"/>
                    </w:rPr>
                  </w:pPr>
                  <w:r>
                    <w:rPr>
                      <w:rFonts w:hint="eastAsia" w:ascii="宋体" w:hAnsi="宋体" w:cs="宋体"/>
                      <w:i/>
                      <w:iCs/>
                      <w:color w:val="000000"/>
                      <w:kern w:val="0"/>
                      <w:sz w:val="21"/>
                      <w:szCs w:val="21"/>
                      <w:u w:val="single"/>
                    </w:rPr>
                    <w:t>0.0152</w:t>
                  </w:r>
                </w:p>
              </w:tc>
              <w:tc>
                <w:tcPr>
                  <w:tcW w:w="391" w:type="dxa"/>
                  <w:tcBorders>
                    <w:tl2br w:val="nil"/>
                    <w:tr2bl w:val="nil"/>
                  </w:tcBorders>
                  <w:vAlign w:val="center"/>
                </w:tcPr>
                <w:p>
                  <w:pPr>
                    <w:pStyle w:val="2"/>
                    <w:spacing w:line="240" w:lineRule="auto"/>
                    <w:jc w:val="center"/>
                    <w:rPr>
                      <w:rFonts w:ascii="宋体" w:hAnsi="宋体" w:cs="宋体"/>
                      <w:i/>
                      <w:iCs/>
                      <w:color w:val="000000"/>
                      <w:kern w:val="0"/>
                      <w:sz w:val="21"/>
                      <w:szCs w:val="21"/>
                      <w:u w:val="single"/>
                    </w:rPr>
                  </w:pPr>
                  <w:r>
                    <w:rPr>
                      <w:rFonts w:hint="eastAsia" w:ascii="宋体" w:hAnsi="宋体" w:cs="宋体"/>
                      <w:i/>
                      <w:iCs/>
                      <w:color w:val="000000"/>
                      <w:kern w:val="0"/>
                      <w:sz w:val="21"/>
                      <w:szCs w:val="21"/>
                      <w:u w:val="single"/>
                    </w:rPr>
                    <w:t>有组织</w:t>
                  </w:r>
                </w:p>
              </w:tc>
              <w:tc>
                <w:tcPr>
                  <w:tcW w:w="828" w:type="dxa"/>
                  <w:tcBorders>
                    <w:tl2br w:val="nil"/>
                    <w:tr2bl w:val="nil"/>
                  </w:tcBorders>
                  <w:vAlign w:val="center"/>
                </w:tcPr>
                <w:p>
                  <w:pPr>
                    <w:widowControl/>
                    <w:jc w:val="center"/>
                    <w:textAlignment w:val="top"/>
                    <w:rPr>
                      <w:rFonts w:ascii="宋体" w:hAnsi="宋体" w:cs="宋体"/>
                      <w:i/>
                      <w:iCs/>
                      <w:color w:val="000000"/>
                      <w:szCs w:val="21"/>
                      <w:u w:val="single"/>
                    </w:rPr>
                  </w:pPr>
                  <w:r>
                    <w:rPr>
                      <w:rFonts w:hint="eastAsia" w:ascii="宋体" w:hAnsi="宋体" w:cs="宋体"/>
                      <w:i/>
                      <w:iCs/>
                      <w:color w:val="000000"/>
                      <w:szCs w:val="21"/>
                      <w:u w:val="single"/>
                    </w:rPr>
                    <w:t>0.014</w:t>
                  </w:r>
                </w:p>
              </w:tc>
              <w:tc>
                <w:tcPr>
                  <w:tcW w:w="915" w:type="dxa"/>
                  <w:tcBorders>
                    <w:tl2br w:val="nil"/>
                    <w:tr2bl w:val="nil"/>
                  </w:tcBorders>
                  <w:vAlign w:val="center"/>
                </w:tcPr>
                <w:p>
                  <w:pPr>
                    <w:widowControl/>
                    <w:jc w:val="center"/>
                    <w:textAlignment w:val="top"/>
                    <w:rPr>
                      <w:rFonts w:ascii="宋体" w:hAnsi="宋体" w:cs="宋体"/>
                      <w:i/>
                      <w:iCs/>
                      <w:color w:val="000000"/>
                      <w:szCs w:val="21"/>
                      <w:u w:val="single"/>
                    </w:rPr>
                  </w:pPr>
                  <w:r>
                    <w:rPr>
                      <w:rFonts w:hint="eastAsia" w:ascii="宋体" w:hAnsi="宋体" w:cs="宋体"/>
                      <w:i/>
                      <w:iCs/>
                      <w:color w:val="000000"/>
                      <w:szCs w:val="21"/>
                      <w:u w:val="single"/>
                    </w:rPr>
                    <w:t>0.003</w:t>
                  </w:r>
                </w:p>
              </w:tc>
              <w:tc>
                <w:tcPr>
                  <w:tcW w:w="653" w:type="dxa"/>
                  <w:tcBorders>
                    <w:tl2br w:val="nil"/>
                    <w:tr2bl w:val="nil"/>
                  </w:tcBorders>
                  <w:vAlign w:val="center"/>
                </w:tcPr>
                <w:p>
                  <w:pPr>
                    <w:widowControl/>
                    <w:jc w:val="center"/>
                    <w:textAlignment w:val="top"/>
                    <w:rPr>
                      <w:rFonts w:ascii="宋体" w:hAnsi="宋体" w:cs="宋体"/>
                      <w:i/>
                      <w:iCs/>
                      <w:color w:val="000000"/>
                      <w:szCs w:val="21"/>
                      <w:u w:val="single"/>
                    </w:rPr>
                  </w:pPr>
                  <w:r>
                    <w:rPr>
                      <w:rFonts w:hint="eastAsia" w:ascii="宋体" w:hAnsi="宋体" w:cs="宋体"/>
                      <w:i/>
                      <w:iCs/>
                      <w:color w:val="000000"/>
                      <w:szCs w:val="21"/>
                      <w:u w:val="single"/>
                    </w:rPr>
                    <w:t>0.2</w:t>
                  </w:r>
                </w:p>
              </w:tc>
              <w:tc>
                <w:tcPr>
                  <w:tcW w:w="478" w:type="dxa"/>
                  <w:tcBorders>
                    <w:tl2br w:val="nil"/>
                    <w:tr2bl w:val="nil"/>
                  </w:tcBorders>
                  <w:vAlign w:val="center"/>
                </w:tcPr>
                <w:p>
                  <w:pPr>
                    <w:widowControl/>
                    <w:jc w:val="center"/>
                    <w:textAlignment w:val="top"/>
                    <w:rPr>
                      <w:rFonts w:ascii="宋体" w:hAnsi="宋体" w:cs="宋体"/>
                      <w:i/>
                      <w:iCs/>
                      <w:color w:val="000000"/>
                      <w:szCs w:val="21"/>
                      <w:u w:val="single"/>
                    </w:rPr>
                  </w:pPr>
                  <w:r>
                    <w:rPr>
                      <w:rFonts w:hint="eastAsia" w:ascii="宋体" w:hAnsi="宋体" w:cs="宋体"/>
                      <w:i/>
                      <w:iCs/>
                      <w:color w:val="000000"/>
                      <w:kern w:val="0"/>
                      <w:szCs w:val="21"/>
                      <w:u w:val="single"/>
                    </w:rPr>
                    <w:t>80%</w:t>
                  </w:r>
                </w:p>
              </w:tc>
              <w:tc>
                <w:tcPr>
                  <w:tcW w:w="851" w:type="dxa"/>
                  <w:tcBorders>
                    <w:tl2br w:val="nil"/>
                    <w:tr2bl w:val="nil"/>
                  </w:tcBorders>
                  <w:vAlign w:val="center"/>
                </w:tcPr>
                <w:p>
                  <w:pPr>
                    <w:widowControl/>
                    <w:jc w:val="center"/>
                    <w:textAlignment w:val="top"/>
                    <w:rPr>
                      <w:rFonts w:ascii="宋体" w:hAnsi="宋体" w:cs="宋体"/>
                      <w:i/>
                      <w:iCs/>
                      <w:color w:val="000000"/>
                      <w:szCs w:val="21"/>
                      <w:u w:val="single"/>
                    </w:rPr>
                  </w:pPr>
                  <w:r>
                    <w:rPr>
                      <w:rFonts w:hint="eastAsia" w:ascii="宋体" w:hAnsi="宋体" w:cs="宋体"/>
                      <w:i/>
                      <w:iCs/>
                      <w:color w:val="000000"/>
                      <w:szCs w:val="21"/>
                      <w:u w:val="single"/>
                    </w:rPr>
                    <w:t>0.0027</w:t>
                  </w:r>
                </w:p>
              </w:tc>
              <w:tc>
                <w:tcPr>
                  <w:tcW w:w="979" w:type="dxa"/>
                  <w:tcBorders>
                    <w:tl2br w:val="nil"/>
                    <w:tr2bl w:val="nil"/>
                  </w:tcBorders>
                  <w:vAlign w:val="center"/>
                </w:tcPr>
                <w:p>
                  <w:pPr>
                    <w:widowControl/>
                    <w:jc w:val="center"/>
                    <w:textAlignment w:val="top"/>
                    <w:rPr>
                      <w:rFonts w:ascii="宋体" w:hAnsi="宋体" w:cs="宋体"/>
                      <w:i/>
                      <w:iCs/>
                      <w:color w:val="000000"/>
                      <w:szCs w:val="21"/>
                      <w:u w:val="single"/>
                    </w:rPr>
                  </w:pPr>
                  <w:r>
                    <w:rPr>
                      <w:rFonts w:hint="eastAsia" w:ascii="宋体" w:hAnsi="宋体" w:cs="宋体"/>
                      <w:i/>
                      <w:iCs/>
                      <w:color w:val="000000"/>
                      <w:szCs w:val="21"/>
                      <w:u w:val="single"/>
                    </w:rPr>
                    <w:t>0.0009</w:t>
                  </w:r>
                </w:p>
              </w:tc>
              <w:tc>
                <w:tcPr>
                  <w:tcW w:w="653" w:type="dxa"/>
                  <w:tcBorders>
                    <w:tl2br w:val="nil"/>
                    <w:tr2bl w:val="nil"/>
                  </w:tcBorders>
                  <w:vAlign w:val="center"/>
                </w:tcPr>
                <w:p>
                  <w:pPr>
                    <w:widowControl/>
                    <w:jc w:val="center"/>
                    <w:textAlignment w:val="top"/>
                    <w:rPr>
                      <w:rFonts w:ascii="宋体" w:hAnsi="宋体" w:cs="宋体"/>
                      <w:i/>
                      <w:iCs/>
                      <w:color w:val="000000"/>
                      <w:szCs w:val="21"/>
                      <w:u w:val="single"/>
                    </w:rPr>
                  </w:pPr>
                  <w:r>
                    <w:rPr>
                      <w:rFonts w:hint="eastAsia" w:ascii="宋体" w:hAnsi="宋体" w:cs="宋体"/>
                      <w:i/>
                      <w:iCs/>
                      <w:color w:val="000000"/>
                      <w:kern w:val="0"/>
                      <w:szCs w:val="21"/>
                      <w:u w:val="single"/>
                    </w:rPr>
                    <w:t>0.04</w:t>
                  </w:r>
                </w:p>
              </w:tc>
              <w:tc>
                <w:tcPr>
                  <w:tcW w:w="565" w:type="dxa"/>
                  <w:tcBorders>
                    <w:tl2br w:val="nil"/>
                    <w:tr2bl w:val="nil"/>
                  </w:tcBorders>
                  <w:vAlign w:val="center"/>
                </w:tcPr>
                <w:p>
                  <w:pPr>
                    <w:widowControl/>
                    <w:jc w:val="center"/>
                    <w:textAlignment w:val="top"/>
                    <w:rPr>
                      <w:rFonts w:ascii="宋体" w:hAnsi="宋体" w:cs="宋体"/>
                      <w:i/>
                      <w:iCs/>
                      <w:color w:val="000000"/>
                      <w:szCs w:val="21"/>
                      <w:u w:val="single"/>
                    </w:rPr>
                  </w:pPr>
                  <w:r>
                    <w:rPr>
                      <w:rFonts w:hint="eastAsia" w:ascii="宋体" w:hAnsi="宋体" w:cs="宋体"/>
                      <w:i/>
                      <w:iCs/>
                      <w:color w:val="000000"/>
                      <w:kern w:val="0"/>
                      <w:szCs w:val="21"/>
                      <w:u w:val="single"/>
                    </w:rPr>
                    <w:t>1500</w:t>
                  </w:r>
                </w:p>
              </w:tc>
              <w:tc>
                <w:tcPr>
                  <w:tcW w:w="565" w:type="dxa"/>
                  <w:tcBorders>
                    <w:tl2br w:val="nil"/>
                    <w:tr2bl w:val="nil"/>
                  </w:tcBorders>
                  <w:vAlign w:val="center"/>
                </w:tcPr>
                <w:p>
                  <w:pPr>
                    <w:widowControl/>
                    <w:jc w:val="center"/>
                    <w:textAlignment w:val="top"/>
                    <w:rPr>
                      <w:rFonts w:ascii="宋体" w:hAnsi="宋体" w:cs="宋体"/>
                      <w:i/>
                      <w:iCs/>
                      <w:color w:val="000000"/>
                      <w:szCs w:val="21"/>
                      <w:u w:val="single"/>
                    </w:rPr>
                  </w:pPr>
                  <w:r>
                    <w:rPr>
                      <w:rFonts w:hint="eastAsia" w:ascii="宋体" w:hAnsi="宋体" w:cs="宋体"/>
                      <w:i/>
                      <w:iCs/>
                      <w:color w:val="000000"/>
                      <w:kern w:val="0"/>
                      <w:szCs w:val="21"/>
                      <w:u w:val="single"/>
                    </w:rPr>
                    <w:t>4320</w:t>
                  </w:r>
                </w:p>
              </w:tc>
            </w:tr>
            <w:tr>
              <w:trPr>
                <w:trHeight w:val="655" w:hRule="atLeast"/>
              </w:trPr>
              <w:tc>
                <w:tcPr>
                  <w:tcW w:w="390" w:type="dxa"/>
                  <w:vMerge w:val="continue"/>
                  <w:tcBorders>
                    <w:tl2br w:val="nil"/>
                    <w:tr2bl w:val="nil"/>
                  </w:tcBorders>
                  <w:vAlign w:val="center"/>
                </w:tcPr>
                <w:p>
                  <w:pPr>
                    <w:pStyle w:val="2"/>
                    <w:spacing w:line="240" w:lineRule="auto"/>
                    <w:jc w:val="center"/>
                    <w:rPr>
                      <w:rFonts w:ascii="宋体" w:hAnsi="宋体" w:cs="宋体"/>
                      <w:i/>
                      <w:iCs/>
                      <w:color w:val="000000"/>
                      <w:kern w:val="0"/>
                      <w:sz w:val="21"/>
                      <w:szCs w:val="21"/>
                      <w:u w:val="single"/>
                    </w:rPr>
                  </w:pPr>
                </w:p>
              </w:tc>
              <w:tc>
                <w:tcPr>
                  <w:tcW w:w="391" w:type="dxa"/>
                  <w:vMerge w:val="continue"/>
                  <w:tcBorders>
                    <w:tl2br w:val="nil"/>
                    <w:tr2bl w:val="nil"/>
                  </w:tcBorders>
                  <w:vAlign w:val="center"/>
                </w:tcPr>
                <w:p>
                  <w:pPr>
                    <w:pStyle w:val="2"/>
                    <w:spacing w:line="240" w:lineRule="auto"/>
                    <w:jc w:val="center"/>
                    <w:rPr>
                      <w:rFonts w:ascii="宋体" w:hAnsi="宋体" w:cs="宋体"/>
                      <w:i/>
                      <w:iCs/>
                      <w:color w:val="000000"/>
                      <w:kern w:val="0"/>
                      <w:sz w:val="21"/>
                      <w:szCs w:val="21"/>
                      <w:u w:val="single"/>
                    </w:rPr>
                  </w:pPr>
                </w:p>
              </w:tc>
              <w:tc>
                <w:tcPr>
                  <w:tcW w:w="740" w:type="dxa"/>
                  <w:vMerge w:val="continue"/>
                  <w:tcBorders>
                    <w:tl2br w:val="nil"/>
                    <w:tr2bl w:val="nil"/>
                  </w:tcBorders>
                  <w:vAlign w:val="center"/>
                </w:tcPr>
                <w:p>
                  <w:pPr>
                    <w:pStyle w:val="2"/>
                    <w:spacing w:line="240" w:lineRule="auto"/>
                    <w:jc w:val="center"/>
                    <w:rPr>
                      <w:rFonts w:ascii="宋体" w:hAnsi="宋体" w:cs="宋体"/>
                      <w:i/>
                      <w:iCs/>
                      <w:color w:val="000000"/>
                      <w:kern w:val="0"/>
                      <w:sz w:val="21"/>
                      <w:szCs w:val="21"/>
                      <w:u w:val="single"/>
                    </w:rPr>
                  </w:pPr>
                </w:p>
              </w:tc>
              <w:tc>
                <w:tcPr>
                  <w:tcW w:w="391" w:type="dxa"/>
                  <w:tcBorders>
                    <w:tl2br w:val="nil"/>
                    <w:tr2bl w:val="nil"/>
                  </w:tcBorders>
                  <w:vAlign w:val="center"/>
                </w:tcPr>
                <w:p>
                  <w:pPr>
                    <w:pStyle w:val="2"/>
                    <w:spacing w:line="240" w:lineRule="auto"/>
                    <w:jc w:val="center"/>
                    <w:rPr>
                      <w:rFonts w:ascii="宋体" w:hAnsi="宋体" w:cs="宋体"/>
                      <w:i/>
                      <w:iCs/>
                      <w:color w:val="000000"/>
                      <w:kern w:val="0"/>
                      <w:sz w:val="21"/>
                      <w:szCs w:val="21"/>
                      <w:u w:val="single"/>
                    </w:rPr>
                  </w:pPr>
                  <w:r>
                    <w:rPr>
                      <w:rFonts w:hint="eastAsia" w:ascii="宋体" w:hAnsi="宋体" w:cs="宋体"/>
                      <w:i/>
                      <w:iCs/>
                      <w:color w:val="000000"/>
                      <w:kern w:val="0"/>
                      <w:sz w:val="21"/>
                      <w:szCs w:val="21"/>
                      <w:u w:val="single"/>
                    </w:rPr>
                    <w:t>无组织</w:t>
                  </w:r>
                </w:p>
              </w:tc>
              <w:tc>
                <w:tcPr>
                  <w:tcW w:w="828" w:type="dxa"/>
                  <w:tcBorders>
                    <w:tl2br w:val="nil"/>
                    <w:tr2bl w:val="nil"/>
                  </w:tcBorders>
                  <w:vAlign w:val="center"/>
                </w:tcPr>
                <w:p>
                  <w:pPr>
                    <w:widowControl/>
                    <w:jc w:val="center"/>
                    <w:textAlignment w:val="top"/>
                    <w:rPr>
                      <w:rFonts w:ascii="宋体" w:hAnsi="宋体" w:cs="宋体"/>
                      <w:i/>
                      <w:iCs/>
                      <w:color w:val="000000"/>
                      <w:szCs w:val="21"/>
                      <w:u w:val="single"/>
                    </w:rPr>
                  </w:pPr>
                  <w:r>
                    <w:rPr>
                      <w:rFonts w:hint="eastAsia" w:ascii="宋体" w:hAnsi="宋体" w:cs="宋体"/>
                      <w:i/>
                      <w:iCs/>
                      <w:color w:val="000000"/>
                      <w:kern w:val="0"/>
                      <w:szCs w:val="21"/>
                      <w:u w:val="single"/>
                    </w:rPr>
                    <w:t>0.0015</w:t>
                  </w:r>
                </w:p>
              </w:tc>
              <w:tc>
                <w:tcPr>
                  <w:tcW w:w="915" w:type="dxa"/>
                  <w:tcBorders>
                    <w:tl2br w:val="nil"/>
                    <w:tr2bl w:val="nil"/>
                  </w:tcBorders>
                  <w:vAlign w:val="center"/>
                </w:tcPr>
                <w:p>
                  <w:pPr>
                    <w:widowControl/>
                    <w:jc w:val="center"/>
                    <w:textAlignment w:val="top"/>
                    <w:rPr>
                      <w:rFonts w:ascii="宋体" w:hAnsi="宋体" w:cs="宋体"/>
                      <w:i/>
                      <w:iCs/>
                      <w:color w:val="000000"/>
                      <w:szCs w:val="21"/>
                      <w:u w:val="single"/>
                    </w:rPr>
                  </w:pPr>
                  <w:r>
                    <w:rPr>
                      <w:rFonts w:hint="eastAsia" w:ascii="宋体" w:hAnsi="宋体" w:cs="宋体"/>
                      <w:i/>
                      <w:iCs/>
                      <w:color w:val="000000"/>
                      <w:kern w:val="0"/>
                      <w:szCs w:val="21"/>
                      <w:u w:val="single"/>
                    </w:rPr>
                    <w:t>0.0003</w:t>
                  </w:r>
                </w:p>
              </w:tc>
              <w:tc>
                <w:tcPr>
                  <w:tcW w:w="653" w:type="dxa"/>
                  <w:tcBorders>
                    <w:tl2br w:val="nil"/>
                    <w:tr2bl w:val="nil"/>
                  </w:tcBorders>
                  <w:vAlign w:val="center"/>
                </w:tcPr>
                <w:p>
                  <w:pPr>
                    <w:widowControl/>
                    <w:jc w:val="center"/>
                    <w:textAlignment w:val="top"/>
                    <w:rPr>
                      <w:rFonts w:ascii="宋体" w:hAnsi="宋体" w:cs="宋体"/>
                      <w:i/>
                      <w:iCs/>
                      <w:color w:val="000000"/>
                      <w:szCs w:val="21"/>
                      <w:u w:val="single"/>
                    </w:rPr>
                  </w:pPr>
                  <w:r>
                    <w:rPr>
                      <w:rFonts w:hint="eastAsia" w:ascii="宋体" w:hAnsi="宋体" w:cs="宋体"/>
                      <w:i/>
                      <w:iCs/>
                      <w:color w:val="000000"/>
                      <w:kern w:val="0"/>
                      <w:szCs w:val="21"/>
                      <w:u w:val="single"/>
                    </w:rPr>
                    <w:t>/</w:t>
                  </w:r>
                </w:p>
              </w:tc>
              <w:tc>
                <w:tcPr>
                  <w:tcW w:w="478" w:type="dxa"/>
                  <w:tcBorders>
                    <w:tl2br w:val="nil"/>
                    <w:tr2bl w:val="nil"/>
                  </w:tcBorders>
                  <w:vAlign w:val="center"/>
                </w:tcPr>
                <w:p>
                  <w:pPr>
                    <w:widowControl/>
                    <w:jc w:val="center"/>
                    <w:textAlignment w:val="top"/>
                    <w:rPr>
                      <w:rFonts w:ascii="宋体" w:hAnsi="宋体" w:cs="宋体"/>
                      <w:i/>
                      <w:iCs/>
                      <w:color w:val="000000"/>
                      <w:szCs w:val="21"/>
                      <w:u w:val="single"/>
                    </w:rPr>
                  </w:pPr>
                  <w:r>
                    <w:rPr>
                      <w:rFonts w:hint="eastAsia" w:ascii="宋体" w:hAnsi="宋体" w:cs="宋体"/>
                      <w:i/>
                      <w:iCs/>
                      <w:color w:val="000000"/>
                      <w:kern w:val="0"/>
                      <w:szCs w:val="21"/>
                      <w:u w:val="single"/>
                    </w:rPr>
                    <w:t>/</w:t>
                  </w:r>
                </w:p>
              </w:tc>
              <w:tc>
                <w:tcPr>
                  <w:tcW w:w="851" w:type="dxa"/>
                  <w:tcBorders>
                    <w:tl2br w:val="nil"/>
                    <w:tr2bl w:val="nil"/>
                  </w:tcBorders>
                  <w:vAlign w:val="center"/>
                </w:tcPr>
                <w:p>
                  <w:pPr>
                    <w:widowControl/>
                    <w:jc w:val="center"/>
                    <w:textAlignment w:val="top"/>
                    <w:rPr>
                      <w:rFonts w:ascii="宋体" w:hAnsi="宋体" w:cs="宋体"/>
                      <w:i/>
                      <w:iCs/>
                      <w:color w:val="000000"/>
                      <w:szCs w:val="21"/>
                      <w:u w:val="single"/>
                    </w:rPr>
                  </w:pPr>
                  <w:r>
                    <w:rPr>
                      <w:rFonts w:hint="eastAsia" w:ascii="宋体" w:hAnsi="宋体" w:cs="宋体"/>
                      <w:i/>
                      <w:iCs/>
                      <w:color w:val="000000"/>
                      <w:kern w:val="0"/>
                      <w:szCs w:val="21"/>
                      <w:u w:val="single"/>
                    </w:rPr>
                    <w:t>0.0015</w:t>
                  </w:r>
                </w:p>
              </w:tc>
              <w:tc>
                <w:tcPr>
                  <w:tcW w:w="979" w:type="dxa"/>
                  <w:tcBorders>
                    <w:tl2br w:val="nil"/>
                    <w:tr2bl w:val="nil"/>
                  </w:tcBorders>
                  <w:vAlign w:val="center"/>
                </w:tcPr>
                <w:p>
                  <w:pPr>
                    <w:widowControl/>
                    <w:jc w:val="center"/>
                    <w:textAlignment w:val="top"/>
                    <w:rPr>
                      <w:rFonts w:ascii="宋体" w:hAnsi="宋体" w:cs="宋体"/>
                      <w:i/>
                      <w:iCs/>
                      <w:color w:val="000000"/>
                      <w:szCs w:val="21"/>
                      <w:u w:val="single"/>
                    </w:rPr>
                  </w:pPr>
                  <w:r>
                    <w:rPr>
                      <w:rFonts w:hint="eastAsia" w:ascii="宋体" w:hAnsi="宋体" w:cs="宋体"/>
                      <w:i/>
                      <w:iCs/>
                      <w:color w:val="000000"/>
                      <w:kern w:val="0"/>
                      <w:szCs w:val="21"/>
                      <w:u w:val="single"/>
                    </w:rPr>
                    <w:t>0.0003</w:t>
                  </w:r>
                </w:p>
              </w:tc>
              <w:tc>
                <w:tcPr>
                  <w:tcW w:w="653" w:type="dxa"/>
                  <w:tcBorders>
                    <w:tl2br w:val="nil"/>
                    <w:tr2bl w:val="nil"/>
                  </w:tcBorders>
                  <w:vAlign w:val="center"/>
                </w:tcPr>
                <w:p>
                  <w:pPr>
                    <w:widowControl/>
                    <w:jc w:val="center"/>
                    <w:textAlignment w:val="top"/>
                    <w:rPr>
                      <w:rFonts w:ascii="宋体" w:hAnsi="宋体" w:cs="宋体"/>
                      <w:i/>
                      <w:iCs/>
                      <w:color w:val="000000"/>
                      <w:szCs w:val="21"/>
                      <w:u w:val="single"/>
                    </w:rPr>
                  </w:pPr>
                  <w:r>
                    <w:rPr>
                      <w:rFonts w:hint="eastAsia" w:ascii="宋体" w:hAnsi="宋体" w:cs="宋体"/>
                      <w:i/>
                      <w:iCs/>
                      <w:color w:val="000000"/>
                      <w:kern w:val="0"/>
                      <w:szCs w:val="21"/>
                      <w:u w:val="single"/>
                    </w:rPr>
                    <w:t>/</w:t>
                  </w:r>
                </w:p>
              </w:tc>
              <w:tc>
                <w:tcPr>
                  <w:tcW w:w="565" w:type="dxa"/>
                  <w:tcBorders>
                    <w:tl2br w:val="nil"/>
                    <w:tr2bl w:val="nil"/>
                  </w:tcBorders>
                  <w:vAlign w:val="center"/>
                </w:tcPr>
                <w:p>
                  <w:pPr>
                    <w:widowControl/>
                    <w:jc w:val="center"/>
                    <w:textAlignment w:val="top"/>
                    <w:rPr>
                      <w:rFonts w:ascii="宋体" w:hAnsi="宋体" w:cs="宋体"/>
                      <w:i/>
                      <w:iCs/>
                      <w:color w:val="000000"/>
                      <w:szCs w:val="21"/>
                      <w:u w:val="single"/>
                    </w:rPr>
                  </w:pPr>
                  <w:r>
                    <w:rPr>
                      <w:rFonts w:hint="eastAsia" w:ascii="宋体" w:hAnsi="宋体" w:cs="宋体"/>
                      <w:i/>
                      <w:iCs/>
                      <w:color w:val="000000"/>
                      <w:kern w:val="0"/>
                      <w:szCs w:val="21"/>
                      <w:u w:val="single"/>
                    </w:rPr>
                    <w:t>/</w:t>
                  </w:r>
                </w:p>
              </w:tc>
              <w:tc>
                <w:tcPr>
                  <w:tcW w:w="565" w:type="dxa"/>
                  <w:tcBorders>
                    <w:tl2br w:val="nil"/>
                    <w:tr2bl w:val="nil"/>
                  </w:tcBorders>
                  <w:vAlign w:val="center"/>
                </w:tcPr>
                <w:p>
                  <w:pPr>
                    <w:widowControl/>
                    <w:jc w:val="center"/>
                    <w:textAlignment w:val="top"/>
                    <w:rPr>
                      <w:rFonts w:ascii="宋体" w:hAnsi="宋体" w:cs="宋体"/>
                      <w:i/>
                      <w:iCs/>
                      <w:color w:val="000000"/>
                      <w:szCs w:val="21"/>
                      <w:u w:val="single"/>
                    </w:rPr>
                  </w:pPr>
                  <w:r>
                    <w:rPr>
                      <w:rFonts w:hint="eastAsia" w:ascii="宋体" w:hAnsi="宋体" w:cs="宋体"/>
                      <w:i/>
                      <w:iCs/>
                      <w:color w:val="000000"/>
                      <w:kern w:val="0"/>
                      <w:szCs w:val="21"/>
                      <w:u w:val="single"/>
                    </w:rPr>
                    <w:t>4320</w:t>
                  </w:r>
                </w:p>
              </w:tc>
            </w:tr>
            <w:tr>
              <w:trPr>
                <w:trHeight w:val="655" w:hRule="atLeast"/>
              </w:trPr>
              <w:tc>
                <w:tcPr>
                  <w:tcW w:w="390" w:type="dxa"/>
                  <w:vMerge w:val="continue"/>
                  <w:tcBorders>
                    <w:tl2br w:val="nil"/>
                    <w:tr2bl w:val="nil"/>
                  </w:tcBorders>
                  <w:vAlign w:val="center"/>
                </w:tcPr>
                <w:p>
                  <w:pPr>
                    <w:pStyle w:val="2"/>
                    <w:spacing w:line="240" w:lineRule="auto"/>
                    <w:jc w:val="center"/>
                    <w:rPr>
                      <w:rFonts w:ascii="宋体" w:hAnsi="宋体" w:cs="宋体"/>
                      <w:i/>
                      <w:iCs/>
                      <w:color w:val="000000"/>
                      <w:kern w:val="0"/>
                      <w:sz w:val="21"/>
                      <w:szCs w:val="21"/>
                      <w:u w:val="single"/>
                    </w:rPr>
                  </w:pPr>
                </w:p>
              </w:tc>
              <w:tc>
                <w:tcPr>
                  <w:tcW w:w="391" w:type="dxa"/>
                  <w:vMerge w:val="restart"/>
                  <w:tcBorders>
                    <w:tl2br w:val="nil"/>
                    <w:tr2bl w:val="nil"/>
                  </w:tcBorders>
                  <w:vAlign w:val="center"/>
                </w:tcPr>
                <w:p>
                  <w:pPr>
                    <w:pStyle w:val="2"/>
                    <w:spacing w:line="240" w:lineRule="auto"/>
                    <w:jc w:val="center"/>
                    <w:rPr>
                      <w:rFonts w:ascii="宋体" w:hAnsi="宋体" w:cs="宋体"/>
                      <w:i/>
                      <w:iCs/>
                      <w:color w:val="000000"/>
                      <w:kern w:val="0"/>
                      <w:sz w:val="21"/>
                      <w:szCs w:val="21"/>
                      <w:u w:val="single"/>
                    </w:rPr>
                  </w:pPr>
                  <w:r>
                    <w:rPr>
                      <w:rFonts w:hint="eastAsia" w:ascii="宋体" w:hAnsi="宋体" w:cs="宋体"/>
                      <w:i/>
                      <w:iCs/>
                      <w:color w:val="000000"/>
                      <w:kern w:val="0"/>
                      <w:sz w:val="21"/>
                      <w:szCs w:val="21"/>
                      <w:u w:val="single"/>
                    </w:rPr>
                    <w:t>硫酸雾</w:t>
                  </w:r>
                </w:p>
              </w:tc>
              <w:tc>
                <w:tcPr>
                  <w:tcW w:w="740" w:type="dxa"/>
                  <w:vMerge w:val="restart"/>
                  <w:tcBorders>
                    <w:tl2br w:val="nil"/>
                    <w:tr2bl w:val="nil"/>
                  </w:tcBorders>
                  <w:vAlign w:val="center"/>
                </w:tcPr>
                <w:p>
                  <w:pPr>
                    <w:pStyle w:val="2"/>
                    <w:spacing w:line="240" w:lineRule="auto"/>
                    <w:jc w:val="center"/>
                    <w:rPr>
                      <w:i/>
                      <w:iCs/>
                      <w:u w:val="single"/>
                    </w:rPr>
                  </w:pPr>
                  <w:r>
                    <w:rPr>
                      <w:rFonts w:hint="eastAsia" w:ascii="宋体" w:hAnsi="宋体" w:cs="宋体"/>
                      <w:i/>
                      <w:iCs/>
                      <w:color w:val="000000"/>
                      <w:kern w:val="0"/>
                      <w:sz w:val="21"/>
                      <w:szCs w:val="21"/>
                      <w:u w:val="single"/>
                    </w:rPr>
                    <w:t>0.0000003</w:t>
                  </w:r>
                </w:p>
              </w:tc>
              <w:tc>
                <w:tcPr>
                  <w:tcW w:w="391" w:type="dxa"/>
                  <w:tcBorders>
                    <w:tl2br w:val="nil"/>
                    <w:tr2bl w:val="nil"/>
                  </w:tcBorders>
                  <w:vAlign w:val="center"/>
                </w:tcPr>
                <w:p>
                  <w:pPr>
                    <w:pStyle w:val="2"/>
                    <w:spacing w:line="240" w:lineRule="auto"/>
                    <w:jc w:val="center"/>
                    <w:rPr>
                      <w:rFonts w:ascii="宋体" w:hAnsi="宋体" w:cs="宋体"/>
                      <w:i/>
                      <w:iCs/>
                      <w:color w:val="000000"/>
                      <w:kern w:val="0"/>
                      <w:sz w:val="21"/>
                      <w:szCs w:val="21"/>
                      <w:u w:val="single"/>
                    </w:rPr>
                  </w:pPr>
                  <w:r>
                    <w:rPr>
                      <w:rFonts w:hint="eastAsia" w:ascii="宋体" w:hAnsi="宋体" w:cs="宋体"/>
                      <w:i/>
                      <w:iCs/>
                      <w:color w:val="000000"/>
                      <w:kern w:val="0"/>
                      <w:sz w:val="21"/>
                      <w:szCs w:val="21"/>
                      <w:u w:val="single"/>
                    </w:rPr>
                    <w:t>有组织</w:t>
                  </w:r>
                </w:p>
              </w:tc>
              <w:tc>
                <w:tcPr>
                  <w:tcW w:w="828" w:type="dxa"/>
                  <w:tcBorders>
                    <w:tl2br w:val="nil"/>
                    <w:tr2bl w:val="nil"/>
                  </w:tcBorders>
                  <w:vAlign w:val="center"/>
                </w:tcPr>
                <w:p>
                  <w:pPr>
                    <w:widowControl/>
                    <w:jc w:val="center"/>
                    <w:textAlignment w:val="top"/>
                    <w:rPr>
                      <w:rFonts w:ascii="宋体" w:hAnsi="宋体" w:cs="宋体"/>
                      <w:i/>
                      <w:iCs/>
                      <w:color w:val="000000"/>
                      <w:kern w:val="0"/>
                      <w:szCs w:val="21"/>
                      <w:u w:val="single"/>
                    </w:rPr>
                  </w:pPr>
                  <w:r>
                    <w:rPr>
                      <w:rFonts w:hint="eastAsia" w:ascii="宋体" w:hAnsi="宋体" w:cs="宋体"/>
                      <w:i/>
                      <w:iCs/>
                      <w:color w:val="000000"/>
                      <w:kern w:val="0"/>
                      <w:szCs w:val="21"/>
                      <w:u w:val="single"/>
                    </w:rPr>
                    <w:t>0.00000027</w:t>
                  </w:r>
                </w:p>
              </w:tc>
              <w:tc>
                <w:tcPr>
                  <w:tcW w:w="915" w:type="dxa"/>
                  <w:tcBorders>
                    <w:tl2br w:val="nil"/>
                    <w:tr2bl w:val="nil"/>
                  </w:tcBorders>
                  <w:vAlign w:val="center"/>
                </w:tcPr>
                <w:p>
                  <w:pPr>
                    <w:widowControl/>
                    <w:jc w:val="center"/>
                    <w:textAlignment w:val="top"/>
                    <w:rPr>
                      <w:rFonts w:ascii="宋体" w:hAnsi="宋体" w:cs="宋体"/>
                      <w:i/>
                      <w:iCs/>
                      <w:color w:val="000000"/>
                      <w:kern w:val="0"/>
                      <w:szCs w:val="21"/>
                      <w:u w:val="single"/>
                    </w:rPr>
                  </w:pPr>
                  <w:r>
                    <w:rPr>
                      <w:rFonts w:hint="eastAsia" w:ascii="宋体" w:hAnsi="宋体" w:cs="宋体"/>
                      <w:i/>
                      <w:iCs/>
                      <w:color w:val="000000"/>
                      <w:kern w:val="0"/>
                      <w:szCs w:val="21"/>
                      <w:u w:val="single"/>
                    </w:rPr>
                    <w:t>0.7</w:t>
                  </w:r>
                  <w:r>
                    <w:rPr>
                      <w:rFonts w:hint="eastAsia" w:ascii="宋体" w:hAnsi="宋体" w:cs="宋体"/>
                      <w:i/>
                      <w:iCs/>
                      <w:color w:val="000000"/>
                      <w:kern w:val="0"/>
                      <w:sz w:val="24"/>
                      <w:u w:val="single"/>
                    </w:rPr>
                    <w:t>×10</w:t>
                  </w:r>
                  <w:r>
                    <w:rPr>
                      <w:rFonts w:hint="eastAsia" w:ascii="宋体" w:hAnsi="宋体" w:cs="宋体"/>
                      <w:i/>
                      <w:iCs/>
                      <w:color w:val="000000"/>
                      <w:kern w:val="0"/>
                      <w:sz w:val="24"/>
                      <w:u w:val="single"/>
                      <w:vertAlign w:val="superscript"/>
                    </w:rPr>
                    <w:t>-7</w:t>
                  </w:r>
                </w:p>
              </w:tc>
              <w:tc>
                <w:tcPr>
                  <w:tcW w:w="653" w:type="dxa"/>
                  <w:tcBorders>
                    <w:tl2br w:val="nil"/>
                    <w:tr2bl w:val="nil"/>
                  </w:tcBorders>
                  <w:vAlign w:val="center"/>
                </w:tcPr>
                <w:p>
                  <w:pPr>
                    <w:widowControl/>
                    <w:jc w:val="center"/>
                    <w:textAlignment w:val="top"/>
                    <w:rPr>
                      <w:rFonts w:ascii="宋体" w:hAnsi="宋体" w:cs="宋体"/>
                      <w:i/>
                      <w:iCs/>
                      <w:color w:val="000000"/>
                      <w:szCs w:val="21"/>
                      <w:u w:val="single"/>
                    </w:rPr>
                  </w:pPr>
                  <w:r>
                    <w:rPr>
                      <w:rFonts w:hint="eastAsia" w:ascii="宋体" w:hAnsi="宋体" w:cs="宋体"/>
                      <w:i/>
                      <w:iCs/>
                      <w:color w:val="000000"/>
                      <w:kern w:val="0"/>
                      <w:szCs w:val="21"/>
                      <w:u w:val="single"/>
                    </w:rPr>
                    <w:t>0.00004</w:t>
                  </w:r>
                </w:p>
              </w:tc>
              <w:tc>
                <w:tcPr>
                  <w:tcW w:w="478" w:type="dxa"/>
                  <w:tcBorders>
                    <w:tl2br w:val="nil"/>
                    <w:tr2bl w:val="nil"/>
                  </w:tcBorders>
                  <w:vAlign w:val="center"/>
                </w:tcPr>
                <w:p>
                  <w:pPr>
                    <w:widowControl/>
                    <w:jc w:val="center"/>
                    <w:textAlignment w:val="top"/>
                    <w:rPr>
                      <w:rFonts w:ascii="宋体" w:hAnsi="宋体" w:cs="宋体"/>
                      <w:i/>
                      <w:iCs/>
                      <w:color w:val="000000"/>
                      <w:szCs w:val="21"/>
                      <w:u w:val="single"/>
                    </w:rPr>
                  </w:pPr>
                  <w:r>
                    <w:rPr>
                      <w:rFonts w:hint="eastAsia" w:ascii="宋体" w:hAnsi="宋体" w:cs="宋体"/>
                      <w:i/>
                      <w:iCs/>
                      <w:color w:val="000000"/>
                      <w:kern w:val="0"/>
                      <w:szCs w:val="21"/>
                      <w:u w:val="single"/>
                    </w:rPr>
                    <w:t>/</w:t>
                  </w:r>
                </w:p>
              </w:tc>
              <w:tc>
                <w:tcPr>
                  <w:tcW w:w="851" w:type="dxa"/>
                  <w:tcBorders>
                    <w:tl2br w:val="nil"/>
                    <w:tr2bl w:val="nil"/>
                  </w:tcBorders>
                  <w:vAlign w:val="center"/>
                </w:tcPr>
                <w:p>
                  <w:pPr>
                    <w:widowControl/>
                    <w:jc w:val="center"/>
                    <w:textAlignment w:val="top"/>
                    <w:rPr>
                      <w:rFonts w:ascii="宋体" w:hAnsi="宋体" w:cs="宋体"/>
                      <w:i/>
                      <w:iCs/>
                      <w:color w:val="000000"/>
                      <w:kern w:val="0"/>
                      <w:szCs w:val="21"/>
                      <w:u w:val="single"/>
                    </w:rPr>
                  </w:pPr>
                  <w:r>
                    <w:rPr>
                      <w:rFonts w:hint="eastAsia" w:ascii="宋体" w:hAnsi="宋体" w:cs="宋体"/>
                      <w:i/>
                      <w:iCs/>
                      <w:color w:val="000000"/>
                      <w:kern w:val="0"/>
                      <w:szCs w:val="21"/>
                      <w:u w:val="single"/>
                    </w:rPr>
                    <w:t>0.00000027</w:t>
                  </w:r>
                </w:p>
              </w:tc>
              <w:tc>
                <w:tcPr>
                  <w:tcW w:w="979" w:type="dxa"/>
                  <w:tcBorders>
                    <w:tl2br w:val="nil"/>
                    <w:tr2bl w:val="nil"/>
                  </w:tcBorders>
                  <w:vAlign w:val="center"/>
                </w:tcPr>
                <w:p>
                  <w:pPr>
                    <w:widowControl/>
                    <w:jc w:val="center"/>
                    <w:textAlignment w:val="top"/>
                    <w:rPr>
                      <w:rFonts w:ascii="宋体" w:hAnsi="宋体" w:cs="宋体"/>
                      <w:i/>
                      <w:iCs/>
                      <w:color w:val="000000"/>
                      <w:kern w:val="0"/>
                      <w:szCs w:val="21"/>
                      <w:u w:val="single"/>
                    </w:rPr>
                  </w:pPr>
                  <w:r>
                    <w:rPr>
                      <w:rFonts w:hint="eastAsia" w:ascii="宋体" w:hAnsi="宋体" w:cs="宋体"/>
                      <w:i/>
                      <w:iCs/>
                      <w:color w:val="000000"/>
                      <w:kern w:val="0"/>
                      <w:szCs w:val="21"/>
                      <w:u w:val="single"/>
                    </w:rPr>
                    <w:t>0.7</w:t>
                  </w:r>
                  <w:r>
                    <w:rPr>
                      <w:rFonts w:hint="eastAsia" w:ascii="宋体" w:hAnsi="宋体" w:cs="宋体"/>
                      <w:i/>
                      <w:iCs/>
                      <w:color w:val="000000"/>
                      <w:kern w:val="0"/>
                      <w:sz w:val="24"/>
                      <w:u w:val="single"/>
                    </w:rPr>
                    <w:t>×10</w:t>
                  </w:r>
                  <w:r>
                    <w:rPr>
                      <w:rFonts w:hint="eastAsia" w:ascii="宋体" w:hAnsi="宋体" w:cs="宋体"/>
                      <w:i/>
                      <w:iCs/>
                      <w:color w:val="000000"/>
                      <w:kern w:val="0"/>
                      <w:sz w:val="24"/>
                      <w:u w:val="single"/>
                      <w:vertAlign w:val="superscript"/>
                    </w:rPr>
                    <w:t>-7</w:t>
                  </w:r>
                </w:p>
              </w:tc>
              <w:tc>
                <w:tcPr>
                  <w:tcW w:w="653" w:type="dxa"/>
                  <w:tcBorders>
                    <w:tl2br w:val="nil"/>
                    <w:tr2bl w:val="nil"/>
                  </w:tcBorders>
                  <w:vAlign w:val="center"/>
                </w:tcPr>
                <w:p>
                  <w:pPr>
                    <w:widowControl/>
                    <w:jc w:val="center"/>
                    <w:textAlignment w:val="top"/>
                    <w:rPr>
                      <w:rFonts w:ascii="宋体" w:hAnsi="宋体" w:cs="宋体"/>
                      <w:i/>
                      <w:iCs/>
                      <w:color w:val="000000"/>
                      <w:kern w:val="0"/>
                      <w:szCs w:val="21"/>
                      <w:u w:val="single"/>
                    </w:rPr>
                  </w:pPr>
                  <w:r>
                    <w:rPr>
                      <w:rFonts w:hint="eastAsia" w:ascii="宋体" w:hAnsi="宋体" w:cs="宋体"/>
                      <w:i/>
                      <w:iCs/>
                      <w:color w:val="000000"/>
                      <w:kern w:val="0"/>
                      <w:szCs w:val="21"/>
                      <w:u w:val="single"/>
                    </w:rPr>
                    <w:t>0.00004</w:t>
                  </w:r>
                </w:p>
              </w:tc>
              <w:tc>
                <w:tcPr>
                  <w:tcW w:w="565" w:type="dxa"/>
                  <w:tcBorders>
                    <w:tl2br w:val="nil"/>
                    <w:tr2bl w:val="nil"/>
                  </w:tcBorders>
                  <w:vAlign w:val="center"/>
                </w:tcPr>
                <w:p>
                  <w:pPr>
                    <w:widowControl/>
                    <w:jc w:val="center"/>
                    <w:textAlignment w:val="top"/>
                    <w:rPr>
                      <w:rFonts w:ascii="宋体" w:hAnsi="宋体" w:cs="宋体"/>
                      <w:i/>
                      <w:iCs/>
                      <w:color w:val="000000"/>
                      <w:kern w:val="0"/>
                      <w:szCs w:val="21"/>
                      <w:u w:val="single"/>
                    </w:rPr>
                  </w:pPr>
                  <w:r>
                    <w:rPr>
                      <w:rFonts w:hint="eastAsia" w:ascii="宋体" w:hAnsi="宋体" w:cs="宋体"/>
                      <w:i/>
                      <w:iCs/>
                      <w:color w:val="000000"/>
                      <w:kern w:val="0"/>
                      <w:szCs w:val="21"/>
                      <w:u w:val="single"/>
                    </w:rPr>
                    <w:t>1500</w:t>
                  </w:r>
                </w:p>
              </w:tc>
              <w:tc>
                <w:tcPr>
                  <w:tcW w:w="565" w:type="dxa"/>
                  <w:tcBorders>
                    <w:tl2br w:val="nil"/>
                    <w:tr2bl w:val="nil"/>
                  </w:tcBorders>
                  <w:vAlign w:val="center"/>
                </w:tcPr>
                <w:p>
                  <w:pPr>
                    <w:widowControl/>
                    <w:jc w:val="center"/>
                    <w:textAlignment w:val="top"/>
                    <w:rPr>
                      <w:rFonts w:ascii="宋体" w:hAnsi="宋体" w:cs="宋体"/>
                      <w:i/>
                      <w:iCs/>
                      <w:color w:val="000000"/>
                      <w:kern w:val="0"/>
                      <w:szCs w:val="21"/>
                      <w:u w:val="single"/>
                    </w:rPr>
                  </w:pPr>
                  <w:r>
                    <w:rPr>
                      <w:rFonts w:hint="eastAsia" w:ascii="宋体" w:hAnsi="宋体" w:cs="宋体"/>
                      <w:i/>
                      <w:iCs/>
                      <w:color w:val="000000"/>
                      <w:kern w:val="0"/>
                      <w:szCs w:val="21"/>
                      <w:u w:val="single"/>
                    </w:rPr>
                    <w:t>4320</w:t>
                  </w:r>
                </w:p>
              </w:tc>
            </w:tr>
            <w:tr>
              <w:trPr>
                <w:trHeight w:val="655" w:hRule="atLeast"/>
              </w:trPr>
              <w:tc>
                <w:tcPr>
                  <w:tcW w:w="390" w:type="dxa"/>
                  <w:vMerge w:val="continue"/>
                  <w:tcBorders>
                    <w:tl2br w:val="nil"/>
                    <w:tr2bl w:val="nil"/>
                  </w:tcBorders>
                  <w:vAlign w:val="center"/>
                </w:tcPr>
                <w:p>
                  <w:pPr>
                    <w:pStyle w:val="2"/>
                    <w:spacing w:line="240" w:lineRule="auto"/>
                    <w:jc w:val="center"/>
                    <w:rPr>
                      <w:rFonts w:ascii="宋体" w:hAnsi="宋体" w:cs="宋体"/>
                      <w:i/>
                      <w:iCs/>
                      <w:color w:val="000000"/>
                      <w:kern w:val="0"/>
                      <w:sz w:val="21"/>
                      <w:szCs w:val="21"/>
                      <w:u w:val="single"/>
                    </w:rPr>
                  </w:pPr>
                </w:p>
              </w:tc>
              <w:tc>
                <w:tcPr>
                  <w:tcW w:w="391" w:type="dxa"/>
                  <w:vMerge w:val="continue"/>
                  <w:tcBorders>
                    <w:tl2br w:val="nil"/>
                    <w:tr2bl w:val="nil"/>
                  </w:tcBorders>
                  <w:vAlign w:val="center"/>
                </w:tcPr>
                <w:p>
                  <w:pPr>
                    <w:pStyle w:val="2"/>
                    <w:spacing w:line="240" w:lineRule="auto"/>
                    <w:jc w:val="center"/>
                    <w:rPr>
                      <w:rFonts w:ascii="宋体" w:hAnsi="宋体" w:cs="宋体"/>
                      <w:i/>
                      <w:iCs/>
                      <w:color w:val="000000"/>
                      <w:kern w:val="0"/>
                      <w:sz w:val="21"/>
                      <w:szCs w:val="21"/>
                      <w:u w:val="single"/>
                    </w:rPr>
                  </w:pPr>
                </w:p>
              </w:tc>
              <w:tc>
                <w:tcPr>
                  <w:tcW w:w="740" w:type="dxa"/>
                  <w:vMerge w:val="continue"/>
                  <w:tcBorders>
                    <w:tl2br w:val="nil"/>
                    <w:tr2bl w:val="nil"/>
                  </w:tcBorders>
                  <w:vAlign w:val="center"/>
                </w:tcPr>
                <w:p>
                  <w:pPr>
                    <w:pStyle w:val="2"/>
                    <w:spacing w:line="240" w:lineRule="auto"/>
                    <w:jc w:val="center"/>
                    <w:rPr>
                      <w:rFonts w:ascii="宋体" w:hAnsi="宋体" w:cs="宋体"/>
                      <w:i/>
                      <w:iCs/>
                      <w:color w:val="000000"/>
                      <w:kern w:val="0"/>
                      <w:sz w:val="21"/>
                      <w:szCs w:val="21"/>
                      <w:u w:val="single"/>
                    </w:rPr>
                  </w:pPr>
                </w:p>
              </w:tc>
              <w:tc>
                <w:tcPr>
                  <w:tcW w:w="391" w:type="dxa"/>
                  <w:tcBorders>
                    <w:tl2br w:val="nil"/>
                    <w:tr2bl w:val="nil"/>
                  </w:tcBorders>
                  <w:vAlign w:val="center"/>
                </w:tcPr>
                <w:p>
                  <w:pPr>
                    <w:pStyle w:val="2"/>
                    <w:spacing w:line="240" w:lineRule="auto"/>
                    <w:jc w:val="center"/>
                    <w:rPr>
                      <w:rFonts w:ascii="宋体" w:hAnsi="宋体" w:cs="宋体"/>
                      <w:i/>
                      <w:iCs/>
                      <w:color w:val="000000"/>
                      <w:kern w:val="0"/>
                      <w:sz w:val="21"/>
                      <w:szCs w:val="21"/>
                      <w:u w:val="single"/>
                    </w:rPr>
                  </w:pPr>
                  <w:r>
                    <w:rPr>
                      <w:rFonts w:hint="eastAsia" w:ascii="宋体" w:hAnsi="宋体" w:cs="宋体"/>
                      <w:i/>
                      <w:iCs/>
                      <w:color w:val="000000"/>
                      <w:kern w:val="0"/>
                      <w:sz w:val="21"/>
                      <w:szCs w:val="21"/>
                      <w:u w:val="single"/>
                    </w:rPr>
                    <w:t>无组织</w:t>
                  </w:r>
                </w:p>
              </w:tc>
              <w:tc>
                <w:tcPr>
                  <w:tcW w:w="828" w:type="dxa"/>
                  <w:tcBorders>
                    <w:tl2br w:val="nil"/>
                    <w:tr2bl w:val="nil"/>
                  </w:tcBorders>
                  <w:vAlign w:val="center"/>
                </w:tcPr>
                <w:p>
                  <w:pPr>
                    <w:widowControl/>
                    <w:jc w:val="center"/>
                    <w:textAlignment w:val="top"/>
                    <w:rPr>
                      <w:rFonts w:ascii="宋体" w:hAnsi="宋体" w:cs="宋体"/>
                      <w:i/>
                      <w:iCs/>
                      <w:color w:val="000000"/>
                      <w:kern w:val="0"/>
                      <w:szCs w:val="21"/>
                      <w:u w:val="single"/>
                    </w:rPr>
                  </w:pPr>
                  <w:r>
                    <w:rPr>
                      <w:rFonts w:hint="eastAsia" w:ascii="宋体" w:hAnsi="宋体" w:cs="宋体"/>
                      <w:i/>
                      <w:iCs/>
                      <w:color w:val="000000"/>
                      <w:kern w:val="0"/>
                      <w:szCs w:val="21"/>
                      <w:u w:val="single"/>
                    </w:rPr>
                    <w:t>0.00000003</w:t>
                  </w:r>
                </w:p>
              </w:tc>
              <w:tc>
                <w:tcPr>
                  <w:tcW w:w="915" w:type="dxa"/>
                  <w:tcBorders>
                    <w:tl2br w:val="nil"/>
                    <w:tr2bl w:val="nil"/>
                  </w:tcBorders>
                  <w:vAlign w:val="center"/>
                </w:tcPr>
                <w:p>
                  <w:pPr>
                    <w:widowControl/>
                    <w:jc w:val="center"/>
                    <w:textAlignment w:val="top"/>
                    <w:rPr>
                      <w:rFonts w:ascii="宋体" w:hAnsi="宋体" w:cs="宋体"/>
                      <w:i/>
                      <w:iCs/>
                      <w:color w:val="000000"/>
                      <w:kern w:val="0"/>
                      <w:szCs w:val="21"/>
                      <w:u w:val="single"/>
                    </w:rPr>
                  </w:pPr>
                  <w:r>
                    <w:rPr>
                      <w:rFonts w:hint="eastAsia" w:ascii="宋体" w:hAnsi="宋体" w:cs="宋体"/>
                      <w:i/>
                      <w:iCs/>
                      <w:color w:val="000000"/>
                      <w:kern w:val="0"/>
                      <w:szCs w:val="21"/>
                      <w:u w:val="single"/>
                    </w:rPr>
                    <w:t>0.7×10</w:t>
                  </w:r>
                  <w:r>
                    <w:rPr>
                      <w:rFonts w:hint="eastAsia" w:ascii="宋体" w:hAnsi="宋体" w:cs="宋体"/>
                      <w:i/>
                      <w:iCs/>
                      <w:color w:val="000000"/>
                      <w:kern w:val="0"/>
                      <w:szCs w:val="21"/>
                      <w:u w:val="single"/>
                      <w:vertAlign w:val="superscript"/>
                    </w:rPr>
                    <w:t>-8</w:t>
                  </w:r>
                </w:p>
              </w:tc>
              <w:tc>
                <w:tcPr>
                  <w:tcW w:w="653" w:type="dxa"/>
                  <w:tcBorders>
                    <w:tl2br w:val="nil"/>
                    <w:tr2bl w:val="nil"/>
                  </w:tcBorders>
                  <w:vAlign w:val="center"/>
                </w:tcPr>
                <w:p>
                  <w:pPr>
                    <w:widowControl/>
                    <w:jc w:val="center"/>
                    <w:textAlignment w:val="top"/>
                    <w:rPr>
                      <w:rFonts w:ascii="宋体" w:hAnsi="宋体" w:cs="宋体"/>
                      <w:i/>
                      <w:iCs/>
                      <w:color w:val="000000"/>
                      <w:szCs w:val="21"/>
                      <w:u w:val="single"/>
                    </w:rPr>
                  </w:pPr>
                  <w:r>
                    <w:rPr>
                      <w:rFonts w:hint="eastAsia" w:ascii="宋体" w:hAnsi="宋体" w:cs="宋体"/>
                      <w:i/>
                      <w:iCs/>
                      <w:color w:val="000000"/>
                      <w:kern w:val="0"/>
                      <w:szCs w:val="21"/>
                      <w:u w:val="single"/>
                    </w:rPr>
                    <w:t>/</w:t>
                  </w:r>
                </w:p>
              </w:tc>
              <w:tc>
                <w:tcPr>
                  <w:tcW w:w="478" w:type="dxa"/>
                  <w:tcBorders>
                    <w:tl2br w:val="nil"/>
                    <w:tr2bl w:val="nil"/>
                  </w:tcBorders>
                  <w:vAlign w:val="center"/>
                </w:tcPr>
                <w:p>
                  <w:pPr>
                    <w:widowControl/>
                    <w:jc w:val="center"/>
                    <w:textAlignment w:val="top"/>
                    <w:rPr>
                      <w:rFonts w:ascii="宋体" w:hAnsi="宋体" w:cs="宋体"/>
                      <w:i/>
                      <w:iCs/>
                      <w:color w:val="000000"/>
                      <w:szCs w:val="21"/>
                      <w:u w:val="single"/>
                    </w:rPr>
                  </w:pPr>
                  <w:r>
                    <w:rPr>
                      <w:rFonts w:hint="eastAsia" w:ascii="宋体" w:hAnsi="宋体" w:cs="宋体"/>
                      <w:i/>
                      <w:iCs/>
                      <w:color w:val="000000"/>
                      <w:kern w:val="0"/>
                      <w:szCs w:val="21"/>
                      <w:u w:val="single"/>
                    </w:rPr>
                    <w:t>/</w:t>
                  </w:r>
                </w:p>
              </w:tc>
              <w:tc>
                <w:tcPr>
                  <w:tcW w:w="851" w:type="dxa"/>
                  <w:tcBorders>
                    <w:tl2br w:val="nil"/>
                    <w:tr2bl w:val="nil"/>
                  </w:tcBorders>
                  <w:vAlign w:val="center"/>
                </w:tcPr>
                <w:p>
                  <w:pPr>
                    <w:widowControl/>
                    <w:jc w:val="center"/>
                    <w:textAlignment w:val="top"/>
                    <w:rPr>
                      <w:rFonts w:ascii="宋体" w:hAnsi="宋体" w:cs="宋体"/>
                      <w:i/>
                      <w:iCs/>
                      <w:color w:val="000000"/>
                      <w:kern w:val="0"/>
                      <w:szCs w:val="21"/>
                      <w:u w:val="single"/>
                    </w:rPr>
                  </w:pPr>
                  <w:r>
                    <w:rPr>
                      <w:rFonts w:hint="eastAsia" w:ascii="宋体" w:hAnsi="宋体" w:cs="宋体"/>
                      <w:i/>
                      <w:iCs/>
                      <w:color w:val="000000"/>
                      <w:kern w:val="0"/>
                      <w:szCs w:val="21"/>
                      <w:u w:val="single"/>
                    </w:rPr>
                    <w:t>0.00000003</w:t>
                  </w:r>
                </w:p>
              </w:tc>
              <w:tc>
                <w:tcPr>
                  <w:tcW w:w="979" w:type="dxa"/>
                  <w:tcBorders>
                    <w:tl2br w:val="nil"/>
                    <w:tr2bl w:val="nil"/>
                  </w:tcBorders>
                  <w:vAlign w:val="center"/>
                </w:tcPr>
                <w:p>
                  <w:pPr>
                    <w:widowControl/>
                    <w:jc w:val="center"/>
                    <w:textAlignment w:val="top"/>
                    <w:rPr>
                      <w:rFonts w:ascii="宋体" w:hAnsi="宋体" w:cs="宋体"/>
                      <w:i/>
                      <w:iCs/>
                      <w:color w:val="000000"/>
                      <w:kern w:val="0"/>
                      <w:szCs w:val="21"/>
                      <w:u w:val="single"/>
                    </w:rPr>
                  </w:pPr>
                  <w:r>
                    <w:rPr>
                      <w:rFonts w:hint="eastAsia" w:ascii="宋体" w:hAnsi="宋体" w:cs="宋体"/>
                      <w:i/>
                      <w:iCs/>
                      <w:color w:val="000000"/>
                      <w:kern w:val="0"/>
                      <w:szCs w:val="21"/>
                      <w:u w:val="single"/>
                    </w:rPr>
                    <w:t>0.7×10</w:t>
                  </w:r>
                  <w:r>
                    <w:rPr>
                      <w:rFonts w:hint="eastAsia" w:ascii="宋体" w:hAnsi="宋体" w:cs="宋体"/>
                      <w:i/>
                      <w:iCs/>
                      <w:color w:val="000000"/>
                      <w:kern w:val="0"/>
                      <w:szCs w:val="21"/>
                      <w:u w:val="single"/>
                      <w:vertAlign w:val="superscript"/>
                    </w:rPr>
                    <w:t>-8</w:t>
                  </w:r>
                </w:p>
              </w:tc>
              <w:tc>
                <w:tcPr>
                  <w:tcW w:w="653" w:type="dxa"/>
                  <w:tcBorders>
                    <w:tl2br w:val="nil"/>
                    <w:tr2bl w:val="nil"/>
                  </w:tcBorders>
                  <w:vAlign w:val="center"/>
                </w:tcPr>
                <w:p>
                  <w:pPr>
                    <w:widowControl/>
                    <w:jc w:val="center"/>
                    <w:textAlignment w:val="top"/>
                    <w:rPr>
                      <w:rFonts w:ascii="宋体" w:hAnsi="宋体" w:cs="宋体"/>
                      <w:i/>
                      <w:iCs/>
                      <w:color w:val="000000"/>
                      <w:szCs w:val="21"/>
                      <w:u w:val="single"/>
                    </w:rPr>
                  </w:pPr>
                  <w:r>
                    <w:rPr>
                      <w:rFonts w:hint="eastAsia" w:ascii="宋体" w:hAnsi="宋体" w:cs="宋体"/>
                      <w:i/>
                      <w:iCs/>
                      <w:color w:val="000000"/>
                      <w:kern w:val="0"/>
                      <w:szCs w:val="21"/>
                      <w:u w:val="single"/>
                    </w:rPr>
                    <w:t>/</w:t>
                  </w:r>
                </w:p>
              </w:tc>
              <w:tc>
                <w:tcPr>
                  <w:tcW w:w="565" w:type="dxa"/>
                  <w:tcBorders>
                    <w:tl2br w:val="nil"/>
                    <w:tr2bl w:val="nil"/>
                  </w:tcBorders>
                  <w:vAlign w:val="center"/>
                </w:tcPr>
                <w:p>
                  <w:pPr>
                    <w:widowControl/>
                    <w:jc w:val="center"/>
                    <w:textAlignment w:val="top"/>
                    <w:rPr>
                      <w:rFonts w:ascii="宋体" w:hAnsi="宋体" w:cs="宋体"/>
                      <w:i/>
                      <w:iCs/>
                      <w:color w:val="000000"/>
                      <w:szCs w:val="21"/>
                      <w:u w:val="single"/>
                    </w:rPr>
                  </w:pPr>
                  <w:r>
                    <w:rPr>
                      <w:rFonts w:hint="eastAsia" w:ascii="宋体" w:hAnsi="宋体" w:cs="宋体"/>
                      <w:i/>
                      <w:iCs/>
                      <w:color w:val="000000"/>
                      <w:kern w:val="0"/>
                      <w:szCs w:val="21"/>
                      <w:u w:val="single"/>
                    </w:rPr>
                    <w:t>/</w:t>
                  </w:r>
                </w:p>
              </w:tc>
              <w:tc>
                <w:tcPr>
                  <w:tcW w:w="565" w:type="dxa"/>
                  <w:tcBorders>
                    <w:tl2br w:val="nil"/>
                    <w:tr2bl w:val="nil"/>
                  </w:tcBorders>
                  <w:vAlign w:val="center"/>
                </w:tcPr>
                <w:p>
                  <w:pPr>
                    <w:widowControl/>
                    <w:jc w:val="center"/>
                    <w:textAlignment w:val="top"/>
                    <w:rPr>
                      <w:rFonts w:ascii="宋体" w:hAnsi="宋体" w:cs="宋体"/>
                      <w:i/>
                      <w:iCs/>
                      <w:color w:val="000000"/>
                      <w:kern w:val="0"/>
                      <w:szCs w:val="21"/>
                      <w:u w:val="single"/>
                    </w:rPr>
                  </w:pPr>
                  <w:r>
                    <w:rPr>
                      <w:rFonts w:hint="eastAsia" w:ascii="宋体" w:hAnsi="宋体" w:cs="宋体"/>
                      <w:i/>
                      <w:iCs/>
                      <w:color w:val="000000"/>
                      <w:kern w:val="0"/>
                      <w:szCs w:val="21"/>
                      <w:u w:val="single"/>
                    </w:rPr>
                    <w:t>4320</w:t>
                  </w:r>
                </w:p>
              </w:tc>
            </w:tr>
          </w:tbl>
          <w:p>
            <w:pPr>
              <w:pStyle w:val="2"/>
              <w:ind w:firstLine="480" w:firstLineChars="200"/>
            </w:pPr>
            <w:r>
              <w:rPr>
                <w:rFonts w:ascii="宋体" w:hAnsi="宋体" w:cs="宋体"/>
                <w:bCs/>
                <w:i/>
                <w:iCs/>
                <w:sz w:val="24"/>
                <w:u w:val="single"/>
              </w:rPr>
              <w:t>按 DA001 排气筒实际运行工况分时段核算（设计总风量取各系统同时运行最大值 3000 m³/h，其中剪切/预处理集气 1500 m³/h、危废间负压 1500 m³/h；非作业期仅危废间运行 1500 m³/h），并以排放速率（kg/h）对标 GB16297-1996 表2 二级限值。具体为：作业期（剪切、抽油、危废贮存同时运行）风量 3000 m³/h，排气筒同时承载粉尘、非甲烷总烃与硫酸雾，其中颗粒物排放速率 0.0018 kg/h、排放浓度 0.6 mg/m³，非甲烷总烃排放速率 0.0284 kg/h、排放浓度 9.5 mg/m³，硫酸雾排放速率 0.7×10</w:t>
            </w:r>
            <w:r>
              <w:rPr>
                <w:rFonts w:ascii="Cambria Math" w:hAnsi="Cambria Math" w:cs="Cambria Math"/>
                <w:bCs/>
                <w:i/>
                <w:iCs/>
                <w:sz w:val="24"/>
                <w:u w:val="single"/>
              </w:rPr>
              <w:t>⁻⁷</w:t>
            </w:r>
            <w:r>
              <w:rPr>
                <w:rFonts w:ascii="宋体" w:hAnsi="宋体" w:cs="宋体"/>
                <w:bCs/>
                <w:i/>
                <w:iCs/>
                <w:sz w:val="24"/>
                <w:u w:val="single"/>
              </w:rPr>
              <w:t xml:space="preserve"> kg/h、排放浓度约 0 mg/m³；仅危废贮存期（非作业日）风量 1500 m³/h，排气筒承载非甲烷总烃与硫酸雾，其中非甲烷总烃排放速率 0.0009 kg/h、排放浓度 0.6 mg/m³，硫酸雾排放速率 0.7×10</w:t>
            </w:r>
            <w:r>
              <w:rPr>
                <w:rFonts w:ascii="Cambria Math" w:hAnsi="Cambria Math" w:cs="Cambria Math"/>
                <w:bCs/>
                <w:i/>
                <w:iCs/>
                <w:sz w:val="24"/>
                <w:u w:val="single"/>
              </w:rPr>
              <w:t>⁻⁷</w:t>
            </w:r>
            <w:r>
              <w:rPr>
                <w:rFonts w:ascii="宋体" w:hAnsi="宋体" w:cs="宋体"/>
                <w:bCs/>
                <w:i/>
                <w:iCs/>
                <w:sz w:val="24"/>
                <w:u w:val="single"/>
              </w:rPr>
              <w:t xml:space="preserve"> kg/h、排放浓度约 0 mg/m³。上述各工况各污染物的排放速率与排放浓度，均远低于 GB16297-1996 表2 二级限值（颗粒物 3.5 kg/h、120 mg/m³；非甲烷总烃 10 kg/h、120 mg/m³；硫酸雾 1.5 kg/h、45 mg/m³）。核算系按实际风量、实际叠加源强进行，不存在稀释达标情形，速率达标结论成立。</w:t>
            </w:r>
          </w:p>
          <w:p>
            <w:pPr>
              <w:jc w:val="center"/>
              <w:rPr>
                <w:rFonts w:ascii="宋体" w:hAnsi="宋体" w:cs="宋体"/>
                <w:b/>
                <w:i/>
                <w:iCs/>
                <w:sz w:val="24"/>
                <w:u w:val="single"/>
              </w:rPr>
            </w:pPr>
          </w:p>
          <w:p>
            <w:pPr>
              <w:jc w:val="center"/>
              <w:rPr>
                <w:rFonts w:ascii="宋体" w:hAnsi="宋体" w:cs="宋体"/>
                <w:b/>
                <w:i/>
                <w:iCs/>
                <w:sz w:val="24"/>
                <w:u w:val="single"/>
              </w:rPr>
            </w:pPr>
            <w:r>
              <w:rPr>
                <w:rFonts w:hint="eastAsia" w:ascii="宋体" w:hAnsi="宋体" w:cs="宋体"/>
                <w:b/>
                <w:i/>
                <w:iCs/>
                <w:sz w:val="24"/>
                <w:u w:val="single"/>
              </w:rPr>
              <w:t>表4-2  废气产排污环节名称、污染物种类、排放形式及污染防治设施一览表</w:t>
            </w:r>
          </w:p>
          <w:tbl>
            <w:tblPr>
              <w:tblW w:w="8399"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left w:w="108" w:type="dxa"/>
                <w:right w:w="108" w:type="dxa"/>
              </w:tblCellMar>
            </w:tblPr>
            <w:tblGrid>
              <w:gridCol w:w="1126"/>
              <w:gridCol w:w="1065"/>
              <w:gridCol w:w="958"/>
              <w:gridCol w:w="827"/>
              <w:gridCol w:w="1273"/>
              <w:gridCol w:w="1056"/>
              <w:gridCol w:w="1211"/>
              <w:gridCol w:w="883"/>
            </w:tblGrid>
            <w:tr>
              <w:tc>
                <w:tcPr>
                  <w:tcW w:w="1126" w:type="dxa"/>
                  <w:vAlign w:val="top"/>
                </w:tcPr>
                <w:p>
                  <w:pPr>
                    <w:widowControl/>
                    <w:rPr>
                      <w:rFonts w:ascii="宋体" w:hAnsi="宋体" w:cs="宋体"/>
                      <w:i/>
                      <w:iCs/>
                      <w:szCs w:val="21"/>
                      <w:u w:val="single"/>
                    </w:rPr>
                  </w:pPr>
                  <w:r>
                    <w:rPr>
                      <w:rFonts w:hint="eastAsia" w:ascii="宋体" w:hAnsi="宋体" w:cs="宋体"/>
                      <w:i/>
                      <w:iCs/>
                      <w:szCs w:val="21"/>
                      <w:u w:val="single"/>
                    </w:rPr>
                    <w:t>产排污环节</w:t>
                  </w:r>
                </w:p>
              </w:tc>
              <w:tc>
                <w:tcPr>
                  <w:tcW w:w="1065" w:type="dxa"/>
                  <w:vAlign w:val="top"/>
                </w:tcPr>
                <w:p>
                  <w:pPr>
                    <w:widowControl/>
                    <w:rPr>
                      <w:rFonts w:ascii="宋体" w:hAnsi="宋体" w:cs="宋体"/>
                      <w:i/>
                      <w:iCs/>
                      <w:szCs w:val="21"/>
                      <w:u w:val="single"/>
                    </w:rPr>
                  </w:pPr>
                  <w:r>
                    <w:rPr>
                      <w:rFonts w:hint="eastAsia" w:ascii="宋体" w:hAnsi="宋体" w:cs="宋体"/>
                      <w:i/>
                      <w:iCs/>
                      <w:szCs w:val="21"/>
                      <w:u w:val="single"/>
                    </w:rPr>
                    <w:t>污染物种类</w:t>
                  </w:r>
                </w:p>
              </w:tc>
              <w:tc>
                <w:tcPr>
                  <w:tcW w:w="958" w:type="dxa"/>
                  <w:vAlign w:val="top"/>
                </w:tcPr>
                <w:p>
                  <w:pPr>
                    <w:widowControl/>
                    <w:rPr>
                      <w:rFonts w:ascii="宋体" w:hAnsi="宋体" w:cs="宋体"/>
                      <w:i/>
                      <w:iCs/>
                      <w:szCs w:val="21"/>
                      <w:u w:val="single"/>
                    </w:rPr>
                  </w:pPr>
                  <w:r>
                    <w:rPr>
                      <w:rFonts w:hint="eastAsia" w:ascii="宋体" w:hAnsi="宋体" w:cs="宋体"/>
                      <w:i/>
                      <w:iCs/>
                      <w:szCs w:val="21"/>
                      <w:u w:val="single"/>
                    </w:rPr>
                    <w:t>排放方式</w:t>
                  </w:r>
                </w:p>
              </w:tc>
              <w:tc>
                <w:tcPr>
                  <w:tcW w:w="827" w:type="dxa"/>
                  <w:vAlign w:val="top"/>
                </w:tcPr>
                <w:p>
                  <w:pPr>
                    <w:widowControl/>
                    <w:rPr>
                      <w:rFonts w:ascii="宋体" w:hAnsi="宋体" w:cs="宋体"/>
                      <w:i/>
                      <w:iCs/>
                      <w:szCs w:val="21"/>
                      <w:u w:val="single"/>
                    </w:rPr>
                  </w:pPr>
                  <w:r>
                    <w:rPr>
                      <w:rFonts w:hint="eastAsia" w:ascii="宋体" w:hAnsi="宋体" w:cs="宋体"/>
                      <w:i/>
                      <w:iCs/>
                      <w:szCs w:val="21"/>
                      <w:u w:val="single"/>
                    </w:rPr>
                    <w:t>排放口</w:t>
                  </w:r>
                </w:p>
              </w:tc>
              <w:tc>
                <w:tcPr>
                  <w:tcW w:w="1273" w:type="dxa"/>
                  <w:vAlign w:val="top"/>
                </w:tcPr>
                <w:p>
                  <w:pPr>
                    <w:widowControl/>
                    <w:rPr>
                      <w:rFonts w:ascii="宋体" w:hAnsi="宋体" w:cs="宋体"/>
                      <w:i/>
                      <w:iCs/>
                      <w:szCs w:val="21"/>
                      <w:u w:val="single"/>
                    </w:rPr>
                  </w:pPr>
                  <w:r>
                    <w:rPr>
                      <w:rFonts w:hint="eastAsia" w:ascii="宋体" w:hAnsi="宋体" w:cs="宋体"/>
                      <w:i/>
                      <w:iCs/>
                      <w:szCs w:val="21"/>
                      <w:u w:val="single"/>
                    </w:rPr>
                    <w:t>排放口类型</w:t>
                  </w:r>
                </w:p>
              </w:tc>
              <w:tc>
                <w:tcPr>
                  <w:tcW w:w="1056" w:type="dxa"/>
                  <w:vAlign w:val="top"/>
                </w:tcPr>
                <w:p>
                  <w:pPr>
                    <w:widowControl/>
                    <w:rPr>
                      <w:rFonts w:ascii="宋体" w:hAnsi="宋体" w:cs="宋体"/>
                      <w:i/>
                      <w:iCs/>
                      <w:szCs w:val="21"/>
                      <w:u w:val="single"/>
                    </w:rPr>
                  </w:pPr>
                  <w:r>
                    <w:rPr>
                      <w:rFonts w:hint="eastAsia" w:ascii="宋体" w:hAnsi="宋体" w:cs="宋体"/>
                      <w:i/>
                      <w:iCs/>
                      <w:szCs w:val="21"/>
                      <w:u w:val="single"/>
                    </w:rPr>
                    <w:t>执行标准</w:t>
                  </w:r>
                </w:p>
              </w:tc>
              <w:tc>
                <w:tcPr>
                  <w:tcW w:w="1211" w:type="dxa"/>
                  <w:vAlign w:val="top"/>
                </w:tcPr>
                <w:p>
                  <w:pPr>
                    <w:widowControl/>
                    <w:rPr>
                      <w:rFonts w:ascii="宋体" w:hAnsi="宋体" w:cs="宋体"/>
                      <w:i/>
                      <w:iCs/>
                      <w:szCs w:val="21"/>
                      <w:u w:val="single"/>
                    </w:rPr>
                  </w:pPr>
                  <w:r>
                    <w:rPr>
                      <w:rFonts w:hint="eastAsia" w:ascii="宋体" w:hAnsi="宋体" w:cs="宋体"/>
                      <w:i/>
                      <w:iCs/>
                      <w:szCs w:val="21"/>
                      <w:u w:val="single"/>
                    </w:rPr>
                    <w:t>污染防治措施</w:t>
                  </w:r>
                </w:p>
              </w:tc>
              <w:tc>
                <w:tcPr>
                  <w:tcW w:w="883" w:type="dxa"/>
                  <w:vAlign w:val="top"/>
                </w:tcPr>
                <w:p>
                  <w:pPr>
                    <w:widowControl/>
                    <w:rPr>
                      <w:rFonts w:ascii="宋体" w:hAnsi="宋体" w:cs="宋体"/>
                      <w:i/>
                      <w:iCs/>
                      <w:szCs w:val="21"/>
                      <w:u w:val="single"/>
                    </w:rPr>
                  </w:pPr>
                  <w:r>
                    <w:rPr>
                      <w:rFonts w:hint="eastAsia" w:ascii="宋体" w:hAnsi="宋体" w:cs="宋体"/>
                      <w:i/>
                      <w:iCs/>
                      <w:szCs w:val="21"/>
                      <w:u w:val="single"/>
                    </w:rPr>
                    <w:t>是否为可行技术</w:t>
                  </w:r>
                </w:p>
              </w:tc>
            </w:tr>
            <w:tr>
              <w:tc>
                <w:tcPr>
                  <w:tcW w:w="1126" w:type="dxa"/>
                  <w:vAlign w:val="top"/>
                </w:tcPr>
                <w:p>
                  <w:pPr>
                    <w:widowControl/>
                    <w:rPr>
                      <w:rFonts w:ascii="宋体" w:hAnsi="宋体" w:cs="宋体"/>
                      <w:i/>
                      <w:iCs/>
                      <w:szCs w:val="21"/>
                      <w:u w:val="single"/>
                    </w:rPr>
                  </w:pPr>
                  <w:r>
                    <w:rPr>
                      <w:rFonts w:hint="eastAsia" w:ascii="宋体" w:hAnsi="宋体" w:cs="宋体"/>
                      <w:i/>
                      <w:iCs/>
                      <w:szCs w:val="21"/>
                      <w:u w:val="single"/>
                    </w:rPr>
                    <w:t>废油液抽取</w:t>
                  </w:r>
                </w:p>
              </w:tc>
              <w:tc>
                <w:tcPr>
                  <w:tcW w:w="1065" w:type="dxa"/>
                  <w:vAlign w:val="top"/>
                </w:tcPr>
                <w:p>
                  <w:pPr>
                    <w:widowControl/>
                    <w:rPr>
                      <w:rFonts w:ascii="宋体" w:hAnsi="宋体" w:cs="宋体"/>
                      <w:i/>
                      <w:iCs/>
                      <w:szCs w:val="21"/>
                      <w:u w:val="single"/>
                    </w:rPr>
                  </w:pPr>
                  <w:r>
                    <w:rPr>
                      <w:rFonts w:hint="eastAsia" w:ascii="宋体" w:hAnsi="宋体" w:cs="宋体"/>
                      <w:i/>
                      <w:iCs/>
                      <w:szCs w:val="21"/>
                      <w:u w:val="single"/>
                    </w:rPr>
                    <w:t>非甲烷总烃</w:t>
                  </w:r>
                </w:p>
              </w:tc>
              <w:tc>
                <w:tcPr>
                  <w:tcW w:w="958" w:type="dxa"/>
                  <w:vAlign w:val="top"/>
                </w:tcPr>
                <w:p>
                  <w:pPr>
                    <w:widowControl/>
                    <w:rPr>
                      <w:rFonts w:ascii="宋体" w:hAnsi="宋体" w:cs="宋体"/>
                      <w:i/>
                      <w:iCs/>
                      <w:szCs w:val="21"/>
                      <w:u w:val="single"/>
                    </w:rPr>
                  </w:pPr>
                  <w:r>
                    <w:rPr>
                      <w:rFonts w:hint="eastAsia" w:ascii="宋体" w:hAnsi="宋体" w:cs="宋体"/>
                      <w:i/>
                      <w:iCs/>
                      <w:szCs w:val="21"/>
                      <w:u w:val="single"/>
                    </w:rPr>
                    <w:t>有组织</w:t>
                  </w:r>
                </w:p>
                <w:p>
                  <w:pPr>
                    <w:widowControl/>
                    <w:rPr>
                      <w:rFonts w:ascii="宋体" w:hAnsi="宋体" w:cs="宋体"/>
                      <w:i/>
                      <w:iCs/>
                      <w:szCs w:val="21"/>
                      <w:u w:val="single"/>
                    </w:rPr>
                  </w:pPr>
                  <w:r>
                    <w:rPr>
                      <w:rFonts w:hint="eastAsia" w:ascii="宋体" w:hAnsi="宋体" w:cs="宋体"/>
                      <w:i/>
                      <w:iCs/>
                      <w:szCs w:val="21"/>
                      <w:u w:val="single"/>
                    </w:rPr>
                    <w:t>无组织</w:t>
                  </w:r>
                </w:p>
              </w:tc>
              <w:tc>
                <w:tcPr>
                  <w:tcW w:w="827" w:type="dxa"/>
                  <w:vAlign w:val="top"/>
                </w:tcPr>
                <w:p>
                  <w:pPr>
                    <w:widowControl/>
                    <w:rPr>
                      <w:rFonts w:ascii="宋体" w:hAnsi="宋体" w:cs="宋体"/>
                      <w:i/>
                      <w:iCs/>
                      <w:szCs w:val="21"/>
                      <w:u w:val="single"/>
                    </w:rPr>
                  </w:pPr>
                  <w:r>
                    <w:rPr>
                      <w:rFonts w:hint="eastAsia" w:ascii="宋体" w:hAnsi="宋体" w:cs="宋体"/>
                      <w:i/>
                      <w:iCs/>
                      <w:szCs w:val="21"/>
                      <w:u w:val="single"/>
                    </w:rPr>
                    <w:t>DA001</w:t>
                  </w:r>
                </w:p>
              </w:tc>
              <w:tc>
                <w:tcPr>
                  <w:tcW w:w="1273" w:type="dxa"/>
                  <w:vAlign w:val="top"/>
                </w:tcPr>
                <w:p>
                  <w:pPr>
                    <w:widowControl/>
                    <w:rPr>
                      <w:rFonts w:ascii="宋体" w:hAnsi="宋体" w:cs="宋体"/>
                      <w:i/>
                      <w:iCs/>
                      <w:szCs w:val="21"/>
                      <w:u w:val="single"/>
                    </w:rPr>
                  </w:pPr>
                  <w:r>
                    <w:rPr>
                      <w:rFonts w:hint="eastAsia" w:ascii="宋体" w:hAnsi="宋体" w:cs="宋体"/>
                      <w:i/>
                      <w:iCs/>
                      <w:szCs w:val="21"/>
                      <w:u w:val="single"/>
                    </w:rPr>
                    <w:t>一般排放口</w:t>
                  </w:r>
                </w:p>
              </w:tc>
              <w:tc>
                <w:tcPr>
                  <w:tcW w:w="1056" w:type="dxa"/>
                  <w:vAlign w:val="top"/>
                </w:tcPr>
                <w:p>
                  <w:pPr>
                    <w:widowControl/>
                    <w:rPr>
                      <w:rFonts w:ascii="宋体" w:hAnsi="宋体" w:cs="宋体"/>
                      <w:i/>
                      <w:iCs/>
                      <w:szCs w:val="21"/>
                      <w:u w:val="single"/>
                    </w:rPr>
                  </w:pPr>
                  <w:r>
                    <w:rPr>
                      <w:rFonts w:hint="eastAsia" w:ascii="宋体" w:hAnsi="宋体" w:cs="宋体"/>
                      <w:i/>
                      <w:iCs/>
                      <w:szCs w:val="21"/>
                      <w:u w:val="single"/>
                    </w:rPr>
                    <w:t>GB16297</w:t>
                  </w:r>
                </w:p>
              </w:tc>
              <w:tc>
                <w:tcPr>
                  <w:tcW w:w="1211" w:type="dxa"/>
                  <w:vAlign w:val="top"/>
                </w:tcPr>
                <w:p>
                  <w:pPr>
                    <w:widowControl/>
                    <w:rPr>
                      <w:rFonts w:ascii="宋体" w:hAnsi="宋体" w:cs="宋体"/>
                      <w:i/>
                      <w:iCs/>
                      <w:szCs w:val="21"/>
                      <w:u w:val="single"/>
                    </w:rPr>
                  </w:pPr>
                  <w:r>
                    <w:rPr>
                      <w:rFonts w:hint="eastAsia" w:ascii="宋体" w:hAnsi="宋体" w:cs="宋体"/>
                      <w:i/>
                      <w:iCs/>
                      <w:szCs w:val="21"/>
                      <w:u w:val="single"/>
                    </w:rPr>
                    <w:t>集气罩+活性炭吸附装置</w:t>
                  </w:r>
                </w:p>
              </w:tc>
              <w:tc>
                <w:tcPr>
                  <w:tcW w:w="883" w:type="dxa"/>
                  <w:vAlign w:val="top"/>
                </w:tcPr>
                <w:p>
                  <w:pPr>
                    <w:widowControl/>
                    <w:rPr>
                      <w:rFonts w:ascii="宋体" w:hAnsi="宋体" w:cs="宋体"/>
                      <w:i/>
                      <w:iCs/>
                      <w:szCs w:val="21"/>
                      <w:u w:val="single"/>
                    </w:rPr>
                  </w:pPr>
                  <w:r>
                    <w:rPr>
                      <w:rFonts w:hint="eastAsia" w:ascii="宋体" w:hAnsi="宋体" w:cs="宋体"/>
                      <w:i/>
                      <w:iCs/>
                      <w:szCs w:val="21"/>
                      <w:u w:val="single"/>
                    </w:rPr>
                    <w:t>是</w:t>
                  </w:r>
                </w:p>
              </w:tc>
            </w:tr>
            <w:tr>
              <w:tc>
                <w:tcPr>
                  <w:tcW w:w="1126" w:type="dxa"/>
                  <w:vAlign w:val="top"/>
                </w:tcPr>
                <w:p>
                  <w:pPr>
                    <w:widowControl/>
                    <w:rPr>
                      <w:rFonts w:ascii="宋体" w:hAnsi="宋体" w:cs="宋体"/>
                      <w:i/>
                      <w:iCs/>
                      <w:szCs w:val="21"/>
                      <w:u w:val="single"/>
                    </w:rPr>
                  </w:pPr>
                  <w:r>
                    <w:rPr>
                      <w:rFonts w:hint="eastAsia" w:ascii="宋体" w:hAnsi="宋体" w:cs="宋体"/>
                      <w:i/>
                      <w:iCs/>
                      <w:szCs w:val="21"/>
                      <w:u w:val="single"/>
                    </w:rPr>
                    <w:t>剪切</w:t>
                  </w:r>
                </w:p>
              </w:tc>
              <w:tc>
                <w:tcPr>
                  <w:tcW w:w="1065" w:type="dxa"/>
                  <w:vAlign w:val="top"/>
                </w:tcPr>
                <w:p>
                  <w:pPr>
                    <w:widowControl/>
                    <w:rPr>
                      <w:rFonts w:ascii="宋体" w:hAnsi="宋体" w:cs="宋体"/>
                      <w:i/>
                      <w:iCs/>
                      <w:szCs w:val="21"/>
                      <w:u w:val="single"/>
                    </w:rPr>
                  </w:pPr>
                  <w:r>
                    <w:rPr>
                      <w:rFonts w:hint="eastAsia" w:ascii="宋体" w:hAnsi="宋体" w:cs="宋体"/>
                      <w:i/>
                      <w:iCs/>
                      <w:szCs w:val="21"/>
                      <w:u w:val="single"/>
                    </w:rPr>
                    <w:t>颗粒物</w:t>
                  </w:r>
                </w:p>
              </w:tc>
              <w:tc>
                <w:tcPr>
                  <w:tcW w:w="958" w:type="dxa"/>
                  <w:vAlign w:val="top"/>
                </w:tcPr>
                <w:p>
                  <w:pPr>
                    <w:widowControl/>
                    <w:rPr>
                      <w:rFonts w:ascii="宋体" w:hAnsi="宋体" w:cs="宋体"/>
                      <w:i/>
                      <w:iCs/>
                      <w:szCs w:val="21"/>
                      <w:u w:val="single"/>
                    </w:rPr>
                  </w:pPr>
                  <w:r>
                    <w:rPr>
                      <w:rFonts w:hint="eastAsia" w:ascii="宋体" w:hAnsi="宋体" w:cs="宋体"/>
                      <w:i/>
                      <w:iCs/>
                      <w:szCs w:val="21"/>
                      <w:u w:val="single"/>
                    </w:rPr>
                    <w:t>有组织</w:t>
                  </w:r>
                </w:p>
                <w:p>
                  <w:pPr>
                    <w:widowControl/>
                    <w:rPr>
                      <w:rFonts w:ascii="宋体" w:hAnsi="宋体" w:cs="宋体"/>
                      <w:i/>
                      <w:iCs/>
                      <w:szCs w:val="21"/>
                      <w:u w:val="single"/>
                    </w:rPr>
                  </w:pPr>
                  <w:r>
                    <w:rPr>
                      <w:rFonts w:hint="eastAsia" w:ascii="宋体" w:hAnsi="宋体" w:cs="宋体"/>
                      <w:i/>
                      <w:iCs/>
                      <w:szCs w:val="21"/>
                      <w:u w:val="single"/>
                    </w:rPr>
                    <w:t>无组织</w:t>
                  </w:r>
                </w:p>
              </w:tc>
              <w:tc>
                <w:tcPr>
                  <w:tcW w:w="827" w:type="dxa"/>
                  <w:vAlign w:val="top"/>
                </w:tcPr>
                <w:p>
                  <w:pPr>
                    <w:widowControl/>
                    <w:rPr>
                      <w:rFonts w:ascii="宋体" w:hAnsi="宋体" w:cs="宋体"/>
                      <w:i/>
                      <w:iCs/>
                      <w:szCs w:val="21"/>
                      <w:u w:val="single"/>
                    </w:rPr>
                  </w:pPr>
                  <w:r>
                    <w:rPr>
                      <w:rFonts w:hint="eastAsia" w:ascii="宋体" w:hAnsi="宋体" w:cs="宋体"/>
                      <w:i/>
                      <w:iCs/>
                      <w:szCs w:val="21"/>
                      <w:u w:val="single"/>
                    </w:rPr>
                    <w:t>DA001</w:t>
                  </w:r>
                </w:p>
              </w:tc>
              <w:tc>
                <w:tcPr>
                  <w:tcW w:w="1273" w:type="dxa"/>
                  <w:vAlign w:val="top"/>
                </w:tcPr>
                <w:p>
                  <w:pPr>
                    <w:widowControl/>
                    <w:rPr>
                      <w:rFonts w:ascii="宋体" w:hAnsi="宋体" w:cs="宋体"/>
                      <w:i/>
                      <w:iCs/>
                      <w:szCs w:val="21"/>
                      <w:u w:val="single"/>
                    </w:rPr>
                  </w:pPr>
                  <w:r>
                    <w:rPr>
                      <w:rFonts w:hint="eastAsia" w:ascii="宋体" w:hAnsi="宋体" w:cs="宋体"/>
                      <w:i/>
                      <w:iCs/>
                      <w:szCs w:val="21"/>
                      <w:u w:val="single"/>
                    </w:rPr>
                    <w:t>一般排放口</w:t>
                  </w:r>
                </w:p>
              </w:tc>
              <w:tc>
                <w:tcPr>
                  <w:tcW w:w="1056" w:type="dxa"/>
                  <w:vAlign w:val="top"/>
                </w:tcPr>
                <w:p>
                  <w:pPr>
                    <w:widowControl/>
                    <w:rPr>
                      <w:rFonts w:ascii="宋体" w:hAnsi="宋体" w:cs="宋体"/>
                      <w:i/>
                      <w:iCs/>
                      <w:szCs w:val="21"/>
                      <w:u w:val="single"/>
                    </w:rPr>
                  </w:pPr>
                  <w:r>
                    <w:rPr>
                      <w:rFonts w:hint="eastAsia" w:ascii="宋体" w:hAnsi="宋体" w:cs="宋体"/>
                      <w:i/>
                      <w:iCs/>
                      <w:szCs w:val="21"/>
                      <w:u w:val="single"/>
                    </w:rPr>
                    <w:t>GB16297</w:t>
                  </w:r>
                </w:p>
              </w:tc>
              <w:tc>
                <w:tcPr>
                  <w:tcW w:w="1211" w:type="dxa"/>
                  <w:vAlign w:val="top"/>
                </w:tcPr>
                <w:p>
                  <w:pPr>
                    <w:widowControl/>
                    <w:rPr>
                      <w:rFonts w:ascii="宋体" w:hAnsi="宋体" w:cs="宋体"/>
                      <w:i/>
                      <w:iCs/>
                      <w:szCs w:val="21"/>
                      <w:u w:val="single"/>
                    </w:rPr>
                  </w:pPr>
                  <w:r>
                    <w:rPr>
                      <w:rFonts w:hint="eastAsia" w:ascii="宋体" w:hAnsi="宋体" w:cs="宋体"/>
                      <w:i/>
                      <w:iCs/>
                      <w:szCs w:val="21"/>
                      <w:u w:val="single"/>
                    </w:rPr>
                    <w:t>集气罩+布袋除尘器</w:t>
                  </w:r>
                </w:p>
              </w:tc>
              <w:tc>
                <w:tcPr>
                  <w:tcW w:w="883" w:type="dxa"/>
                  <w:vAlign w:val="top"/>
                </w:tcPr>
                <w:p>
                  <w:pPr>
                    <w:widowControl/>
                    <w:rPr>
                      <w:rFonts w:ascii="宋体" w:hAnsi="宋体" w:cs="宋体"/>
                      <w:i/>
                      <w:iCs/>
                      <w:szCs w:val="21"/>
                      <w:u w:val="single"/>
                    </w:rPr>
                  </w:pPr>
                  <w:r>
                    <w:rPr>
                      <w:rFonts w:hint="eastAsia" w:ascii="宋体" w:hAnsi="宋体" w:cs="宋体"/>
                      <w:i/>
                      <w:iCs/>
                      <w:szCs w:val="21"/>
                      <w:u w:val="single"/>
                    </w:rPr>
                    <w:t>是</w:t>
                  </w:r>
                </w:p>
              </w:tc>
            </w:tr>
            <w:tr>
              <w:tc>
                <w:tcPr>
                  <w:tcW w:w="1126" w:type="dxa"/>
                  <w:vAlign w:val="top"/>
                </w:tcPr>
                <w:p>
                  <w:pPr>
                    <w:widowControl/>
                    <w:rPr>
                      <w:rFonts w:ascii="宋体" w:hAnsi="宋体" w:cs="宋体"/>
                      <w:i/>
                      <w:iCs/>
                      <w:szCs w:val="21"/>
                      <w:u w:val="single"/>
                    </w:rPr>
                  </w:pPr>
                  <w:r>
                    <w:rPr>
                      <w:rFonts w:hint="eastAsia" w:ascii="宋体" w:hAnsi="宋体" w:cs="宋体"/>
                      <w:i/>
                      <w:iCs/>
                      <w:szCs w:val="21"/>
                      <w:u w:val="single"/>
                    </w:rPr>
                    <w:t>危废贮存库废气</w:t>
                  </w:r>
                </w:p>
              </w:tc>
              <w:tc>
                <w:tcPr>
                  <w:tcW w:w="1065" w:type="dxa"/>
                  <w:vAlign w:val="top"/>
                </w:tcPr>
                <w:p>
                  <w:pPr>
                    <w:widowControl/>
                    <w:rPr>
                      <w:rFonts w:ascii="宋体" w:hAnsi="宋体" w:cs="宋体"/>
                      <w:i/>
                      <w:iCs/>
                      <w:szCs w:val="21"/>
                      <w:u w:val="single"/>
                    </w:rPr>
                  </w:pPr>
                  <w:r>
                    <w:rPr>
                      <w:rFonts w:hint="eastAsia" w:ascii="宋体" w:hAnsi="宋体" w:cs="宋体"/>
                      <w:i/>
                      <w:iCs/>
                      <w:szCs w:val="21"/>
                      <w:u w:val="single"/>
                    </w:rPr>
                    <w:t>非甲烷总烃、硫酸雾</w:t>
                  </w:r>
                </w:p>
              </w:tc>
              <w:tc>
                <w:tcPr>
                  <w:tcW w:w="958" w:type="dxa"/>
                  <w:vAlign w:val="top"/>
                </w:tcPr>
                <w:p>
                  <w:pPr>
                    <w:widowControl/>
                    <w:rPr>
                      <w:rFonts w:ascii="宋体" w:hAnsi="宋体" w:cs="宋体"/>
                      <w:i/>
                      <w:iCs/>
                      <w:szCs w:val="21"/>
                      <w:u w:val="single"/>
                    </w:rPr>
                  </w:pPr>
                  <w:r>
                    <w:rPr>
                      <w:rFonts w:hint="eastAsia" w:ascii="宋体" w:hAnsi="宋体" w:cs="宋体"/>
                      <w:i/>
                      <w:iCs/>
                      <w:szCs w:val="21"/>
                      <w:u w:val="single"/>
                    </w:rPr>
                    <w:t>有组织</w:t>
                  </w:r>
                </w:p>
                <w:p>
                  <w:pPr>
                    <w:widowControl/>
                    <w:rPr>
                      <w:rFonts w:ascii="宋体" w:hAnsi="宋体" w:cs="宋体"/>
                      <w:i/>
                      <w:iCs/>
                      <w:szCs w:val="21"/>
                      <w:u w:val="single"/>
                    </w:rPr>
                  </w:pPr>
                  <w:r>
                    <w:rPr>
                      <w:rFonts w:hint="eastAsia" w:ascii="宋体" w:hAnsi="宋体" w:cs="宋体"/>
                      <w:i/>
                      <w:iCs/>
                      <w:szCs w:val="21"/>
                      <w:u w:val="single"/>
                    </w:rPr>
                    <w:t>无组织</w:t>
                  </w:r>
                </w:p>
              </w:tc>
              <w:tc>
                <w:tcPr>
                  <w:tcW w:w="827" w:type="dxa"/>
                  <w:vAlign w:val="top"/>
                </w:tcPr>
                <w:p>
                  <w:pPr>
                    <w:widowControl/>
                    <w:rPr>
                      <w:rFonts w:ascii="宋体" w:hAnsi="宋体" w:cs="宋体"/>
                      <w:i/>
                      <w:iCs/>
                      <w:szCs w:val="21"/>
                      <w:u w:val="single"/>
                    </w:rPr>
                  </w:pPr>
                  <w:r>
                    <w:rPr>
                      <w:rFonts w:hint="eastAsia" w:ascii="宋体" w:hAnsi="宋体" w:cs="宋体"/>
                      <w:i/>
                      <w:iCs/>
                      <w:szCs w:val="21"/>
                      <w:u w:val="single"/>
                    </w:rPr>
                    <w:t>DA001</w:t>
                  </w:r>
                </w:p>
              </w:tc>
              <w:tc>
                <w:tcPr>
                  <w:tcW w:w="1273" w:type="dxa"/>
                  <w:vAlign w:val="top"/>
                </w:tcPr>
                <w:p>
                  <w:pPr>
                    <w:widowControl/>
                    <w:rPr>
                      <w:rFonts w:ascii="宋体" w:hAnsi="宋体" w:cs="宋体"/>
                      <w:i/>
                      <w:iCs/>
                      <w:szCs w:val="21"/>
                      <w:u w:val="single"/>
                    </w:rPr>
                  </w:pPr>
                  <w:r>
                    <w:rPr>
                      <w:rFonts w:hint="eastAsia" w:ascii="宋体" w:hAnsi="宋体" w:cs="宋体"/>
                      <w:i/>
                      <w:iCs/>
                      <w:szCs w:val="21"/>
                      <w:u w:val="single"/>
                    </w:rPr>
                    <w:t>一般排放口</w:t>
                  </w:r>
                </w:p>
              </w:tc>
              <w:tc>
                <w:tcPr>
                  <w:tcW w:w="1056" w:type="dxa"/>
                  <w:vAlign w:val="top"/>
                </w:tcPr>
                <w:p>
                  <w:pPr>
                    <w:widowControl/>
                    <w:rPr>
                      <w:rFonts w:ascii="宋体" w:hAnsi="宋体" w:cs="宋体"/>
                      <w:i/>
                      <w:iCs/>
                      <w:szCs w:val="21"/>
                      <w:u w:val="single"/>
                    </w:rPr>
                  </w:pPr>
                  <w:r>
                    <w:rPr>
                      <w:rFonts w:hint="eastAsia" w:ascii="宋体" w:hAnsi="宋体" w:cs="宋体"/>
                      <w:i/>
                      <w:iCs/>
                      <w:szCs w:val="21"/>
                      <w:u w:val="single"/>
                    </w:rPr>
                    <w:t>GB16297</w:t>
                  </w:r>
                </w:p>
              </w:tc>
              <w:tc>
                <w:tcPr>
                  <w:tcW w:w="1211" w:type="dxa"/>
                  <w:vAlign w:val="top"/>
                </w:tcPr>
                <w:p>
                  <w:pPr>
                    <w:widowControl/>
                    <w:rPr>
                      <w:rFonts w:ascii="宋体" w:hAnsi="宋体" w:cs="宋体"/>
                      <w:i/>
                      <w:iCs/>
                      <w:szCs w:val="21"/>
                      <w:u w:val="single"/>
                    </w:rPr>
                  </w:pPr>
                  <w:r>
                    <w:rPr>
                      <w:rFonts w:hint="eastAsia" w:ascii="宋体" w:hAnsi="宋体" w:cs="宋体"/>
                      <w:i/>
                      <w:iCs/>
                      <w:szCs w:val="21"/>
                      <w:u w:val="single"/>
                    </w:rPr>
                    <w:t>集气罩+活性炭吸附装置</w:t>
                  </w:r>
                </w:p>
              </w:tc>
              <w:tc>
                <w:tcPr>
                  <w:tcW w:w="883" w:type="dxa"/>
                  <w:vAlign w:val="top"/>
                </w:tcPr>
                <w:p>
                  <w:pPr>
                    <w:widowControl/>
                    <w:rPr>
                      <w:rFonts w:ascii="宋体" w:hAnsi="宋体" w:cs="宋体"/>
                      <w:i/>
                      <w:iCs/>
                      <w:szCs w:val="21"/>
                      <w:u w:val="single"/>
                    </w:rPr>
                  </w:pPr>
                  <w:r>
                    <w:rPr>
                      <w:rFonts w:hint="eastAsia" w:ascii="宋体" w:hAnsi="宋体" w:cs="宋体"/>
                      <w:i/>
                      <w:iCs/>
                      <w:szCs w:val="21"/>
                      <w:u w:val="single"/>
                    </w:rPr>
                    <w:t>/</w:t>
                  </w:r>
                </w:p>
              </w:tc>
            </w:tr>
          </w:tbl>
          <w:p>
            <w:pPr>
              <w:widowControl/>
              <w:jc w:val="center"/>
              <w:rPr>
                <w:b/>
                <w:bCs/>
                <w:i/>
                <w:iCs/>
                <w:u w:val="single"/>
              </w:rPr>
            </w:pPr>
          </w:p>
          <w:p>
            <w:pPr>
              <w:widowControl/>
              <w:spacing w:line="360" w:lineRule="auto"/>
              <w:ind w:firstLine="456"/>
              <w:rPr>
                <w:rFonts w:ascii="宋体" w:hAnsi="宋体" w:cs="宋体"/>
                <w:i/>
                <w:iCs/>
                <w:color w:val="000000"/>
                <w:kern w:val="0"/>
                <w:sz w:val="24"/>
                <w:u w:val="single"/>
              </w:rPr>
            </w:pPr>
            <w:r>
              <w:rPr>
                <w:rFonts w:hint="eastAsia" w:ascii="宋体" w:hAnsi="宋体" w:cs="宋体"/>
                <w:i/>
                <w:iCs/>
                <w:color w:val="000000"/>
                <w:kern w:val="0"/>
                <w:sz w:val="24"/>
                <w:u w:val="single"/>
              </w:rPr>
              <w:t>本项目设置一根集中有组织废气排放源DA001，拆解车间剪切工序、油液排空、危废贮存工序废气全部收集至布袋除尘器+活性炭吸附装置，处理达标后排放。废气污染物排放浓度为：颗粒物：1.17mg/m</w:t>
            </w:r>
            <w:r>
              <w:rPr>
                <w:rFonts w:hint="eastAsia" w:ascii="宋体" w:hAnsi="宋体" w:cs="宋体"/>
                <w:i/>
                <w:iCs/>
                <w:color w:val="000000"/>
                <w:kern w:val="0"/>
                <w:sz w:val="24"/>
                <w:u w:val="single"/>
                <w:vertAlign w:val="superscript"/>
              </w:rPr>
              <w:t>3</w:t>
            </w:r>
            <w:r>
              <w:rPr>
                <w:rFonts w:hint="eastAsia" w:ascii="宋体" w:hAnsi="宋体" w:cs="宋体"/>
                <w:i/>
                <w:iCs/>
                <w:color w:val="000000"/>
                <w:kern w:val="0"/>
                <w:sz w:val="24"/>
                <w:u w:val="single"/>
              </w:rPr>
              <w:t>，非甲烷总烃：18mg/m</w:t>
            </w:r>
            <w:r>
              <w:rPr>
                <w:rFonts w:hint="eastAsia" w:ascii="宋体" w:hAnsi="宋体" w:cs="宋体"/>
                <w:i/>
                <w:iCs/>
                <w:color w:val="000000"/>
                <w:kern w:val="0"/>
                <w:sz w:val="24"/>
                <w:u w:val="single"/>
                <w:vertAlign w:val="superscript"/>
              </w:rPr>
              <w:t>3</w:t>
            </w:r>
            <w:r>
              <w:rPr>
                <w:rFonts w:hint="eastAsia" w:ascii="宋体" w:hAnsi="宋体" w:cs="宋体"/>
                <w:i/>
                <w:iCs/>
                <w:color w:val="000000"/>
                <w:kern w:val="0"/>
                <w:sz w:val="24"/>
                <w:u w:val="single"/>
              </w:rPr>
              <w:t>，硫酸雾：4×10</w:t>
            </w:r>
            <w:r>
              <w:rPr>
                <w:rFonts w:hint="eastAsia" w:ascii="宋体" w:hAnsi="宋体" w:cs="宋体"/>
                <w:i/>
                <w:iCs/>
                <w:color w:val="000000"/>
                <w:kern w:val="0"/>
                <w:sz w:val="24"/>
                <w:u w:val="single"/>
                <w:vertAlign w:val="superscript"/>
              </w:rPr>
              <w:t>-5</w:t>
            </w:r>
            <w:r>
              <w:rPr>
                <w:rFonts w:hint="eastAsia" w:ascii="宋体" w:hAnsi="宋体" w:cs="宋体"/>
                <w:i/>
                <w:iCs/>
                <w:color w:val="000000"/>
                <w:kern w:val="0"/>
                <w:sz w:val="24"/>
                <w:u w:val="single"/>
              </w:rPr>
              <w:t>mg/m</w:t>
            </w:r>
            <w:r>
              <w:rPr>
                <w:rFonts w:hint="eastAsia" w:ascii="宋体" w:hAnsi="宋体" w:cs="宋体"/>
                <w:i/>
                <w:iCs/>
                <w:color w:val="000000"/>
                <w:kern w:val="0"/>
                <w:sz w:val="24"/>
                <w:u w:val="single"/>
                <w:vertAlign w:val="superscript"/>
              </w:rPr>
              <w:t>3</w:t>
            </w:r>
            <w:r>
              <w:rPr>
                <w:rFonts w:hint="eastAsia" w:ascii="宋体" w:hAnsi="宋体" w:cs="宋体"/>
                <w:i/>
                <w:iCs/>
                <w:color w:val="000000"/>
                <w:kern w:val="0"/>
                <w:sz w:val="24"/>
                <w:u w:val="single"/>
              </w:rPr>
              <w:t>。排放总量为，颗粒物：0.0007t/a，非甲烷总烃：0.0027t/a，硫酸雾：0.0000003t/a。</w:t>
            </w:r>
          </w:p>
          <w:p>
            <w:pPr>
              <w:jc w:val="center"/>
              <w:rPr>
                <w:rFonts w:ascii="宋体" w:hAnsi="宋体" w:cs="宋体"/>
                <w:b/>
                <w:sz w:val="24"/>
              </w:rPr>
            </w:pPr>
            <w:r>
              <w:rPr>
                <w:rFonts w:hint="eastAsia" w:ascii="宋体" w:hAnsi="宋体" w:cs="宋体"/>
                <w:b/>
                <w:sz w:val="24"/>
              </w:rPr>
              <w:t xml:space="preserve"> 表4-3   排放口基本情况</w:t>
            </w:r>
          </w:p>
          <w:tbl>
            <w:tblPr>
              <w:tblW w:w="8399"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left w:w="108" w:type="dxa"/>
                <w:right w:w="108" w:type="dxa"/>
              </w:tblCellMar>
            </w:tblPr>
            <w:tblGrid>
              <w:gridCol w:w="1049"/>
              <w:gridCol w:w="1247"/>
              <w:gridCol w:w="1155"/>
              <w:gridCol w:w="1095"/>
              <w:gridCol w:w="855"/>
              <w:gridCol w:w="898"/>
              <w:gridCol w:w="1050"/>
              <w:gridCol w:w="1050"/>
            </w:tblGrid>
            <w:tr>
              <w:tc>
                <w:tcPr>
                  <w:tcW w:w="1049" w:type="dxa"/>
                  <w:vMerge w:val="restart"/>
                  <w:vAlign w:val="center"/>
                </w:tcPr>
                <w:p>
                  <w:pPr>
                    <w:pStyle w:val="13"/>
                    <w:jc w:val="center"/>
                    <w:rPr>
                      <w:sz w:val="21"/>
                      <w:szCs w:val="21"/>
                    </w:rPr>
                  </w:pPr>
                  <w:r>
                    <w:rPr>
                      <w:rFonts w:hint="eastAsia"/>
                      <w:sz w:val="21"/>
                      <w:szCs w:val="21"/>
                    </w:rPr>
                    <w:t>污染源名称及编号</w:t>
                  </w:r>
                </w:p>
              </w:tc>
              <w:tc>
                <w:tcPr>
                  <w:tcW w:w="2402" w:type="dxa"/>
                  <w:gridSpan w:val="2"/>
                  <w:vAlign w:val="center"/>
                </w:tcPr>
                <w:p>
                  <w:pPr>
                    <w:pStyle w:val="13"/>
                    <w:jc w:val="center"/>
                    <w:rPr>
                      <w:sz w:val="21"/>
                      <w:szCs w:val="21"/>
                    </w:rPr>
                  </w:pPr>
                  <w:r>
                    <w:rPr>
                      <w:rFonts w:hint="eastAsia"/>
                      <w:sz w:val="21"/>
                      <w:szCs w:val="21"/>
                    </w:rPr>
                    <w:t>排气筒底部中心坐标（°）</w:t>
                  </w:r>
                </w:p>
              </w:tc>
              <w:tc>
                <w:tcPr>
                  <w:tcW w:w="3898" w:type="dxa"/>
                  <w:gridSpan w:val="4"/>
                  <w:vAlign w:val="center"/>
                </w:tcPr>
                <w:p>
                  <w:pPr>
                    <w:pStyle w:val="13"/>
                    <w:jc w:val="center"/>
                    <w:rPr>
                      <w:sz w:val="21"/>
                      <w:szCs w:val="21"/>
                    </w:rPr>
                  </w:pPr>
                  <w:r>
                    <w:rPr>
                      <w:rFonts w:hint="eastAsia"/>
                      <w:sz w:val="21"/>
                      <w:szCs w:val="21"/>
                    </w:rPr>
                    <w:t>排气筒参数</w:t>
                  </w:r>
                </w:p>
              </w:tc>
              <w:tc>
                <w:tcPr>
                  <w:tcW w:w="1050" w:type="dxa"/>
                  <w:vMerge w:val="restart"/>
                  <w:vAlign w:val="center"/>
                </w:tcPr>
                <w:p>
                  <w:pPr>
                    <w:pStyle w:val="13"/>
                    <w:jc w:val="center"/>
                    <w:rPr>
                      <w:sz w:val="21"/>
                      <w:szCs w:val="21"/>
                    </w:rPr>
                  </w:pPr>
                  <w:r>
                    <w:rPr>
                      <w:rFonts w:hint="eastAsia"/>
                      <w:sz w:val="21"/>
                      <w:szCs w:val="21"/>
                    </w:rPr>
                    <w:t>类型</w:t>
                  </w:r>
                </w:p>
              </w:tc>
            </w:tr>
            <w:tr>
              <w:tc>
                <w:tcPr>
                  <w:tcW w:w="1049" w:type="dxa"/>
                  <w:vMerge w:val="continue"/>
                  <w:vAlign w:val="center"/>
                </w:tcPr>
                <w:p>
                  <w:pPr>
                    <w:pStyle w:val="13"/>
                    <w:jc w:val="center"/>
                    <w:rPr>
                      <w:sz w:val="21"/>
                      <w:szCs w:val="21"/>
                    </w:rPr>
                  </w:pPr>
                </w:p>
              </w:tc>
              <w:tc>
                <w:tcPr>
                  <w:tcW w:w="1247" w:type="dxa"/>
                  <w:vAlign w:val="center"/>
                </w:tcPr>
                <w:p>
                  <w:pPr>
                    <w:pStyle w:val="13"/>
                    <w:jc w:val="center"/>
                    <w:rPr>
                      <w:sz w:val="21"/>
                      <w:szCs w:val="21"/>
                    </w:rPr>
                  </w:pPr>
                  <w:r>
                    <w:rPr>
                      <w:rFonts w:hint="eastAsia"/>
                      <w:sz w:val="21"/>
                      <w:szCs w:val="21"/>
                    </w:rPr>
                    <w:t>经度</w:t>
                  </w:r>
                </w:p>
              </w:tc>
              <w:tc>
                <w:tcPr>
                  <w:tcW w:w="1155" w:type="dxa"/>
                  <w:vAlign w:val="center"/>
                </w:tcPr>
                <w:p>
                  <w:pPr>
                    <w:pStyle w:val="13"/>
                    <w:jc w:val="center"/>
                    <w:rPr>
                      <w:sz w:val="21"/>
                      <w:szCs w:val="21"/>
                    </w:rPr>
                  </w:pPr>
                  <w:r>
                    <w:rPr>
                      <w:rFonts w:hint="eastAsia"/>
                      <w:sz w:val="21"/>
                      <w:szCs w:val="21"/>
                    </w:rPr>
                    <w:t>纬度</w:t>
                  </w:r>
                </w:p>
              </w:tc>
              <w:tc>
                <w:tcPr>
                  <w:tcW w:w="1095" w:type="dxa"/>
                  <w:vAlign w:val="center"/>
                </w:tcPr>
                <w:p>
                  <w:pPr>
                    <w:pStyle w:val="13"/>
                    <w:jc w:val="center"/>
                    <w:rPr>
                      <w:sz w:val="21"/>
                      <w:szCs w:val="21"/>
                    </w:rPr>
                  </w:pPr>
                  <w:r>
                    <w:rPr>
                      <w:rFonts w:hint="eastAsia"/>
                      <w:sz w:val="21"/>
                      <w:szCs w:val="21"/>
                    </w:rPr>
                    <w:t>高度（m）</w:t>
                  </w:r>
                </w:p>
              </w:tc>
              <w:tc>
                <w:tcPr>
                  <w:tcW w:w="855" w:type="dxa"/>
                  <w:vAlign w:val="center"/>
                </w:tcPr>
                <w:p>
                  <w:pPr>
                    <w:pStyle w:val="13"/>
                    <w:jc w:val="center"/>
                    <w:rPr>
                      <w:sz w:val="21"/>
                      <w:szCs w:val="21"/>
                    </w:rPr>
                  </w:pPr>
                  <w:r>
                    <w:rPr>
                      <w:rFonts w:hint="eastAsia"/>
                      <w:sz w:val="21"/>
                      <w:szCs w:val="21"/>
                    </w:rPr>
                    <w:t>内径（m）</w:t>
                  </w:r>
                </w:p>
              </w:tc>
              <w:tc>
                <w:tcPr>
                  <w:tcW w:w="898" w:type="dxa"/>
                  <w:vAlign w:val="center"/>
                </w:tcPr>
                <w:p>
                  <w:pPr>
                    <w:pStyle w:val="13"/>
                    <w:jc w:val="center"/>
                    <w:rPr>
                      <w:sz w:val="21"/>
                      <w:szCs w:val="21"/>
                    </w:rPr>
                  </w:pPr>
                  <w:r>
                    <w:rPr>
                      <w:rFonts w:hint="eastAsia"/>
                      <w:sz w:val="21"/>
                      <w:szCs w:val="21"/>
                    </w:rPr>
                    <w:t>温度（℃）</w:t>
                  </w:r>
                </w:p>
              </w:tc>
              <w:tc>
                <w:tcPr>
                  <w:tcW w:w="1050" w:type="dxa"/>
                  <w:vAlign w:val="center"/>
                </w:tcPr>
                <w:p>
                  <w:pPr>
                    <w:pStyle w:val="13"/>
                    <w:jc w:val="center"/>
                    <w:rPr>
                      <w:sz w:val="21"/>
                      <w:szCs w:val="21"/>
                    </w:rPr>
                  </w:pPr>
                  <w:r>
                    <w:rPr>
                      <w:rFonts w:hint="eastAsia"/>
                      <w:sz w:val="21"/>
                      <w:szCs w:val="21"/>
                    </w:rPr>
                    <w:t>风量（m</w:t>
                  </w:r>
                  <w:r>
                    <w:rPr>
                      <w:rFonts w:hint="eastAsia"/>
                      <w:sz w:val="21"/>
                      <w:szCs w:val="21"/>
                      <w:vertAlign w:val="superscript"/>
                    </w:rPr>
                    <w:t>3</w:t>
                  </w:r>
                  <w:r>
                    <w:rPr>
                      <w:rFonts w:hint="eastAsia"/>
                      <w:sz w:val="21"/>
                      <w:szCs w:val="21"/>
                    </w:rPr>
                    <w:t>/h）</w:t>
                  </w:r>
                </w:p>
              </w:tc>
              <w:tc>
                <w:tcPr>
                  <w:tcW w:w="1050" w:type="dxa"/>
                  <w:vMerge w:val="continue"/>
                  <w:vAlign w:val="center"/>
                </w:tcPr>
                <w:p>
                  <w:pPr>
                    <w:pStyle w:val="13"/>
                    <w:jc w:val="center"/>
                    <w:rPr>
                      <w:sz w:val="21"/>
                      <w:szCs w:val="21"/>
                    </w:rPr>
                  </w:pPr>
                </w:p>
              </w:tc>
            </w:tr>
            <w:tr>
              <w:tc>
                <w:tcPr>
                  <w:tcW w:w="1049" w:type="dxa"/>
                  <w:vAlign w:val="center"/>
                </w:tcPr>
                <w:p>
                  <w:pPr>
                    <w:pStyle w:val="13"/>
                    <w:jc w:val="center"/>
                    <w:rPr>
                      <w:sz w:val="21"/>
                      <w:szCs w:val="21"/>
                    </w:rPr>
                  </w:pPr>
                  <w:r>
                    <w:rPr>
                      <w:rFonts w:hint="eastAsia"/>
                      <w:sz w:val="21"/>
                      <w:szCs w:val="21"/>
                    </w:rPr>
                    <w:t>废气排放口DA001</w:t>
                  </w:r>
                </w:p>
              </w:tc>
              <w:tc>
                <w:tcPr>
                  <w:tcW w:w="1247" w:type="dxa"/>
                  <w:vAlign w:val="center"/>
                </w:tcPr>
                <w:p>
                  <w:pPr>
                    <w:pStyle w:val="13"/>
                    <w:jc w:val="center"/>
                    <w:rPr>
                      <w:sz w:val="21"/>
                      <w:szCs w:val="21"/>
                    </w:rPr>
                  </w:pPr>
                  <w:r>
                    <w:rPr>
                      <w:rFonts w:hint="eastAsia"/>
                      <w:sz w:val="21"/>
                      <w:szCs w:val="21"/>
                    </w:rPr>
                    <w:t>125.699216062</w:t>
                  </w:r>
                </w:p>
              </w:tc>
              <w:tc>
                <w:tcPr>
                  <w:tcW w:w="1155" w:type="dxa"/>
                  <w:vAlign w:val="center"/>
                </w:tcPr>
                <w:p>
                  <w:pPr>
                    <w:pStyle w:val="13"/>
                    <w:jc w:val="center"/>
                    <w:rPr>
                      <w:sz w:val="21"/>
                      <w:szCs w:val="21"/>
                    </w:rPr>
                  </w:pPr>
                  <w:r>
                    <w:rPr>
                      <w:rFonts w:hint="eastAsia"/>
                      <w:sz w:val="21"/>
                      <w:szCs w:val="21"/>
                    </w:rPr>
                    <w:t>42.272605164</w:t>
                  </w:r>
                </w:p>
              </w:tc>
              <w:tc>
                <w:tcPr>
                  <w:tcW w:w="1095" w:type="dxa"/>
                  <w:vAlign w:val="center"/>
                </w:tcPr>
                <w:p>
                  <w:pPr>
                    <w:pStyle w:val="13"/>
                    <w:jc w:val="center"/>
                    <w:rPr>
                      <w:sz w:val="21"/>
                      <w:szCs w:val="21"/>
                    </w:rPr>
                  </w:pPr>
                  <w:r>
                    <w:rPr>
                      <w:rFonts w:hint="eastAsia"/>
                      <w:sz w:val="21"/>
                      <w:szCs w:val="21"/>
                    </w:rPr>
                    <w:t>15</w:t>
                  </w:r>
                </w:p>
              </w:tc>
              <w:tc>
                <w:tcPr>
                  <w:tcW w:w="855" w:type="dxa"/>
                  <w:vAlign w:val="center"/>
                </w:tcPr>
                <w:p>
                  <w:pPr>
                    <w:pStyle w:val="13"/>
                    <w:jc w:val="center"/>
                    <w:rPr>
                      <w:sz w:val="21"/>
                      <w:szCs w:val="21"/>
                    </w:rPr>
                  </w:pPr>
                  <w:r>
                    <w:rPr>
                      <w:rFonts w:hint="eastAsia"/>
                      <w:sz w:val="21"/>
                      <w:szCs w:val="21"/>
                    </w:rPr>
                    <w:t>0.3</w:t>
                  </w:r>
                </w:p>
              </w:tc>
              <w:tc>
                <w:tcPr>
                  <w:tcW w:w="898" w:type="dxa"/>
                  <w:vAlign w:val="center"/>
                </w:tcPr>
                <w:p>
                  <w:pPr>
                    <w:pStyle w:val="13"/>
                    <w:jc w:val="center"/>
                    <w:rPr>
                      <w:sz w:val="21"/>
                      <w:szCs w:val="21"/>
                    </w:rPr>
                  </w:pPr>
                  <w:r>
                    <w:rPr>
                      <w:rFonts w:hint="eastAsia"/>
                      <w:sz w:val="21"/>
                      <w:szCs w:val="21"/>
                    </w:rPr>
                    <w:t>常温</w:t>
                  </w:r>
                </w:p>
              </w:tc>
              <w:tc>
                <w:tcPr>
                  <w:tcW w:w="1050" w:type="dxa"/>
                  <w:vAlign w:val="center"/>
                </w:tcPr>
                <w:p>
                  <w:pPr>
                    <w:pStyle w:val="13"/>
                    <w:jc w:val="center"/>
                    <w:rPr>
                      <w:sz w:val="21"/>
                      <w:szCs w:val="21"/>
                    </w:rPr>
                  </w:pPr>
                  <w:r>
                    <w:rPr>
                      <w:rFonts w:hint="eastAsia"/>
                      <w:sz w:val="21"/>
                      <w:szCs w:val="21"/>
                    </w:rPr>
                    <w:t>1500</w:t>
                  </w:r>
                </w:p>
              </w:tc>
              <w:tc>
                <w:tcPr>
                  <w:tcW w:w="1050" w:type="dxa"/>
                  <w:vAlign w:val="center"/>
                </w:tcPr>
                <w:p>
                  <w:pPr>
                    <w:pStyle w:val="13"/>
                    <w:jc w:val="center"/>
                    <w:rPr>
                      <w:sz w:val="21"/>
                      <w:szCs w:val="21"/>
                    </w:rPr>
                  </w:pPr>
                  <w:r>
                    <w:rPr>
                      <w:rFonts w:hint="eastAsia"/>
                      <w:sz w:val="21"/>
                      <w:szCs w:val="21"/>
                    </w:rPr>
                    <w:t>一般排放口</w:t>
                  </w:r>
                </w:p>
              </w:tc>
            </w:tr>
          </w:tbl>
          <w:p>
            <w:pPr>
              <w:adjustRightInd w:val="0"/>
              <w:snapToGrid w:val="0"/>
              <w:spacing w:beforeLines="50" w:line="360" w:lineRule="auto"/>
              <w:ind w:firstLine="480" w:firstLineChars="200"/>
              <w:rPr>
                <w:i/>
                <w:iCs/>
                <w:sz w:val="24"/>
                <w:szCs w:val="20"/>
                <w:u w:val="single"/>
              </w:rPr>
            </w:pPr>
            <w:r>
              <w:rPr>
                <w:rFonts w:hint="eastAsia" w:ascii="宋体" w:hAnsi="宋体" w:cs="宋体"/>
                <w:i/>
                <w:iCs/>
                <w:color w:val="000000"/>
                <w:kern w:val="0"/>
                <w:sz w:val="24"/>
                <w:u w:val="single"/>
              </w:rPr>
              <w:t xml:space="preserve"> </w:t>
            </w:r>
            <w:r>
              <w:rPr>
                <w:rFonts w:hint="eastAsia"/>
                <w:i/>
                <w:iCs/>
                <w:sz w:val="24"/>
                <w:szCs w:val="20"/>
                <w:u w:val="single"/>
              </w:rPr>
              <w:t>（5）排气筒高度合理性分析</w:t>
            </w:r>
          </w:p>
          <w:p>
            <w:pPr>
              <w:adjustRightInd w:val="0"/>
              <w:snapToGrid w:val="0"/>
              <w:spacing w:line="360" w:lineRule="auto"/>
              <w:ind w:firstLine="480" w:firstLineChars="200"/>
              <w:rPr>
                <w:rFonts w:ascii="宋体" w:hAnsi="宋体" w:cs="宋体"/>
                <w:i/>
                <w:iCs/>
                <w:color w:val="000000"/>
                <w:kern w:val="0"/>
                <w:sz w:val="24"/>
                <w:u w:val="single"/>
              </w:rPr>
            </w:pPr>
            <w:r>
              <w:rPr>
                <w:rFonts w:hint="eastAsia" w:ascii="宋体" w:hAnsi="宋体" w:cs="宋体"/>
                <w:i/>
                <w:iCs/>
                <w:color w:val="000000"/>
                <w:kern w:val="0"/>
                <w:sz w:val="24"/>
                <w:u w:val="single"/>
              </w:rPr>
              <w:t xml:space="preserve"> 本项目设置一根有组织废气排气筒，</w:t>
            </w:r>
            <w:r>
              <w:rPr>
                <w:rFonts w:hint="eastAsia"/>
                <w:i/>
                <w:iCs/>
                <w:sz w:val="24"/>
                <w:szCs w:val="20"/>
                <w:u w:val="single"/>
              </w:rPr>
              <w:t>根据《大气污染物综合排放标准》GB16297-1996中7.1规定，排气筒高度除须遵守表列排放速率标准值外，还应高出周围200m半径范围的建筑5m以上。本项目周围无高层建筑，厂区周围200m范围内最高建筑为厂区内办公楼，楼高约为10m，本项目设置排气筒高度15米，满足标准要求。</w:t>
            </w:r>
          </w:p>
          <w:p>
            <w:pPr>
              <w:widowControl/>
              <w:numPr>
                <w:ilvl w:val="0"/>
                <w:numId w:val="1"/>
              </w:numPr>
              <w:ind w:firstLine="480" w:firstLineChars="200"/>
              <w:jc w:val="left"/>
              <w:rPr>
                <w:rFonts w:ascii="宋体" w:hAnsi="宋体" w:cs="宋体"/>
                <w:color w:val="000000"/>
                <w:kern w:val="0"/>
                <w:sz w:val="24"/>
              </w:rPr>
            </w:pPr>
            <w:r>
              <w:rPr>
                <w:rFonts w:hint="eastAsia" w:ascii="宋体" w:hAnsi="宋体" w:cs="宋体"/>
                <w:color w:val="000000"/>
                <w:kern w:val="0"/>
                <w:sz w:val="24"/>
              </w:rPr>
              <w:t>监测计划</w:t>
            </w:r>
          </w:p>
          <w:p>
            <w:pPr>
              <w:widowControl/>
              <w:spacing w:line="360" w:lineRule="auto"/>
              <w:ind w:firstLine="480" w:firstLineChars="200"/>
            </w:pPr>
            <w:r>
              <w:rPr>
                <w:rFonts w:hint="eastAsia" w:ascii="宋体" w:hAnsi="宋体" w:cs="宋体"/>
                <w:color w:val="000000"/>
                <w:kern w:val="0"/>
                <w:sz w:val="24"/>
              </w:rPr>
              <w:t>根据《排污许可证申请与核发技术规范 废弃资源加工企业》（</w:t>
            </w:r>
            <w:r>
              <w:rPr>
                <w:color w:val="000000"/>
                <w:kern w:val="0"/>
                <w:sz w:val="24"/>
              </w:rPr>
              <w:t>HJ1064-2019</w:t>
            </w:r>
            <w:r>
              <w:rPr>
                <w:rFonts w:hint="eastAsia" w:ascii="宋体" w:hAnsi="宋体" w:cs="宋体"/>
                <w:color w:val="000000"/>
                <w:kern w:val="0"/>
                <w:sz w:val="24"/>
              </w:rPr>
              <w:t>）、 《排污单位自行监测技术指南 总则》（</w:t>
            </w:r>
            <w:r>
              <w:rPr>
                <w:color w:val="000000"/>
                <w:kern w:val="0"/>
                <w:sz w:val="24"/>
              </w:rPr>
              <w:t>HJ 819-2017</w:t>
            </w:r>
            <w:r>
              <w:rPr>
                <w:rFonts w:hint="eastAsia" w:ascii="宋体" w:hAnsi="宋体" w:cs="宋体"/>
                <w:color w:val="000000"/>
                <w:kern w:val="0"/>
                <w:sz w:val="24"/>
              </w:rPr>
              <w:t>）及项目排污特点制定本项目废气污染源监测计划情况，详见表</w:t>
            </w:r>
            <w:r>
              <w:rPr>
                <w:color w:val="000000"/>
                <w:kern w:val="0"/>
                <w:sz w:val="24"/>
              </w:rPr>
              <w:t>4-</w:t>
            </w:r>
            <w:r>
              <w:rPr>
                <w:rFonts w:hint="eastAsia"/>
                <w:color w:val="000000"/>
                <w:kern w:val="0"/>
                <w:sz w:val="24"/>
              </w:rPr>
              <w:t>4</w:t>
            </w:r>
            <w:r>
              <w:rPr>
                <w:rFonts w:hint="eastAsia" w:ascii="宋体" w:hAnsi="宋体" w:cs="宋体"/>
                <w:color w:val="000000"/>
                <w:kern w:val="0"/>
                <w:sz w:val="24"/>
              </w:rPr>
              <w:t>。</w:t>
            </w:r>
          </w:p>
          <w:p>
            <w:pPr>
              <w:spacing w:beforeLines="50"/>
              <w:jc w:val="center"/>
              <w:rPr>
                <w:rFonts w:ascii="宋体" w:hAnsi="宋体" w:cs="宋体"/>
                <w:b/>
                <w:sz w:val="24"/>
              </w:rPr>
            </w:pPr>
            <w:r>
              <w:rPr>
                <w:rFonts w:hint="eastAsia" w:ascii="宋体" w:hAnsi="宋体" w:cs="宋体"/>
                <w:b/>
                <w:sz w:val="24"/>
              </w:rPr>
              <w:t>表 4-4 废气污染源监测计划表</w:t>
            </w:r>
          </w:p>
          <w:tbl>
            <w:tblPr>
              <w:tblW w:w="8302"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left w:w="108" w:type="dxa"/>
                <w:right w:w="108" w:type="dxa"/>
              </w:tblCellMar>
            </w:tblPr>
            <w:tblGrid>
              <w:gridCol w:w="1060"/>
              <w:gridCol w:w="1845"/>
              <w:gridCol w:w="1745"/>
              <w:gridCol w:w="1064"/>
              <w:gridCol w:w="2588"/>
            </w:tblGrid>
            <w:tr>
              <w:trPr>
                <w:trHeight w:val="676" w:hRule="atLeast"/>
                <w:jc w:val="center"/>
              </w:trPr>
              <w:tc>
                <w:tcPr>
                  <w:tcW w:w="1060" w:type="dxa"/>
                  <w:tcBorders>
                    <w:tl2br w:val="nil"/>
                    <w:tr2bl w:val="nil"/>
                  </w:tcBorders>
                  <w:vAlign w:val="center"/>
                </w:tcPr>
                <w:p>
                  <w:pPr>
                    <w:pStyle w:val="2"/>
                    <w:jc w:val="center"/>
                    <w:rPr>
                      <w:rFonts w:ascii="宋体" w:hAnsi="宋体" w:cs="宋体"/>
                      <w:color w:val="000000"/>
                      <w:sz w:val="21"/>
                      <w:szCs w:val="21"/>
                    </w:rPr>
                  </w:pPr>
                  <w:r>
                    <w:rPr>
                      <w:rFonts w:hint="eastAsia" w:ascii="宋体" w:hAnsi="宋体" w:cs="宋体"/>
                      <w:color w:val="000000"/>
                      <w:sz w:val="21"/>
                      <w:szCs w:val="21"/>
                    </w:rPr>
                    <w:t>污染源</w:t>
                  </w:r>
                </w:p>
              </w:tc>
              <w:tc>
                <w:tcPr>
                  <w:tcW w:w="1845" w:type="dxa"/>
                  <w:tcBorders>
                    <w:tl2br w:val="nil"/>
                    <w:tr2bl w:val="nil"/>
                  </w:tcBorders>
                  <w:vAlign w:val="center"/>
                </w:tcPr>
                <w:p>
                  <w:pPr>
                    <w:pStyle w:val="2"/>
                    <w:jc w:val="center"/>
                    <w:rPr>
                      <w:rFonts w:ascii="宋体" w:hAnsi="宋体" w:cs="宋体"/>
                      <w:color w:val="000000"/>
                      <w:sz w:val="21"/>
                      <w:szCs w:val="21"/>
                    </w:rPr>
                  </w:pPr>
                  <w:r>
                    <w:rPr>
                      <w:rFonts w:hint="eastAsia" w:ascii="宋体" w:hAnsi="宋体" w:cs="宋体"/>
                      <w:color w:val="000000"/>
                      <w:sz w:val="21"/>
                      <w:szCs w:val="21"/>
                    </w:rPr>
                    <w:t>监测点位</w:t>
                  </w:r>
                </w:p>
              </w:tc>
              <w:tc>
                <w:tcPr>
                  <w:tcW w:w="1745" w:type="dxa"/>
                  <w:tcBorders>
                    <w:tl2br w:val="nil"/>
                    <w:tr2bl w:val="nil"/>
                  </w:tcBorders>
                  <w:vAlign w:val="center"/>
                </w:tcPr>
                <w:p>
                  <w:pPr>
                    <w:pStyle w:val="2"/>
                    <w:jc w:val="center"/>
                    <w:rPr>
                      <w:rFonts w:ascii="宋体" w:hAnsi="宋体" w:cs="宋体"/>
                      <w:color w:val="000000"/>
                      <w:sz w:val="21"/>
                      <w:szCs w:val="21"/>
                    </w:rPr>
                  </w:pPr>
                  <w:r>
                    <w:rPr>
                      <w:rFonts w:hint="eastAsia" w:ascii="宋体" w:hAnsi="宋体" w:cs="宋体"/>
                      <w:color w:val="000000"/>
                      <w:sz w:val="21"/>
                      <w:szCs w:val="21"/>
                    </w:rPr>
                    <w:t>监测指标</w:t>
                  </w:r>
                </w:p>
              </w:tc>
              <w:tc>
                <w:tcPr>
                  <w:tcW w:w="1064" w:type="dxa"/>
                  <w:tcBorders>
                    <w:tl2br w:val="nil"/>
                    <w:tr2bl w:val="nil"/>
                  </w:tcBorders>
                  <w:vAlign w:val="center"/>
                </w:tcPr>
                <w:p>
                  <w:pPr>
                    <w:pStyle w:val="2"/>
                    <w:spacing w:line="240" w:lineRule="auto"/>
                    <w:jc w:val="center"/>
                    <w:rPr>
                      <w:rFonts w:ascii="宋体" w:hAnsi="宋体" w:cs="宋体"/>
                      <w:color w:val="000000"/>
                      <w:sz w:val="21"/>
                      <w:szCs w:val="21"/>
                    </w:rPr>
                  </w:pPr>
                  <w:r>
                    <w:rPr>
                      <w:rFonts w:hint="eastAsia" w:ascii="宋体" w:hAnsi="宋体" w:cs="宋体"/>
                      <w:color w:val="000000"/>
                      <w:sz w:val="21"/>
                      <w:szCs w:val="21"/>
                    </w:rPr>
                    <w:t>监测</w:t>
                  </w:r>
                </w:p>
                <w:p>
                  <w:pPr>
                    <w:pStyle w:val="2"/>
                    <w:spacing w:line="240" w:lineRule="auto"/>
                    <w:jc w:val="center"/>
                    <w:rPr>
                      <w:rFonts w:ascii="宋体" w:hAnsi="宋体" w:cs="宋体"/>
                      <w:color w:val="000000"/>
                      <w:sz w:val="21"/>
                      <w:szCs w:val="21"/>
                    </w:rPr>
                  </w:pPr>
                  <w:r>
                    <w:rPr>
                      <w:rFonts w:hint="eastAsia" w:ascii="宋体" w:hAnsi="宋体" w:cs="宋体"/>
                      <w:color w:val="000000"/>
                      <w:sz w:val="21"/>
                      <w:szCs w:val="21"/>
                    </w:rPr>
                    <w:t>频次</w:t>
                  </w:r>
                </w:p>
              </w:tc>
              <w:tc>
                <w:tcPr>
                  <w:tcW w:w="2588" w:type="dxa"/>
                  <w:tcBorders>
                    <w:tl2br w:val="nil"/>
                    <w:tr2bl w:val="nil"/>
                  </w:tcBorders>
                  <w:vAlign w:val="center"/>
                </w:tcPr>
                <w:p>
                  <w:pPr>
                    <w:pStyle w:val="2"/>
                    <w:jc w:val="center"/>
                    <w:rPr>
                      <w:rFonts w:ascii="宋体" w:hAnsi="宋体" w:cs="宋体"/>
                      <w:color w:val="000000"/>
                      <w:sz w:val="21"/>
                      <w:szCs w:val="21"/>
                    </w:rPr>
                  </w:pPr>
                  <w:r>
                    <w:rPr>
                      <w:rFonts w:hint="eastAsia" w:ascii="宋体" w:hAnsi="宋体" w:cs="宋体"/>
                      <w:color w:val="000000"/>
                      <w:sz w:val="21"/>
                      <w:szCs w:val="21"/>
                    </w:rPr>
                    <w:t>排放执行标准</w:t>
                  </w:r>
                </w:p>
              </w:tc>
            </w:tr>
            <w:tr>
              <w:trPr>
                <w:trHeight w:val="708" w:hRule="atLeast"/>
                <w:jc w:val="center"/>
              </w:trPr>
              <w:tc>
                <w:tcPr>
                  <w:tcW w:w="1060" w:type="dxa"/>
                  <w:tcBorders>
                    <w:tl2br w:val="nil"/>
                    <w:tr2bl w:val="nil"/>
                  </w:tcBorders>
                  <w:vAlign w:val="center"/>
                </w:tcPr>
                <w:p>
                  <w:pPr>
                    <w:pStyle w:val="2"/>
                    <w:jc w:val="center"/>
                    <w:rPr>
                      <w:rFonts w:ascii="宋体" w:hAnsi="宋体" w:cs="宋体"/>
                      <w:color w:val="000000"/>
                      <w:sz w:val="21"/>
                      <w:szCs w:val="21"/>
                    </w:rPr>
                  </w:pPr>
                  <w:r>
                    <w:rPr>
                      <w:rFonts w:hint="eastAsia" w:ascii="宋体" w:hAnsi="宋体" w:cs="宋体"/>
                      <w:color w:val="000000"/>
                      <w:sz w:val="21"/>
                      <w:szCs w:val="21"/>
                    </w:rPr>
                    <w:t>废气</w:t>
                  </w:r>
                </w:p>
              </w:tc>
              <w:tc>
                <w:tcPr>
                  <w:tcW w:w="1845" w:type="dxa"/>
                  <w:tcBorders>
                    <w:tl2br w:val="nil"/>
                    <w:tr2bl w:val="nil"/>
                  </w:tcBorders>
                  <w:vAlign w:val="center"/>
                </w:tcPr>
                <w:p>
                  <w:pPr>
                    <w:widowControl/>
                    <w:jc w:val="center"/>
                    <w:rPr>
                      <w:rFonts w:ascii="宋体" w:hAnsi="宋体" w:cs="宋体"/>
                      <w:color w:val="000000"/>
                      <w:szCs w:val="21"/>
                    </w:rPr>
                  </w:pPr>
                  <w:r>
                    <w:rPr>
                      <w:rFonts w:hint="eastAsia" w:ascii="宋体" w:hAnsi="宋体" w:cs="宋体"/>
                      <w:color w:val="000000"/>
                      <w:kern w:val="0"/>
                      <w:szCs w:val="21"/>
                    </w:rPr>
                    <w:t>DA001（废气排放汇集前分别监测）</w:t>
                  </w:r>
                </w:p>
              </w:tc>
              <w:tc>
                <w:tcPr>
                  <w:tcW w:w="1745" w:type="dxa"/>
                  <w:tcBorders>
                    <w:tl2br w:val="nil"/>
                    <w:tr2bl w:val="nil"/>
                  </w:tcBorders>
                  <w:vAlign w:val="center"/>
                </w:tcPr>
                <w:p>
                  <w:pPr>
                    <w:widowControl/>
                    <w:jc w:val="center"/>
                    <w:rPr>
                      <w:rFonts w:ascii="宋体" w:hAnsi="宋体" w:cs="宋体"/>
                      <w:color w:val="000000"/>
                      <w:szCs w:val="21"/>
                    </w:rPr>
                  </w:pPr>
                  <w:r>
                    <w:rPr>
                      <w:rFonts w:hint="eastAsia" w:ascii="宋体" w:hAnsi="宋体" w:cs="宋体"/>
                      <w:color w:val="000000"/>
                      <w:kern w:val="0"/>
                      <w:szCs w:val="21"/>
                    </w:rPr>
                    <w:t>颗粒物、非甲烷总烃、硫酸雾</w:t>
                  </w:r>
                </w:p>
              </w:tc>
              <w:tc>
                <w:tcPr>
                  <w:tcW w:w="1064" w:type="dxa"/>
                  <w:tcBorders>
                    <w:tl2br w:val="nil"/>
                    <w:tr2bl w:val="nil"/>
                  </w:tcBorders>
                  <w:vAlign w:val="center"/>
                </w:tcPr>
                <w:p>
                  <w:pPr>
                    <w:widowControl/>
                    <w:jc w:val="center"/>
                    <w:rPr>
                      <w:rFonts w:ascii="宋体" w:hAnsi="宋体" w:cs="宋体"/>
                      <w:color w:val="000000"/>
                      <w:szCs w:val="21"/>
                    </w:rPr>
                  </w:pPr>
                  <w:r>
                    <w:rPr>
                      <w:rFonts w:hint="eastAsia" w:ascii="宋体" w:hAnsi="宋体" w:cs="宋体"/>
                      <w:color w:val="000000"/>
                      <w:kern w:val="0"/>
                      <w:szCs w:val="21"/>
                    </w:rPr>
                    <w:t>1 次/年</w:t>
                  </w:r>
                </w:p>
              </w:tc>
              <w:tc>
                <w:tcPr>
                  <w:tcW w:w="2588" w:type="dxa"/>
                  <w:vMerge w:val="restart"/>
                  <w:tcBorders>
                    <w:tl2br w:val="nil"/>
                    <w:tr2bl w:val="nil"/>
                  </w:tcBorders>
                  <w:vAlign w:val="center"/>
                </w:tcPr>
                <w:p>
                  <w:pPr>
                    <w:widowControl/>
                    <w:jc w:val="center"/>
                    <w:rPr>
                      <w:rFonts w:ascii="宋体" w:hAnsi="宋体" w:cs="宋体"/>
                      <w:color w:val="000000"/>
                      <w:szCs w:val="21"/>
                    </w:rPr>
                  </w:pPr>
                  <w:r>
                    <w:rPr>
                      <w:rFonts w:hint="eastAsia" w:ascii="宋体" w:hAnsi="宋体" w:cs="宋体"/>
                      <w:color w:val="000000"/>
                      <w:kern w:val="0"/>
                      <w:szCs w:val="21"/>
                    </w:rPr>
                    <w:t>《大气污染物综合排放</w:t>
                  </w:r>
                </w:p>
                <w:p>
                  <w:pPr>
                    <w:widowControl/>
                    <w:jc w:val="center"/>
                    <w:rPr>
                      <w:rFonts w:ascii="宋体" w:hAnsi="宋体" w:cs="宋体"/>
                      <w:color w:val="000000"/>
                      <w:szCs w:val="21"/>
                    </w:rPr>
                  </w:pPr>
                  <w:r>
                    <w:rPr>
                      <w:rFonts w:hint="eastAsia" w:ascii="宋体" w:hAnsi="宋体" w:cs="宋体"/>
                      <w:color w:val="000000"/>
                      <w:kern w:val="0"/>
                      <w:szCs w:val="21"/>
                    </w:rPr>
                    <w:t>标准》（GB16297-1996）</w:t>
                  </w:r>
                </w:p>
              </w:tc>
            </w:tr>
            <w:tr>
              <w:trPr>
                <w:trHeight w:val="636" w:hRule="atLeast"/>
                <w:jc w:val="center"/>
              </w:trPr>
              <w:tc>
                <w:tcPr>
                  <w:tcW w:w="1060" w:type="dxa"/>
                  <w:tcBorders>
                    <w:tl2br w:val="nil"/>
                    <w:tr2bl w:val="nil"/>
                  </w:tcBorders>
                  <w:vAlign w:val="center"/>
                </w:tcPr>
                <w:p>
                  <w:pPr>
                    <w:pStyle w:val="2"/>
                    <w:spacing w:line="240" w:lineRule="auto"/>
                    <w:jc w:val="center"/>
                    <w:rPr>
                      <w:rFonts w:ascii="宋体" w:hAnsi="宋体" w:cs="宋体"/>
                      <w:color w:val="000000"/>
                      <w:sz w:val="21"/>
                      <w:szCs w:val="21"/>
                    </w:rPr>
                  </w:pPr>
                  <w:r>
                    <w:rPr>
                      <w:rFonts w:hint="eastAsia" w:ascii="宋体" w:hAnsi="宋体" w:cs="宋体"/>
                      <w:color w:val="000000"/>
                      <w:sz w:val="21"/>
                      <w:szCs w:val="21"/>
                    </w:rPr>
                    <w:t>无组织</w:t>
                  </w:r>
                </w:p>
              </w:tc>
              <w:tc>
                <w:tcPr>
                  <w:tcW w:w="1845" w:type="dxa"/>
                  <w:tcBorders>
                    <w:tl2br w:val="nil"/>
                    <w:tr2bl w:val="nil"/>
                  </w:tcBorders>
                  <w:vAlign w:val="center"/>
                </w:tcPr>
                <w:p>
                  <w:pPr>
                    <w:pStyle w:val="2"/>
                    <w:spacing w:line="240" w:lineRule="auto"/>
                    <w:jc w:val="center"/>
                    <w:rPr>
                      <w:rFonts w:ascii="宋体" w:hAnsi="宋体" w:cs="宋体"/>
                      <w:color w:val="000000"/>
                      <w:sz w:val="21"/>
                      <w:szCs w:val="21"/>
                    </w:rPr>
                  </w:pPr>
                  <w:r>
                    <w:rPr>
                      <w:rFonts w:hint="eastAsia" w:ascii="宋体" w:hAnsi="宋体" w:cs="宋体"/>
                      <w:color w:val="000000"/>
                      <w:sz w:val="21"/>
                      <w:szCs w:val="21"/>
                    </w:rPr>
                    <w:t>厂界上、下风向</w:t>
                  </w:r>
                </w:p>
              </w:tc>
              <w:tc>
                <w:tcPr>
                  <w:tcW w:w="1745" w:type="dxa"/>
                  <w:tcBorders>
                    <w:tl2br w:val="nil"/>
                    <w:tr2bl w:val="nil"/>
                  </w:tcBorders>
                  <w:vAlign w:val="center"/>
                </w:tcPr>
                <w:p>
                  <w:pPr>
                    <w:pStyle w:val="2"/>
                    <w:spacing w:line="240" w:lineRule="auto"/>
                    <w:jc w:val="center"/>
                    <w:rPr>
                      <w:rFonts w:ascii="宋体" w:hAnsi="宋体" w:cs="宋体"/>
                      <w:color w:val="000000"/>
                      <w:sz w:val="21"/>
                      <w:szCs w:val="21"/>
                    </w:rPr>
                  </w:pPr>
                  <w:r>
                    <w:rPr>
                      <w:rFonts w:hint="eastAsia" w:ascii="宋体" w:hAnsi="宋体" w:cs="宋体"/>
                      <w:color w:val="000000"/>
                      <w:sz w:val="21"/>
                      <w:szCs w:val="21"/>
                    </w:rPr>
                    <w:t>颗粒物、非甲烷总烃、硫酸雾</w:t>
                  </w:r>
                </w:p>
              </w:tc>
              <w:tc>
                <w:tcPr>
                  <w:tcW w:w="1064" w:type="dxa"/>
                  <w:tcBorders>
                    <w:tl2br w:val="nil"/>
                    <w:tr2bl w:val="nil"/>
                  </w:tcBorders>
                  <w:vAlign w:val="center"/>
                </w:tcPr>
                <w:p>
                  <w:pPr>
                    <w:pStyle w:val="2"/>
                    <w:spacing w:line="240" w:lineRule="auto"/>
                    <w:jc w:val="center"/>
                    <w:rPr>
                      <w:rFonts w:ascii="宋体" w:hAnsi="宋体" w:cs="宋体"/>
                      <w:color w:val="000000"/>
                      <w:sz w:val="21"/>
                      <w:szCs w:val="21"/>
                    </w:rPr>
                  </w:pPr>
                  <w:r>
                    <w:rPr>
                      <w:rFonts w:hint="eastAsia" w:ascii="宋体" w:hAnsi="宋体" w:cs="宋体"/>
                      <w:color w:val="000000"/>
                      <w:kern w:val="0"/>
                      <w:sz w:val="21"/>
                      <w:szCs w:val="21"/>
                    </w:rPr>
                    <w:t>1 次/年</w:t>
                  </w:r>
                </w:p>
              </w:tc>
              <w:tc>
                <w:tcPr>
                  <w:tcW w:w="2588" w:type="dxa"/>
                  <w:vMerge w:val="continue"/>
                  <w:tcBorders>
                    <w:tl2br w:val="nil"/>
                    <w:tr2bl w:val="nil"/>
                  </w:tcBorders>
                  <w:vAlign w:val="center"/>
                </w:tcPr>
                <w:p>
                  <w:pPr>
                    <w:pStyle w:val="2"/>
                    <w:spacing w:line="240" w:lineRule="auto"/>
                    <w:jc w:val="center"/>
                    <w:rPr>
                      <w:rFonts w:ascii="宋体" w:hAnsi="宋体" w:cs="宋体"/>
                      <w:color w:val="000000"/>
                      <w:sz w:val="21"/>
                      <w:szCs w:val="21"/>
                    </w:rPr>
                  </w:pPr>
                </w:p>
              </w:tc>
            </w:tr>
            <w:tr>
              <w:trPr>
                <w:trHeight w:val="840" w:hRule="atLeast"/>
                <w:jc w:val="center"/>
              </w:trPr>
              <w:tc>
                <w:tcPr>
                  <w:tcW w:w="1060" w:type="dxa"/>
                  <w:tcBorders>
                    <w:tl2br w:val="nil"/>
                    <w:tr2bl w:val="nil"/>
                  </w:tcBorders>
                  <w:vAlign w:val="center"/>
                </w:tcPr>
                <w:p>
                  <w:pPr>
                    <w:pStyle w:val="2"/>
                    <w:spacing w:line="240" w:lineRule="auto"/>
                    <w:jc w:val="center"/>
                    <w:rPr>
                      <w:rFonts w:ascii="宋体" w:hAnsi="宋体" w:cs="宋体"/>
                      <w:color w:val="000000"/>
                      <w:sz w:val="21"/>
                      <w:szCs w:val="21"/>
                    </w:rPr>
                  </w:pPr>
                  <w:r>
                    <w:rPr>
                      <w:rFonts w:hint="eastAsia" w:ascii="宋体" w:hAnsi="宋体" w:cs="宋体"/>
                      <w:color w:val="000000"/>
                      <w:sz w:val="21"/>
                      <w:szCs w:val="21"/>
                    </w:rPr>
                    <w:t>厂区内</w:t>
                  </w:r>
                </w:p>
              </w:tc>
              <w:tc>
                <w:tcPr>
                  <w:tcW w:w="1845" w:type="dxa"/>
                  <w:tcBorders>
                    <w:tl2br w:val="nil"/>
                    <w:tr2bl w:val="nil"/>
                  </w:tcBorders>
                  <w:vAlign w:val="center"/>
                </w:tcPr>
                <w:p>
                  <w:pPr>
                    <w:pStyle w:val="2"/>
                    <w:spacing w:line="240" w:lineRule="auto"/>
                    <w:jc w:val="center"/>
                    <w:rPr>
                      <w:rFonts w:ascii="宋体" w:hAnsi="宋体" w:cs="宋体"/>
                      <w:color w:val="000000"/>
                      <w:sz w:val="21"/>
                      <w:szCs w:val="21"/>
                    </w:rPr>
                  </w:pPr>
                  <w:r>
                    <w:rPr>
                      <w:rFonts w:hint="eastAsia" w:ascii="宋体" w:hAnsi="宋体" w:cs="宋体"/>
                      <w:color w:val="000000"/>
                      <w:sz w:val="21"/>
                      <w:szCs w:val="21"/>
                    </w:rPr>
                    <w:t>拆解车间外1m</w:t>
                  </w:r>
                </w:p>
              </w:tc>
              <w:tc>
                <w:tcPr>
                  <w:tcW w:w="1745" w:type="dxa"/>
                  <w:tcBorders>
                    <w:tl2br w:val="nil"/>
                    <w:tr2bl w:val="nil"/>
                  </w:tcBorders>
                  <w:vAlign w:val="center"/>
                </w:tcPr>
                <w:p>
                  <w:pPr>
                    <w:pStyle w:val="2"/>
                    <w:spacing w:line="240" w:lineRule="auto"/>
                    <w:jc w:val="center"/>
                    <w:rPr>
                      <w:rFonts w:ascii="宋体" w:hAnsi="宋体" w:cs="宋体"/>
                      <w:color w:val="000000"/>
                      <w:sz w:val="21"/>
                      <w:szCs w:val="21"/>
                    </w:rPr>
                  </w:pPr>
                  <w:r>
                    <w:rPr>
                      <w:rFonts w:hint="eastAsia" w:ascii="宋体" w:hAnsi="宋体" w:cs="宋体"/>
                      <w:color w:val="000000"/>
                      <w:sz w:val="21"/>
                      <w:szCs w:val="21"/>
                    </w:rPr>
                    <w:t>非甲烷总烃</w:t>
                  </w:r>
                </w:p>
              </w:tc>
              <w:tc>
                <w:tcPr>
                  <w:tcW w:w="1064" w:type="dxa"/>
                  <w:tcBorders>
                    <w:tl2br w:val="nil"/>
                    <w:tr2bl w:val="nil"/>
                  </w:tcBorders>
                  <w:vAlign w:val="center"/>
                </w:tcPr>
                <w:p>
                  <w:pPr>
                    <w:pStyle w:val="2"/>
                    <w:spacing w:line="240" w:lineRule="auto"/>
                    <w:jc w:val="center"/>
                    <w:rPr>
                      <w:rFonts w:ascii="宋体" w:hAnsi="宋体" w:cs="宋体"/>
                      <w:color w:val="000000"/>
                      <w:sz w:val="21"/>
                      <w:szCs w:val="21"/>
                    </w:rPr>
                  </w:pPr>
                  <w:r>
                    <w:rPr>
                      <w:rFonts w:hint="eastAsia" w:ascii="宋体" w:hAnsi="宋体" w:cs="宋体"/>
                      <w:color w:val="000000"/>
                      <w:sz w:val="21"/>
                      <w:szCs w:val="21"/>
                    </w:rPr>
                    <w:t>1次/年</w:t>
                  </w:r>
                </w:p>
              </w:tc>
              <w:tc>
                <w:tcPr>
                  <w:tcW w:w="2588" w:type="dxa"/>
                  <w:tcBorders>
                    <w:tl2br w:val="nil"/>
                    <w:tr2bl w:val="nil"/>
                  </w:tcBorders>
                  <w:vAlign w:val="center"/>
                </w:tcPr>
                <w:p>
                  <w:pPr>
                    <w:pStyle w:val="2"/>
                    <w:spacing w:line="240" w:lineRule="auto"/>
                    <w:jc w:val="center"/>
                    <w:rPr>
                      <w:rFonts w:ascii="宋体" w:hAnsi="宋体" w:cs="宋体"/>
                      <w:color w:val="000000"/>
                      <w:sz w:val="21"/>
                      <w:szCs w:val="21"/>
                    </w:rPr>
                  </w:pPr>
                  <w:r>
                    <w:rPr>
                      <w:rFonts w:hint="eastAsia" w:ascii="宋体" w:hAnsi="宋体" w:cs="宋体"/>
                      <w:color w:val="000000"/>
                      <w:sz w:val="21"/>
                      <w:szCs w:val="21"/>
                    </w:rPr>
                    <w:t>《挥发性有机物无组织排放控制标准》（GB37822-2019）中特别排放限值</w:t>
                  </w:r>
                </w:p>
              </w:tc>
            </w:tr>
          </w:tbl>
          <w:p>
            <w:pPr>
              <w:widowControl/>
              <w:spacing w:line="360" w:lineRule="auto"/>
              <w:ind w:firstLine="480" w:firstLineChars="200"/>
              <w:rPr>
                <w:rFonts w:ascii="宋体" w:hAnsi="宋体" w:cs="宋体"/>
                <w:sz w:val="24"/>
              </w:rPr>
            </w:pPr>
            <w:r>
              <w:rPr>
                <w:rFonts w:hint="eastAsia" w:ascii="宋体" w:hAnsi="宋体" w:cs="宋体"/>
                <w:color w:val="000000"/>
                <w:kern w:val="0"/>
                <w:sz w:val="24"/>
              </w:rPr>
              <w:t>3、污染防治措施及达标性分析</w:t>
            </w:r>
          </w:p>
          <w:p>
            <w:pPr>
              <w:widowControl/>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本项目拟在拆解预处理工位设置集气罩，收集拆解预处理废液排空产生的废气。经收集后的废气由活性炭吸附装置进行净化，处理后的废气经15m 高排气筒排放（DA001）。有组织非甲烷总烃排放速率及排放浓度满足《大气污染物综合排放标准》（GB16297-1996）表2新污染源大气污染排放限值中二级排放标准要求。未收集的非甲烷总烃以无组织排放，可满足《大气污染物综合排放标准》（</w:t>
            </w:r>
            <w:r>
              <w:rPr>
                <w:color w:val="000000"/>
                <w:kern w:val="0"/>
                <w:sz w:val="24"/>
              </w:rPr>
              <w:t>GB16297-1996</w:t>
            </w:r>
            <w:r>
              <w:rPr>
                <w:rFonts w:hint="eastAsia" w:ascii="宋体" w:hAnsi="宋体" w:cs="宋体"/>
                <w:color w:val="000000"/>
                <w:kern w:val="0"/>
                <w:sz w:val="24"/>
              </w:rPr>
              <w:t>）中表</w:t>
            </w:r>
            <w:r>
              <w:rPr>
                <w:color w:val="000000"/>
                <w:kern w:val="0"/>
                <w:sz w:val="24"/>
              </w:rPr>
              <w:t>2</w:t>
            </w:r>
            <w:r>
              <w:rPr>
                <w:rFonts w:hint="eastAsia" w:ascii="宋体" w:hAnsi="宋体" w:cs="宋体"/>
                <w:color w:val="000000"/>
                <w:kern w:val="0"/>
                <w:sz w:val="24"/>
              </w:rPr>
              <w:t>新污染源无组织排放浓度限值，厂内非甲烷总烃无组织排放浓度能够满足《挥发性有机物无组织排放控制标准》（</w:t>
            </w:r>
            <w:r>
              <w:rPr>
                <w:color w:val="000000"/>
                <w:kern w:val="0"/>
                <w:sz w:val="24"/>
              </w:rPr>
              <w:t>GB37822-2019</w:t>
            </w:r>
            <w:r>
              <w:rPr>
                <w:rFonts w:hint="eastAsia" w:ascii="宋体" w:hAnsi="宋体" w:cs="宋体"/>
                <w:color w:val="000000"/>
                <w:kern w:val="0"/>
                <w:sz w:val="24"/>
              </w:rPr>
              <w:t>）中特别排放限值。</w:t>
            </w:r>
          </w:p>
          <w:p>
            <w:pPr>
              <w:widowControl/>
              <w:spacing w:line="360" w:lineRule="auto"/>
              <w:ind w:firstLine="480" w:firstLineChars="200"/>
              <w:rPr>
                <w:rFonts w:ascii="宋体" w:hAnsi="宋体" w:cs="宋体"/>
                <w:i/>
                <w:iCs/>
                <w:sz w:val="24"/>
                <w:u w:val="single"/>
              </w:rPr>
            </w:pPr>
            <w:r>
              <w:rPr>
                <w:rFonts w:hint="eastAsia" w:ascii="宋体" w:hAnsi="宋体" w:cs="宋体"/>
                <w:i/>
                <w:iCs/>
                <w:color w:val="000000"/>
                <w:kern w:val="0"/>
                <w:sz w:val="24"/>
                <w:u w:val="single"/>
              </w:rPr>
              <w:t>本项目危险废物暂存间内设置集气罩+活性炭吸附装置对危险废物贮存区产生的非甲烷总烃进行处理，暂存间</w:t>
            </w:r>
            <w:r>
              <w:rPr>
                <w:rFonts w:ascii="宋体" w:hAnsi="宋体" w:cs="宋体"/>
                <w:i/>
                <w:iCs/>
                <w:color w:val="000000"/>
                <w:kern w:val="0"/>
                <w:sz w:val="24"/>
                <w:u w:val="single"/>
              </w:rPr>
              <w:t>配套防爆变频引风机，库内持续维持-5</w:t>
            </w:r>
            <w:r>
              <w:rPr>
                <w:rFonts w:hint="eastAsia" w:ascii="宋体" w:hAnsi="宋体" w:cs="宋体"/>
                <w:i/>
                <w:iCs/>
                <w:color w:val="000000"/>
                <w:kern w:val="0"/>
                <w:sz w:val="24"/>
                <w:u w:val="single"/>
              </w:rPr>
              <w:t>~</w:t>
            </w:r>
            <w:r>
              <w:rPr>
                <w:rFonts w:ascii="宋体" w:hAnsi="宋体" w:cs="宋体"/>
                <w:i/>
                <w:iCs/>
                <w:color w:val="000000"/>
                <w:kern w:val="0"/>
                <w:sz w:val="24"/>
                <w:u w:val="single"/>
              </w:rPr>
              <w:t>-10Pa微负压，形成室内气压低于室外，空气由室外单向流入库内，抑制 VOCs、</w:t>
            </w:r>
            <w:r>
              <w:rPr>
                <w:rFonts w:hint="eastAsia" w:ascii="宋体" w:hAnsi="宋体" w:cs="宋体"/>
                <w:i/>
                <w:iCs/>
                <w:color w:val="000000"/>
                <w:kern w:val="0"/>
                <w:sz w:val="24"/>
                <w:u w:val="single"/>
              </w:rPr>
              <w:t>气体</w:t>
            </w:r>
            <w:r>
              <w:rPr>
                <w:rFonts w:ascii="宋体" w:hAnsi="宋体" w:cs="宋体"/>
                <w:i/>
                <w:iCs/>
                <w:color w:val="000000"/>
                <w:kern w:val="0"/>
                <w:sz w:val="24"/>
                <w:u w:val="single"/>
              </w:rPr>
              <w:t>向外扩散，实现废气有组织收集。</w:t>
            </w:r>
            <w:r>
              <w:rPr>
                <w:rFonts w:hint="eastAsia" w:ascii="宋体" w:hAnsi="宋体" w:cs="宋体"/>
                <w:i/>
                <w:iCs/>
                <w:color w:val="000000"/>
                <w:kern w:val="0"/>
                <w:sz w:val="24"/>
                <w:u w:val="single"/>
              </w:rPr>
              <w:t>危废贮存过程产生的非甲烷总烃经负压集气系统+活性炭吸附装置处理后与油液抽放生产区有机废气经同一根15m高排气筒（DA001）排放，有组织非甲烷总烃排放浓度满足《大气污染物综合排放标准》（GB16297-1996）表2新污染源大气污染排放限值中二级排放标准要求。未收集的非甲烷总烃以无组织排放，可满足《大气污染物综合排放标准》（</w:t>
            </w:r>
            <w:r>
              <w:rPr>
                <w:i/>
                <w:iCs/>
                <w:color w:val="000000"/>
                <w:kern w:val="0"/>
                <w:sz w:val="24"/>
                <w:u w:val="single"/>
              </w:rPr>
              <w:t>GB16297-1996</w:t>
            </w:r>
            <w:r>
              <w:rPr>
                <w:rFonts w:hint="eastAsia" w:ascii="宋体" w:hAnsi="宋体" w:cs="宋体"/>
                <w:i/>
                <w:iCs/>
                <w:color w:val="000000"/>
                <w:kern w:val="0"/>
                <w:sz w:val="24"/>
                <w:u w:val="single"/>
              </w:rPr>
              <w:t>）中表</w:t>
            </w:r>
            <w:r>
              <w:rPr>
                <w:i/>
                <w:iCs/>
                <w:color w:val="000000"/>
                <w:kern w:val="0"/>
                <w:sz w:val="24"/>
                <w:u w:val="single"/>
              </w:rPr>
              <w:t>2</w:t>
            </w:r>
            <w:r>
              <w:rPr>
                <w:rFonts w:hint="eastAsia" w:ascii="宋体" w:hAnsi="宋体" w:cs="宋体"/>
                <w:i/>
                <w:iCs/>
                <w:color w:val="000000"/>
                <w:kern w:val="0"/>
                <w:sz w:val="24"/>
                <w:u w:val="single"/>
              </w:rPr>
              <w:t>新污染源无组织排放浓度限值，厂内非甲烷总烃无组织排放浓度能够满足《挥发性有机物无组织排放控制标准》（</w:t>
            </w:r>
            <w:r>
              <w:rPr>
                <w:i/>
                <w:iCs/>
                <w:color w:val="000000"/>
                <w:kern w:val="0"/>
                <w:sz w:val="24"/>
                <w:u w:val="single"/>
              </w:rPr>
              <w:t>GB37822-2019</w:t>
            </w:r>
            <w:r>
              <w:rPr>
                <w:rFonts w:hint="eastAsia" w:ascii="宋体" w:hAnsi="宋体" w:cs="宋体"/>
                <w:i/>
                <w:iCs/>
                <w:color w:val="000000"/>
                <w:kern w:val="0"/>
                <w:sz w:val="24"/>
                <w:u w:val="single"/>
              </w:rPr>
              <w:t>）中特别排放限值。</w:t>
            </w:r>
          </w:p>
          <w:p>
            <w:pPr>
              <w:widowControl/>
              <w:spacing w:line="360" w:lineRule="auto"/>
              <w:ind w:firstLine="480" w:firstLineChars="200"/>
              <w:rPr>
                <w:rFonts w:ascii="宋体" w:hAnsi="宋体" w:cs="宋体"/>
                <w:i/>
                <w:iCs/>
                <w:color w:val="000000"/>
                <w:kern w:val="0"/>
                <w:sz w:val="24"/>
                <w:u w:val="single"/>
              </w:rPr>
            </w:pPr>
            <w:r>
              <w:rPr>
                <w:rFonts w:hint="eastAsia" w:ascii="宋体" w:hAnsi="宋体" w:cs="宋体"/>
                <w:i/>
                <w:iCs/>
                <w:color w:val="000000"/>
                <w:kern w:val="0"/>
                <w:sz w:val="24"/>
                <w:u w:val="single"/>
              </w:rPr>
              <w:t xml:space="preserve">本项目危险废物暂存间内设置的废铅酸蓄电池贮存区设置负压集气系统，对废铅酸蓄电池事故情况下漏液产生的硫酸雾进行收集，产生的硫酸雾经负压集气系统收集后与危险废物暂存间废油液贮存排放的有机废气由同一根15m高排气筒（DA001）排放，有组织及无组织硫酸雾排放浓度及速率可满足《大气污染物综合排放标准》（GB16297-1996）表2新污染源大气污染排放限值中相关要求。 </w:t>
            </w:r>
          </w:p>
          <w:p>
            <w:pPr>
              <w:widowControl/>
              <w:spacing w:line="360" w:lineRule="auto"/>
              <w:ind w:firstLine="480" w:firstLineChars="200"/>
              <w:rPr>
                <w:rFonts w:ascii="宋体" w:hAnsi="宋体" w:cs="宋体"/>
                <w:i/>
                <w:iCs/>
                <w:sz w:val="24"/>
                <w:u w:val="single"/>
              </w:rPr>
            </w:pPr>
            <w:r>
              <w:rPr>
                <w:rFonts w:hint="eastAsia" w:ascii="宋体" w:hAnsi="宋体" w:cs="宋体"/>
                <w:i/>
                <w:iCs/>
                <w:color w:val="000000"/>
                <w:kern w:val="0"/>
                <w:sz w:val="24"/>
                <w:u w:val="single"/>
              </w:rPr>
              <w:t xml:space="preserve">本项目参考《排污许可申请与核发技术规范 废弃资源加工工业》（HJ1034-2019）附录A表A.1，废机动车拆解预处理平台产生的非甲烷总烃，其可行性污染防治技术为活性炭吸附，故本项目采取的污染防治措施为可行技术。 </w:t>
            </w:r>
          </w:p>
          <w:p>
            <w:pPr>
              <w:widowControl/>
              <w:spacing w:line="360" w:lineRule="auto"/>
              <w:ind w:firstLine="480" w:firstLineChars="200"/>
              <w:rPr>
                <w:rFonts w:ascii="宋体" w:hAnsi="宋体" w:cs="宋体"/>
                <w:i/>
                <w:iCs/>
                <w:sz w:val="24"/>
                <w:u w:val="single"/>
              </w:rPr>
            </w:pPr>
            <w:r>
              <w:rPr>
                <w:rFonts w:hint="eastAsia" w:ascii="宋体" w:hAnsi="宋体" w:cs="宋体"/>
                <w:i/>
                <w:iCs/>
                <w:kern w:val="0"/>
                <w:sz w:val="24"/>
                <w:u w:val="single"/>
              </w:rPr>
              <w:t>本项目在剪切工位上方分别加装集气罩，收集剪切过程中产生的粉尘。经收集后的粉尘由一套布袋除尘器进行处理，处理后的粉尘与有机废气经同一根15m 高排气筒排放（DA001），有组织及无组织排放粉尘浓度满足《大气污染物综合排放标准》（GB16297-1996）表2新污染源大气污染排放限值相关要求。同时参考《排污许可申请与核发技术规范 废弃资源加工工业》（HJ1034-2019）附录A表A.1，废机动车拆解工序产生的粉尘，其可行性污染防治技术为集气收集+布袋除尘，故本项目采取的污染防治措施为可行技术。</w:t>
            </w:r>
          </w:p>
          <w:p>
            <w:pPr>
              <w:spacing w:line="360" w:lineRule="auto"/>
              <w:ind w:firstLine="480" w:firstLineChars="200"/>
              <w:rPr>
                <w:rFonts w:ascii="宋体" w:hAnsi="宋体" w:cs="宋体"/>
                <w:i/>
                <w:iCs/>
                <w:sz w:val="24"/>
                <w:u w:val="single"/>
              </w:rPr>
            </w:pPr>
            <w:r>
              <w:rPr>
                <w:rFonts w:hint="eastAsia" w:ascii="宋体" w:hAnsi="宋体" w:cs="宋体"/>
                <w:i/>
                <w:iCs/>
                <w:sz w:val="24"/>
                <w:u w:val="single"/>
              </w:rPr>
              <w:t>集气罩是废气净化系统污染源的收集装置，可将粉尘及气体污染源导入净化系统，同时防止其向生产车间及大气扩散，造成污染，其性能对净化系统的技术经济指标有直接的影响。在不影响工位操作情况下将集气罩与产污面之间距离尽可能缩小，集气罩四周可加装软帘，保证吸附效率，集气罩面积比产污面积大，可基本覆盖，抽气速率比较高，开口角度为120°，开口角度适宜，集气罩捕集效率为90%，减少无组织。</w:t>
            </w:r>
          </w:p>
          <w:p>
            <w:pPr>
              <w:spacing w:line="360" w:lineRule="auto"/>
              <w:jc w:val="center"/>
              <w:rPr>
                <w:sz w:val="24"/>
                <w:szCs w:val="28"/>
              </w:rPr>
            </w:pPr>
            <w:r>
              <w:rPr>
                <w:rFonts w:ascii="Times New Roman" w:hAnsi="Times New Roman" w:eastAsia="宋体" w:cs="Times New Roman"/>
                <w:kern w:val="2"/>
                <w:sz w:val="21"/>
                <w:szCs w:val="24"/>
                <w:u w:val="single"/>
                <w:lang w:val="en-US" w:eastAsia="zh-CN" w:bidi="ar-SA"/>
              </w:rPr>
              <w:pict>
                <v:shape id="图片框 1031" o:spid="_x0000_s1032" type="#_x0000_t75" style="height:130.05pt;width:199.7pt;rotation:0f;" o:ole="f" fillcolor="#FFFFFF" filled="f" o:preferrelative="t" stroked="f" coordorigin="0,0" coordsize="21600,21600">
                  <v:fill on="f" color2="#FFFFFF" focus="0%"/>
                  <v:imagedata gain="65536f" blacklevel="0f" gamma="0" o:title="" r:id="rId15"/>
                  <o:lock v:ext="edit" position="f" selection="f" grouping="f" rotation="f" cropping="f" text="f" aspectratio="t"/>
                  <w10:wrap type="none"/>
                  <w10:anchorlock/>
                </v:shape>
              </w:pict>
            </w:r>
          </w:p>
          <w:p>
            <w:pPr>
              <w:spacing w:line="360" w:lineRule="auto"/>
              <w:ind w:firstLine="480" w:firstLineChars="200"/>
              <w:rPr>
                <w:sz w:val="24"/>
                <w:szCs w:val="28"/>
              </w:rPr>
            </w:pPr>
            <w:r>
              <w:rPr>
                <w:rFonts w:hint="eastAsia"/>
                <w:sz w:val="24"/>
                <w:szCs w:val="28"/>
              </w:rPr>
              <w:t>活性炭工作原理：活性炭吸附原理是当废气由风机提供动力，负压进入吸附箱后进入活性炭吸附层，由于活性炭吸附剂表面上存在着未平衡和未饱和的分子引力或化学键力，因此当活性炭吸附剂的表面与气体接触时，就能吸引气体分子，使其浓聚并保持在活性炭表面，此现象称为吸附。利用活性炭吸附剂表面的吸附能力，使废气与大表面的多孔性活性炭吸附剂相接触，废气中的污染物被吸附在活性炭表面上，使其与气体混合物分离，净化后的气体高空排放。</w:t>
            </w:r>
          </w:p>
          <w:p>
            <w:pPr>
              <w:spacing w:line="360" w:lineRule="auto"/>
              <w:ind w:firstLine="480" w:firstLineChars="200"/>
              <w:rPr>
                <w:i/>
                <w:iCs/>
                <w:sz w:val="24"/>
                <w:szCs w:val="28"/>
                <w:u w:val="single"/>
              </w:rPr>
            </w:pPr>
            <w:r>
              <w:rPr>
                <w:rFonts w:hint="eastAsia"/>
                <w:i/>
                <w:iCs/>
                <w:sz w:val="24"/>
                <w:szCs w:val="28"/>
                <w:u w:val="single"/>
              </w:rPr>
              <w:t>活性炭吸附法净化效率为80％一95％，对于处理低浓度的有机废气，国内外一致认为该法是最为成熟和可靠的技术。本项目保守起见，活性炭吸附效率取80%。建议选用</w:t>
            </w:r>
            <w:r>
              <w:rPr>
                <w:i/>
                <w:iCs/>
                <w:sz w:val="24"/>
                <w:szCs w:val="28"/>
                <w:u w:val="single"/>
              </w:rPr>
              <w:t>煤质柱状颗粒活性炭</w:t>
            </w:r>
            <w:r>
              <w:rPr>
                <w:rFonts w:hint="eastAsia"/>
                <w:i/>
                <w:iCs/>
                <w:sz w:val="24"/>
                <w:szCs w:val="28"/>
                <w:u w:val="single"/>
              </w:rPr>
              <w:t>，</w:t>
            </w:r>
            <w:r>
              <w:rPr>
                <w:i/>
                <w:iCs/>
                <w:sz w:val="24"/>
                <w:szCs w:val="28"/>
                <w:u w:val="single"/>
              </w:rPr>
              <w:t>碘吸附值</w:t>
            </w:r>
            <w:r>
              <w:rPr>
                <w:rFonts w:hint="eastAsia"/>
                <w:i/>
                <w:iCs/>
                <w:sz w:val="24"/>
                <w:szCs w:val="28"/>
                <w:u w:val="single"/>
              </w:rPr>
              <w:t>，</w:t>
            </w:r>
            <w:r>
              <w:rPr>
                <w:i/>
                <w:iCs/>
                <w:sz w:val="24"/>
                <w:szCs w:val="28"/>
                <w:u w:val="single"/>
              </w:rPr>
              <w:t>：≥800mg/g</w:t>
            </w:r>
            <w:r>
              <w:rPr>
                <w:rFonts w:hint="eastAsia"/>
                <w:i/>
                <w:iCs/>
                <w:sz w:val="24"/>
                <w:szCs w:val="28"/>
                <w:u w:val="single"/>
              </w:rPr>
              <w:t>，</w:t>
            </w:r>
            <w:r>
              <w:rPr>
                <w:i/>
                <w:iCs/>
                <w:sz w:val="24"/>
                <w:szCs w:val="28"/>
                <w:u w:val="single"/>
              </w:rPr>
              <w:t xml:space="preserve">粒径规格：Φ3～4mm 柱状炭；单次装填活性炭 </w:t>
            </w:r>
            <w:r>
              <w:rPr>
                <w:rFonts w:hint="eastAsia"/>
                <w:i/>
                <w:iCs/>
                <w:sz w:val="24"/>
                <w:szCs w:val="28"/>
                <w:u w:val="single"/>
              </w:rPr>
              <w:t>25</w:t>
            </w:r>
            <w:r>
              <w:rPr>
                <w:i/>
                <w:iCs/>
                <w:sz w:val="24"/>
                <w:szCs w:val="28"/>
                <w:u w:val="single"/>
              </w:rPr>
              <w:t>kg</w:t>
            </w:r>
            <w:r>
              <w:rPr>
                <w:rFonts w:hint="eastAsia"/>
                <w:i/>
                <w:iCs/>
                <w:sz w:val="24"/>
                <w:szCs w:val="28"/>
                <w:u w:val="single"/>
              </w:rPr>
              <w:t>，活性炭更换周期不低于40d，</w:t>
            </w:r>
            <w:r>
              <w:rPr>
                <w:i/>
                <w:iCs/>
                <w:sz w:val="24"/>
                <w:szCs w:val="28"/>
                <w:u w:val="single"/>
              </w:rPr>
              <w:t>活性炭床层装填厚度不低于 0.45m，保证废气停留时间满足吸附要求。</w:t>
            </w:r>
          </w:p>
          <w:p>
            <w:pPr>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参考《排放源统计调查产排污核算方法和系数手册》中4210金属废料和碎屑加工处理行业系数手册，布袋除尘器处理效率取95%。</w:t>
            </w:r>
          </w:p>
          <w:p>
            <w:pPr>
              <w:widowControl/>
              <w:spacing w:line="360" w:lineRule="auto"/>
              <w:ind w:firstLine="480" w:firstLineChars="200"/>
            </w:pPr>
            <w:r>
              <w:rPr>
                <w:rFonts w:hint="eastAsia" w:ascii="宋体" w:hAnsi="宋体" w:cs="宋体"/>
                <w:kern w:val="0"/>
                <w:sz w:val="24"/>
              </w:rPr>
              <w:t>为减少无组织废气对周围环境的影响，企业在运营期应加强环境管理，保证环保设施正常运行，加强车间通风等，确保厂界周围非甲烷总烃、颗粒物以及硫酸雾无组织废气满足《大气污染物综合排放标准》（</w:t>
            </w:r>
            <w:r>
              <w:rPr>
                <w:kern w:val="0"/>
                <w:sz w:val="24"/>
              </w:rPr>
              <w:t>GB16297-1996</w:t>
            </w:r>
            <w:r>
              <w:rPr>
                <w:rFonts w:hint="eastAsia" w:ascii="宋体" w:hAnsi="宋体" w:cs="宋体"/>
                <w:kern w:val="0"/>
                <w:sz w:val="24"/>
              </w:rPr>
              <w:t>）表</w:t>
            </w:r>
            <w:r>
              <w:rPr>
                <w:kern w:val="0"/>
                <w:sz w:val="24"/>
              </w:rPr>
              <w:t>2</w:t>
            </w:r>
            <w:r>
              <w:rPr>
                <w:rFonts w:hint="eastAsia" w:ascii="宋体" w:hAnsi="宋体" w:cs="宋体"/>
                <w:kern w:val="0"/>
                <w:sz w:val="24"/>
              </w:rPr>
              <w:t>中有组织排放限值要求，厂区内无组织非甲烷总烃浓度满足《挥发性有机物无组织排放控制标准》 （</w:t>
            </w:r>
            <w:r>
              <w:rPr>
                <w:kern w:val="0"/>
                <w:sz w:val="24"/>
              </w:rPr>
              <w:t>GB37822-2019</w:t>
            </w:r>
            <w:r>
              <w:rPr>
                <w:rFonts w:hint="eastAsia" w:ascii="宋体" w:hAnsi="宋体" w:cs="宋体"/>
                <w:kern w:val="0"/>
                <w:sz w:val="24"/>
              </w:rPr>
              <w:t>）中</w:t>
            </w:r>
            <w:r>
              <w:rPr>
                <w:kern w:val="0"/>
                <w:sz w:val="24"/>
              </w:rPr>
              <w:t>A.1</w:t>
            </w:r>
            <w:r>
              <w:rPr>
                <w:rFonts w:hint="eastAsia" w:ascii="宋体" w:hAnsi="宋体" w:cs="宋体"/>
                <w:kern w:val="0"/>
                <w:sz w:val="24"/>
              </w:rPr>
              <w:t xml:space="preserve">特别排放限值要求。 </w:t>
            </w:r>
          </w:p>
          <w:p>
            <w:pPr>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4.废气排放环境影响分析</w:t>
            </w:r>
          </w:p>
          <w:p>
            <w:pPr>
              <w:spacing w:line="360" w:lineRule="auto"/>
              <w:ind w:firstLine="480" w:firstLineChars="200"/>
              <w:rPr>
                <w:color w:val="000000"/>
                <w:sz w:val="24"/>
              </w:rPr>
            </w:pPr>
            <w:r>
              <w:rPr>
                <w:sz w:val="24"/>
              </w:rPr>
              <w:t>项目所在区域为达标区</w:t>
            </w:r>
            <w:r>
              <w:rPr>
                <w:rFonts w:hint="eastAsia"/>
                <w:sz w:val="24"/>
              </w:rPr>
              <w:t>，根据区域环境现状监测可知，目前项目所在地环境质量较好，距离项目最近敏感目标为厂区东侧河北</w:t>
            </w:r>
            <w:r>
              <w:rPr>
                <w:rFonts w:hint="eastAsia" w:ascii="宋体" w:hAnsi="宋体" w:cs="宋体"/>
                <w:kern w:val="0"/>
                <w:sz w:val="24"/>
              </w:rPr>
              <w:t>村</w:t>
            </w:r>
            <w:r>
              <w:rPr>
                <w:rFonts w:hint="eastAsia"/>
                <w:sz w:val="24"/>
              </w:rPr>
              <w:t>，最近距离330m，</w:t>
            </w:r>
            <w:r>
              <w:rPr>
                <w:rFonts w:hint="eastAsia" w:ascii="宋体" w:hAnsi="宋体" w:cs="宋体"/>
                <w:color w:val="000000"/>
                <w:kern w:val="0"/>
                <w:sz w:val="24"/>
              </w:rPr>
              <w:t>项目运营期废气主要为拆解预处理废液排空废气、剪切过程中产生的粉尘、危险废物贮存区有机废气以及硫酸雾。经论证，</w:t>
            </w:r>
            <w:r>
              <w:rPr>
                <w:sz w:val="24"/>
              </w:rPr>
              <w:t>本项目采取的废气治理措施可行，</w:t>
            </w:r>
            <w:r>
              <w:rPr>
                <w:rFonts w:hint="eastAsia"/>
                <w:sz w:val="24"/>
              </w:rPr>
              <w:t>经源强核算分析，项目污染物能达标排放，</w:t>
            </w:r>
            <w:r>
              <w:rPr>
                <w:sz w:val="24"/>
              </w:rPr>
              <w:t>对周围的环境产生的影响较小</w:t>
            </w:r>
            <w:r>
              <w:rPr>
                <w:rFonts w:hint="eastAsia"/>
                <w:sz w:val="24"/>
              </w:rPr>
              <w:t>。综上，在严格执行各项污染防治措施的前提下对周边环境以及保护目标的影</w:t>
            </w:r>
            <w:r>
              <w:rPr>
                <w:rFonts w:hint="eastAsia"/>
                <w:color w:val="000000"/>
                <w:sz w:val="24"/>
              </w:rPr>
              <w:t>响可接受。</w:t>
            </w:r>
          </w:p>
          <w:p>
            <w:pPr>
              <w:widowControl/>
              <w:ind w:firstLine="480" w:firstLineChars="200"/>
              <w:jc w:val="left"/>
              <w:rPr>
                <w:color w:val="000000"/>
              </w:rPr>
            </w:pPr>
            <w:r>
              <w:rPr>
                <w:rFonts w:hint="eastAsia" w:ascii="宋体" w:hAnsi="宋体" w:cs="宋体"/>
                <w:color w:val="000000"/>
                <w:kern w:val="0"/>
                <w:sz w:val="24"/>
              </w:rPr>
              <w:t xml:space="preserve">5、非正常工况 </w:t>
            </w:r>
          </w:p>
          <w:p>
            <w:pPr>
              <w:widowControl/>
              <w:spacing w:line="360" w:lineRule="auto"/>
              <w:ind w:firstLine="480" w:firstLineChars="200"/>
            </w:pPr>
            <w:r>
              <w:rPr>
                <w:rFonts w:hint="eastAsia" w:ascii="宋体" w:hAnsi="宋体" w:cs="宋体"/>
                <w:color w:val="000000"/>
                <w:kern w:val="0"/>
                <w:sz w:val="24"/>
              </w:rPr>
              <w:t xml:space="preserve">项目非正常工况主要为以下几种情况：设备故障、停电和检修。设备故障又 </w:t>
            </w:r>
          </w:p>
          <w:p>
            <w:pPr>
              <w:widowControl/>
              <w:spacing w:line="360" w:lineRule="auto"/>
            </w:pPr>
            <w:r>
              <w:rPr>
                <w:rFonts w:hint="eastAsia" w:ascii="宋体" w:hAnsi="宋体" w:cs="宋体"/>
                <w:color w:val="000000"/>
                <w:kern w:val="0"/>
                <w:sz w:val="24"/>
              </w:rPr>
              <w:t xml:space="preserve">包括生产设备故障和环保设备故障。对于生产设备故障、停电和检修导致的非正 </w:t>
            </w:r>
          </w:p>
          <w:p>
            <w:pPr>
              <w:widowControl/>
              <w:spacing w:line="360" w:lineRule="auto"/>
            </w:pPr>
            <w:r>
              <w:rPr>
                <w:rFonts w:hint="eastAsia" w:ascii="宋体" w:hAnsi="宋体" w:cs="宋体"/>
                <w:color w:val="000000"/>
                <w:kern w:val="0"/>
                <w:sz w:val="24"/>
              </w:rPr>
              <w:t>常工况，生产过程全部停止运行，不再进行生产。由于设备停止运行，因此生产</w:t>
            </w:r>
          </w:p>
          <w:p>
            <w:pPr>
              <w:widowControl/>
              <w:spacing w:line="360" w:lineRule="auto"/>
            </w:pPr>
            <w:r>
              <w:rPr>
                <w:rFonts w:hint="eastAsia" w:ascii="宋体" w:hAnsi="宋体" w:cs="宋体"/>
                <w:color w:val="000000"/>
                <w:kern w:val="0"/>
                <w:sz w:val="24"/>
              </w:rPr>
              <w:t xml:space="preserve">过程中的污染也随之停止产生。如果控制和消减污染排放量的环保设备发生故障，考虑最不利情况，则污染物去除率将下降至完全失效，在此工况下环境影响 </w:t>
            </w:r>
          </w:p>
          <w:p>
            <w:pPr>
              <w:widowControl/>
              <w:spacing w:line="360" w:lineRule="auto"/>
              <w:rPr>
                <w:rFonts w:ascii="宋体" w:hAnsi="宋体" w:cs="宋体"/>
                <w:color w:val="000000"/>
                <w:kern w:val="0"/>
                <w:sz w:val="24"/>
              </w:rPr>
            </w:pPr>
            <w:r>
              <w:rPr>
                <w:rFonts w:hint="eastAsia" w:ascii="宋体" w:hAnsi="宋体" w:cs="宋体"/>
                <w:color w:val="000000"/>
                <w:kern w:val="0"/>
                <w:sz w:val="24"/>
              </w:rPr>
              <w:t>较大。本项目废气污染防治设施为活性炭吸附装置、布袋除尘器，非正常工况污染分析主要考虑上述故障所导致的，考虑最不利情况，污染防治设施去除效率降至</w:t>
            </w:r>
            <w:r>
              <w:rPr>
                <w:color w:val="000000"/>
                <w:kern w:val="0"/>
                <w:sz w:val="24"/>
              </w:rPr>
              <w:t>0%</w:t>
            </w:r>
            <w:r>
              <w:rPr>
                <w:rFonts w:hint="eastAsia" w:ascii="宋体" w:hAnsi="宋体" w:cs="宋体"/>
                <w:color w:val="000000"/>
                <w:kern w:val="0"/>
                <w:sz w:val="24"/>
              </w:rPr>
              <w:t>，非正常工况状态下废气排放情况详见表</w:t>
            </w:r>
            <w:r>
              <w:rPr>
                <w:color w:val="000000"/>
                <w:kern w:val="0"/>
                <w:sz w:val="24"/>
              </w:rPr>
              <w:t>4-</w:t>
            </w:r>
            <w:r>
              <w:rPr>
                <w:rFonts w:hint="eastAsia"/>
                <w:color w:val="000000"/>
                <w:kern w:val="0"/>
                <w:sz w:val="24"/>
              </w:rPr>
              <w:t>5</w:t>
            </w:r>
            <w:r>
              <w:rPr>
                <w:rFonts w:hint="eastAsia" w:ascii="宋体" w:hAnsi="宋体" w:cs="宋体"/>
                <w:color w:val="000000"/>
                <w:kern w:val="0"/>
                <w:sz w:val="24"/>
              </w:rPr>
              <w:t>。</w:t>
            </w:r>
          </w:p>
          <w:p>
            <w:pPr>
              <w:spacing w:beforeLines="50"/>
              <w:jc w:val="center"/>
              <w:rPr>
                <w:rFonts w:ascii="宋体" w:hAnsi="宋体" w:cs="宋体"/>
                <w:b/>
                <w:sz w:val="24"/>
              </w:rPr>
            </w:pPr>
            <w:r>
              <w:rPr>
                <w:rFonts w:hint="eastAsia" w:ascii="宋体" w:hAnsi="宋体" w:cs="宋体"/>
                <w:b/>
                <w:sz w:val="24"/>
              </w:rPr>
              <w:t>表4-5  非正常排放情况一览表</w:t>
            </w:r>
          </w:p>
          <w:tbl>
            <w:tblPr>
              <w:tblW w:w="8504"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left w:w="108" w:type="dxa"/>
                <w:right w:w="108" w:type="dxa"/>
              </w:tblCellMar>
            </w:tblPr>
            <w:tblGrid>
              <w:gridCol w:w="537"/>
              <w:gridCol w:w="663"/>
              <w:gridCol w:w="1700"/>
              <w:gridCol w:w="900"/>
              <w:gridCol w:w="1063"/>
              <w:gridCol w:w="1078"/>
              <w:gridCol w:w="693"/>
              <w:gridCol w:w="641"/>
              <w:gridCol w:w="1229"/>
            </w:tblGrid>
            <w:tr>
              <w:trPr>
                <w:trHeight w:val="816" w:hRule="atLeast"/>
                <w:jc w:val="center"/>
              </w:trPr>
              <w:tc>
                <w:tcPr>
                  <w:tcW w:w="537" w:type="dxa"/>
                  <w:tcBorders>
                    <w:tl2br w:val="nil"/>
                    <w:tr2bl w:val="nil"/>
                  </w:tcBorders>
                  <w:vAlign w:val="center"/>
                </w:tcPr>
                <w:p>
                  <w:pPr>
                    <w:tabs>
                      <w:tab w:val="left" w:pos="624"/>
                    </w:tabs>
                    <w:adjustRightInd w:val="0"/>
                    <w:snapToGrid w:val="0"/>
                    <w:jc w:val="center"/>
                    <w:rPr>
                      <w:rFonts w:ascii="宋体" w:hAnsi="宋体" w:cs="宋体"/>
                      <w:szCs w:val="21"/>
                      <w:shd w:val="clear" w:color="auto" w:fill="FFFFFF"/>
                    </w:rPr>
                  </w:pPr>
                  <w:r>
                    <w:rPr>
                      <w:rFonts w:hint="eastAsia" w:ascii="宋体" w:hAnsi="宋体" w:cs="宋体"/>
                      <w:szCs w:val="21"/>
                    </w:rPr>
                    <w:t>编号</w:t>
                  </w:r>
                </w:p>
              </w:tc>
              <w:tc>
                <w:tcPr>
                  <w:tcW w:w="663" w:type="dxa"/>
                  <w:tcBorders>
                    <w:tl2br w:val="nil"/>
                    <w:tr2bl w:val="nil"/>
                  </w:tcBorders>
                  <w:vAlign w:val="center"/>
                </w:tcPr>
                <w:p>
                  <w:pPr>
                    <w:tabs>
                      <w:tab w:val="left" w:pos="624"/>
                    </w:tabs>
                    <w:adjustRightInd w:val="0"/>
                    <w:snapToGrid w:val="0"/>
                    <w:jc w:val="center"/>
                    <w:rPr>
                      <w:rFonts w:ascii="宋体" w:hAnsi="宋体" w:cs="宋体"/>
                      <w:szCs w:val="21"/>
                      <w:shd w:val="clear" w:color="auto" w:fill="FFFFFF"/>
                    </w:rPr>
                  </w:pPr>
                  <w:r>
                    <w:rPr>
                      <w:rFonts w:hint="eastAsia" w:ascii="宋体" w:hAnsi="宋体" w:cs="宋体"/>
                      <w:szCs w:val="21"/>
                      <w:shd w:val="clear" w:color="auto" w:fill="FFFFFF"/>
                    </w:rPr>
                    <w:t>污染源</w:t>
                  </w:r>
                </w:p>
              </w:tc>
              <w:tc>
                <w:tcPr>
                  <w:tcW w:w="1700" w:type="dxa"/>
                  <w:tcBorders>
                    <w:tl2br w:val="nil"/>
                    <w:tr2bl w:val="nil"/>
                  </w:tcBorders>
                  <w:vAlign w:val="center"/>
                </w:tcPr>
                <w:p>
                  <w:pPr>
                    <w:tabs>
                      <w:tab w:val="left" w:pos="624"/>
                    </w:tabs>
                    <w:adjustRightInd w:val="0"/>
                    <w:snapToGrid w:val="0"/>
                    <w:jc w:val="center"/>
                    <w:rPr>
                      <w:rFonts w:ascii="宋体" w:hAnsi="宋体" w:cs="宋体"/>
                      <w:szCs w:val="21"/>
                      <w:shd w:val="clear" w:color="auto" w:fill="FFFFFF"/>
                    </w:rPr>
                  </w:pPr>
                  <w:r>
                    <w:rPr>
                      <w:rFonts w:hint="eastAsia" w:ascii="宋体" w:hAnsi="宋体" w:cs="宋体"/>
                      <w:szCs w:val="21"/>
                      <w:shd w:val="clear" w:color="auto" w:fill="FFFFFF"/>
                    </w:rPr>
                    <w:t>非正常排放原因</w:t>
                  </w:r>
                </w:p>
              </w:tc>
              <w:tc>
                <w:tcPr>
                  <w:tcW w:w="900" w:type="dxa"/>
                  <w:tcBorders>
                    <w:tl2br w:val="nil"/>
                    <w:tr2bl w:val="nil"/>
                  </w:tcBorders>
                  <w:vAlign w:val="center"/>
                </w:tcPr>
                <w:p>
                  <w:pPr>
                    <w:tabs>
                      <w:tab w:val="left" w:pos="624"/>
                    </w:tabs>
                    <w:adjustRightInd w:val="0"/>
                    <w:snapToGrid w:val="0"/>
                    <w:jc w:val="center"/>
                    <w:rPr>
                      <w:rFonts w:ascii="宋体" w:hAnsi="宋体" w:cs="宋体"/>
                      <w:szCs w:val="21"/>
                      <w:shd w:val="clear" w:color="auto" w:fill="FFFFFF"/>
                    </w:rPr>
                  </w:pPr>
                  <w:r>
                    <w:rPr>
                      <w:rFonts w:hint="eastAsia" w:ascii="宋体" w:hAnsi="宋体" w:cs="宋体"/>
                      <w:szCs w:val="21"/>
                      <w:shd w:val="clear" w:color="auto" w:fill="FFFFFF"/>
                    </w:rPr>
                    <w:t>污染物</w:t>
                  </w:r>
                </w:p>
              </w:tc>
              <w:tc>
                <w:tcPr>
                  <w:tcW w:w="1063" w:type="dxa"/>
                  <w:tcBorders>
                    <w:tl2br w:val="nil"/>
                    <w:tr2bl w:val="nil"/>
                  </w:tcBorders>
                  <w:vAlign w:val="center"/>
                </w:tcPr>
                <w:p>
                  <w:pPr>
                    <w:tabs>
                      <w:tab w:val="left" w:pos="624"/>
                    </w:tabs>
                    <w:adjustRightInd w:val="0"/>
                    <w:snapToGrid w:val="0"/>
                    <w:jc w:val="center"/>
                    <w:rPr>
                      <w:rFonts w:ascii="宋体" w:hAnsi="宋体" w:cs="宋体"/>
                      <w:szCs w:val="21"/>
                      <w:shd w:val="clear" w:color="auto" w:fill="FFFFFF"/>
                    </w:rPr>
                  </w:pPr>
                  <w:r>
                    <w:rPr>
                      <w:rFonts w:hint="eastAsia" w:ascii="宋体" w:hAnsi="宋体" w:cs="宋体"/>
                      <w:szCs w:val="21"/>
                      <w:shd w:val="clear" w:color="auto" w:fill="FFFFFF"/>
                    </w:rPr>
                    <w:t>非正常排放浓度</w:t>
                  </w:r>
                </w:p>
                <w:p>
                  <w:pPr>
                    <w:tabs>
                      <w:tab w:val="left" w:pos="624"/>
                    </w:tabs>
                    <w:adjustRightInd w:val="0"/>
                    <w:snapToGrid w:val="0"/>
                    <w:jc w:val="center"/>
                    <w:rPr>
                      <w:rFonts w:ascii="宋体" w:hAnsi="宋体" w:cs="宋体"/>
                      <w:szCs w:val="21"/>
                      <w:shd w:val="clear" w:color="auto" w:fill="FFFFFF"/>
                    </w:rPr>
                  </w:pPr>
                  <w:r>
                    <w:rPr>
                      <w:rFonts w:hint="eastAsia" w:ascii="宋体" w:hAnsi="宋体" w:cs="宋体"/>
                      <w:szCs w:val="21"/>
                      <w:shd w:val="clear" w:color="auto" w:fill="FFFFFF"/>
                    </w:rPr>
                    <w:t>(</w:t>
                  </w:r>
                  <w:r>
                    <w:rPr>
                      <w:rFonts w:hint="eastAsia" w:ascii="宋体" w:hAnsi="宋体" w:cs="宋体"/>
                      <w:szCs w:val="21"/>
                    </w:rPr>
                    <w:t>mg/m</w:t>
                  </w:r>
                  <w:r>
                    <w:rPr>
                      <w:rFonts w:hint="eastAsia" w:ascii="宋体" w:hAnsi="宋体" w:cs="宋体"/>
                      <w:szCs w:val="21"/>
                      <w:vertAlign w:val="superscript"/>
                    </w:rPr>
                    <w:t>3</w:t>
                  </w:r>
                  <w:r>
                    <w:rPr>
                      <w:rFonts w:hint="eastAsia" w:ascii="宋体" w:hAnsi="宋体" w:cs="宋体"/>
                      <w:szCs w:val="21"/>
                      <w:shd w:val="clear" w:color="auto" w:fill="FFFFFF"/>
                    </w:rPr>
                    <w:t>)</w:t>
                  </w:r>
                </w:p>
              </w:tc>
              <w:tc>
                <w:tcPr>
                  <w:tcW w:w="1078" w:type="dxa"/>
                  <w:tcBorders>
                    <w:tl2br w:val="nil"/>
                    <w:tr2bl w:val="nil"/>
                  </w:tcBorders>
                  <w:vAlign w:val="center"/>
                </w:tcPr>
                <w:p>
                  <w:pPr>
                    <w:tabs>
                      <w:tab w:val="left" w:pos="624"/>
                    </w:tabs>
                    <w:adjustRightInd w:val="0"/>
                    <w:snapToGrid w:val="0"/>
                    <w:jc w:val="center"/>
                    <w:rPr>
                      <w:rFonts w:ascii="宋体" w:hAnsi="宋体" w:cs="宋体"/>
                      <w:szCs w:val="21"/>
                      <w:shd w:val="clear" w:color="auto" w:fill="FFFFFF"/>
                    </w:rPr>
                  </w:pPr>
                  <w:r>
                    <w:rPr>
                      <w:rFonts w:hint="eastAsia" w:ascii="宋体" w:hAnsi="宋体" w:cs="宋体"/>
                      <w:szCs w:val="21"/>
                      <w:shd w:val="clear" w:color="auto" w:fill="FFFFFF"/>
                    </w:rPr>
                    <w:t>非正常排放速率(kg/h)</w:t>
                  </w:r>
                </w:p>
              </w:tc>
              <w:tc>
                <w:tcPr>
                  <w:tcW w:w="693" w:type="dxa"/>
                  <w:tcBorders>
                    <w:tl2br w:val="nil"/>
                    <w:tr2bl w:val="nil"/>
                  </w:tcBorders>
                  <w:vAlign w:val="center"/>
                </w:tcPr>
                <w:p>
                  <w:pPr>
                    <w:tabs>
                      <w:tab w:val="left" w:pos="624"/>
                    </w:tabs>
                    <w:adjustRightInd w:val="0"/>
                    <w:snapToGrid w:val="0"/>
                    <w:jc w:val="center"/>
                    <w:rPr>
                      <w:rFonts w:ascii="宋体" w:hAnsi="宋体" w:cs="宋体"/>
                      <w:szCs w:val="21"/>
                      <w:shd w:val="clear" w:color="auto" w:fill="FFFFFF"/>
                    </w:rPr>
                  </w:pPr>
                  <w:r>
                    <w:rPr>
                      <w:rFonts w:hint="eastAsia" w:ascii="宋体" w:hAnsi="宋体" w:cs="宋体"/>
                      <w:szCs w:val="21"/>
                      <w:shd w:val="clear" w:color="auto" w:fill="FFFFFF"/>
                    </w:rPr>
                    <w:t>单次持续时间(h)</w:t>
                  </w:r>
                </w:p>
              </w:tc>
              <w:tc>
                <w:tcPr>
                  <w:tcW w:w="641" w:type="dxa"/>
                  <w:tcBorders>
                    <w:tl2br w:val="nil"/>
                    <w:tr2bl w:val="nil"/>
                  </w:tcBorders>
                  <w:vAlign w:val="center"/>
                </w:tcPr>
                <w:p>
                  <w:pPr>
                    <w:tabs>
                      <w:tab w:val="left" w:pos="624"/>
                    </w:tabs>
                    <w:adjustRightInd w:val="0"/>
                    <w:snapToGrid w:val="0"/>
                    <w:jc w:val="center"/>
                    <w:rPr>
                      <w:rFonts w:ascii="宋体" w:hAnsi="宋体" w:cs="宋体"/>
                      <w:szCs w:val="21"/>
                      <w:shd w:val="clear" w:color="auto" w:fill="FFFFFF"/>
                    </w:rPr>
                  </w:pPr>
                  <w:r>
                    <w:rPr>
                      <w:rFonts w:hint="eastAsia" w:ascii="宋体" w:hAnsi="宋体" w:cs="宋体"/>
                      <w:szCs w:val="21"/>
                      <w:shd w:val="clear" w:color="auto" w:fill="FFFFFF"/>
                    </w:rPr>
                    <w:t>发生频次(次/年)</w:t>
                  </w:r>
                </w:p>
              </w:tc>
              <w:tc>
                <w:tcPr>
                  <w:tcW w:w="1229" w:type="dxa"/>
                  <w:tcBorders>
                    <w:tl2br w:val="nil"/>
                    <w:tr2bl w:val="nil"/>
                  </w:tcBorders>
                  <w:vAlign w:val="center"/>
                </w:tcPr>
                <w:p>
                  <w:pPr>
                    <w:tabs>
                      <w:tab w:val="left" w:pos="624"/>
                    </w:tabs>
                    <w:adjustRightInd w:val="0"/>
                    <w:snapToGrid w:val="0"/>
                    <w:jc w:val="center"/>
                    <w:rPr>
                      <w:rFonts w:ascii="宋体" w:hAnsi="宋体" w:cs="宋体"/>
                      <w:szCs w:val="21"/>
                      <w:shd w:val="clear" w:color="auto" w:fill="FFFFFF"/>
                    </w:rPr>
                  </w:pPr>
                  <w:r>
                    <w:rPr>
                      <w:rFonts w:hint="eastAsia" w:ascii="宋体" w:hAnsi="宋体" w:cs="宋体"/>
                      <w:szCs w:val="21"/>
                      <w:shd w:val="clear" w:color="auto" w:fill="FFFFFF"/>
                    </w:rPr>
                    <w:t>应对措施</w:t>
                  </w:r>
                </w:p>
              </w:tc>
            </w:tr>
            <w:tr>
              <w:trPr>
                <w:trHeight w:val="594" w:hRule="atLeast"/>
                <w:jc w:val="center"/>
              </w:trPr>
              <w:tc>
                <w:tcPr>
                  <w:tcW w:w="537" w:type="dxa"/>
                  <w:vMerge w:val="restart"/>
                  <w:tcBorders>
                    <w:tl2br w:val="nil"/>
                    <w:tr2bl w:val="nil"/>
                  </w:tcBorders>
                  <w:vAlign w:val="center"/>
                </w:tcPr>
                <w:p>
                  <w:pPr>
                    <w:tabs>
                      <w:tab w:val="left" w:pos="624"/>
                    </w:tabs>
                    <w:adjustRightInd w:val="0"/>
                    <w:snapToGrid w:val="0"/>
                    <w:jc w:val="center"/>
                    <w:rPr>
                      <w:rFonts w:ascii="宋体" w:hAnsi="宋体" w:cs="宋体"/>
                      <w:szCs w:val="21"/>
                      <w:shd w:val="clear" w:color="auto" w:fill="FFFFFF"/>
                    </w:rPr>
                  </w:pPr>
                  <w:r>
                    <w:rPr>
                      <w:rFonts w:hint="eastAsia" w:ascii="宋体" w:hAnsi="宋体" w:cs="宋体"/>
                      <w:szCs w:val="21"/>
                    </w:rPr>
                    <w:t>DA001</w:t>
                  </w:r>
                </w:p>
              </w:tc>
              <w:tc>
                <w:tcPr>
                  <w:tcW w:w="663" w:type="dxa"/>
                  <w:tcBorders>
                    <w:tl2br w:val="nil"/>
                    <w:tr2bl w:val="nil"/>
                  </w:tcBorders>
                  <w:vAlign w:val="center"/>
                </w:tcPr>
                <w:p>
                  <w:pPr>
                    <w:tabs>
                      <w:tab w:val="left" w:pos="624"/>
                    </w:tabs>
                    <w:adjustRightInd w:val="0"/>
                    <w:snapToGrid w:val="0"/>
                    <w:jc w:val="center"/>
                    <w:rPr>
                      <w:rFonts w:ascii="宋体" w:hAnsi="宋体" w:cs="宋体"/>
                      <w:szCs w:val="21"/>
                      <w:shd w:val="clear" w:color="auto" w:fill="FFFFFF"/>
                    </w:rPr>
                  </w:pPr>
                  <w:r>
                    <w:rPr>
                      <w:rFonts w:hint="eastAsia" w:ascii="宋体" w:hAnsi="宋体" w:cs="宋体"/>
                      <w:szCs w:val="21"/>
                      <w:shd w:val="clear" w:color="auto" w:fill="FFFFFF"/>
                    </w:rPr>
                    <w:t>废油液抽取</w:t>
                  </w:r>
                </w:p>
              </w:tc>
              <w:tc>
                <w:tcPr>
                  <w:tcW w:w="1700" w:type="dxa"/>
                  <w:tcBorders>
                    <w:tl2br w:val="nil"/>
                    <w:tr2bl w:val="nil"/>
                  </w:tcBorders>
                  <w:vAlign w:val="center"/>
                </w:tcPr>
                <w:p>
                  <w:pPr>
                    <w:tabs>
                      <w:tab w:val="left" w:pos="624"/>
                    </w:tabs>
                    <w:adjustRightInd w:val="0"/>
                    <w:snapToGrid w:val="0"/>
                    <w:rPr>
                      <w:rFonts w:ascii="宋体" w:hAnsi="宋体" w:cs="宋体"/>
                      <w:szCs w:val="21"/>
                      <w:shd w:val="clear" w:color="auto" w:fill="FFFFFF"/>
                    </w:rPr>
                  </w:pPr>
                  <w:r>
                    <w:rPr>
                      <w:rFonts w:hint="eastAsia" w:ascii="宋体" w:hAnsi="宋体" w:cs="宋体"/>
                      <w:szCs w:val="21"/>
                      <w:shd w:val="clear" w:color="auto" w:fill="FFFFFF"/>
                    </w:rPr>
                    <w:t>废气处理措施发生故障，处理效率为0</w:t>
                  </w:r>
                </w:p>
              </w:tc>
              <w:tc>
                <w:tcPr>
                  <w:tcW w:w="900" w:type="dxa"/>
                  <w:tcBorders>
                    <w:tl2br w:val="nil"/>
                    <w:tr2bl w:val="nil"/>
                  </w:tcBorders>
                  <w:vAlign w:val="center"/>
                </w:tcPr>
                <w:p>
                  <w:pPr>
                    <w:tabs>
                      <w:tab w:val="left" w:pos="624"/>
                    </w:tabs>
                    <w:adjustRightInd w:val="0"/>
                    <w:snapToGrid w:val="0"/>
                    <w:jc w:val="center"/>
                    <w:rPr>
                      <w:rFonts w:ascii="宋体" w:hAnsi="宋体" w:cs="宋体"/>
                      <w:szCs w:val="21"/>
                    </w:rPr>
                  </w:pPr>
                  <w:r>
                    <w:rPr>
                      <w:rFonts w:hint="eastAsia" w:ascii="宋体" w:hAnsi="宋体" w:cs="宋体"/>
                      <w:szCs w:val="21"/>
                    </w:rPr>
                    <w:t>非甲烷总烃</w:t>
                  </w:r>
                </w:p>
              </w:tc>
              <w:tc>
                <w:tcPr>
                  <w:tcW w:w="1063" w:type="dxa"/>
                  <w:tcBorders>
                    <w:tl2br w:val="nil"/>
                    <w:tr2bl w:val="nil"/>
                  </w:tcBorders>
                  <w:vAlign w:val="center"/>
                </w:tcPr>
                <w:p>
                  <w:pPr>
                    <w:tabs>
                      <w:tab w:val="left" w:pos="624"/>
                    </w:tabs>
                    <w:adjustRightInd w:val="0"/>
                    <w:snapToGrid w:val="0"/>
                    <w:jc w:val="center"/>
                    <w:rPr>
                      <w:rFonts w:ascii="宋体" w:hAnsi="宋体" w:cs="宋体"/>
                      <w:szCs w:val="21"/>
                      <w:shd w:val="clear" w:color="auto" w:fill="FFFFFF"/>
                    </w:rPr>
                  </w:pPr>
                  <w:r>
                    <w:rPr>
                      <w:rFonts w:hint="eastAsia" w:ascii="宋体" w:hAnsi="宋体" w:cs="宋体"/>
                      <w:szCs w:val="21"/>
                      <w:shd w:val="clear" w:color="auto" w:fill="FFFFFF"/>
                    </w:rPr>
                    <w:t>182.5</w:t>
                  </w:r>
                </w:p>
              </w:tc>
              <w:tc>
                <w:tcPr>
                  <w:tcW w:w="1078" w:type="dxa"/>
                  <w:tcBorders>
                    <w:tl2br w:val="nil"/>
                    <w:tr2bl w:val="nil"/>
                  </w:tcBorders>
                  <w:vAlign w:val="center"/>
                </w:tcPr>
                <w:p>
                  <w:pPr>
                    <w:tabs>
                      <w:tab w:val="left" w:pos="624"/>
                    </w:tabs>
                    <w:adjustRightInd w:val="0"/>
                    <w:snapToGrid w:val="0"/>
                    <w:jc w:val="center"/>
                    <w:rPr>
                      <w:rFonts w:ascii="宋体" w:hAnsi="宋体" w:cs="宋体"/>
                      <w:szCs w:val="21"/>
                      <w:shd w:val="clear" w:color="auto" w:fill="FFFFFF"/>
                    </w:rPr>
                  </w:pPr>
                  <w:r>
                    <w:rPr>
                      <w:rFonts w:hint="eastAsia" w:ascii="宋体" w:hAnsi="宋体" w:cs="宋体"/>
                      <w:szCs w:val="21"/>
                      <w:shd w:val="clear" w:color="auto" w:fill="FFFFFF"/>
                    </w:rPr>
                    <w:t>0.3</w:t>
                  </w:r>
                </w:p>
              </w:tc>
              <w:tc>
                <w:tcPr>
                  <w:tcW w:w="693" w:type="dxa"/>
                  <w:tcBorders>
                    <w:tl2br w:val="nil"/>
                    <w:tr2bl w:val="nil"/>
                  </w:tcBorders>
                  <w:vAlign w:val="center"/>
                </w:tcPr>
                <w:p>
                  <w:pPr>
                    <w:tabs>
                      <w:tab w:val="left" w:pos="624"/>
                    </w:tabs>
                    <w:adjustRightInd w:val="0"/>
                    <w:snapToGrid w:val="0"/>
                    <w:jc w:val="center"/>
                    <w:rPr>
                      <w:rFonts w:ascii="宋体" w:hAnsi="宋体" w:cs="宋体"/>
                      <w:szCs w:val="21"/>
                      <w:shd w:val="clear" w:color="auto" w:fill="FFFFFF"/>
                    </w:rPr>
                  </w:pPr>
                  <w:r>
                    <w:rPr>
                      <w:rFonts w:hint="eastAsia" w:ascii="宋体" w:hAnsi="宋体" w:cs="宋体"/>
                      <w:szCs w:val="21"/>
                      <w:shd w:val="clear" w:color="auto" w:fill="FFFFFF"/>
                    </w:rPr>
                    <w:t>0.5</w:t>
                  </w:r>
                </w:p>
              </w:tc>
              <w:tc>
                <w:tcPr>
                  <w:tcW w:w="641" w:type="dxa"/>
                  <w:vMerge w:val="restart"/>
                  <w:tcBorders>
                    <w:tl2br w:val="nil"/>
                    <w:tr2bl w:val="nil"/>
                  </w:tcBorders>
                  <w:vAlign w:val="center"/>
                </w:tcPr>
                <w:p>
                  <w:pPr>
                    <w:tabs>
                      <w:tab w:val="left" w:pos="624"/>
                    </w:tabs>
                    <w:adjustRightInd w:val="0"/>
                    <w:snapToGrid w:val="0"/>
                    <w:jc w:val="center"/>
                    <w:rPr>
                      <w:rFonts w:ascii="宋体" w:hAnsi="宋体" w:cs="宋体"/>
                      <w:szCs w:val="21"/>
                      <w:shd w:val="clear" w:color="auto" w:fill="FFFFFF"/>
                    </w:rPr>
                  </w:pPr>
                  <w:r>
                    <w:rPr>
                      <w:rFonts w:hint="eastAsia" w:ascii="宋体" w:hAnsi="宋体" w:cs="宋体"/>
                      <w:szCs w:val="21"/>
                      <w:shd w:val="clear" w:color="auto" w:fill="FFFFFF"/>
                    </w:rPr>
                    <w:t>不超过1次</w:t>
                  </w:r>
                </w:p>
              </w:tc>
              <w:tc>
                <w:tcPr>
                  <w:tcW w:w="1229" w:type="dxa"/>
                  <w:vMerge w:val="restart"/>
                  <w:tcBorders>
                    <w:tl2br w:val="nil"/>
                    <w:tr2bl w:val="nil"/>
                  </w:tcBorders>
                  <w:vAlign w:val="center"/>
                </w:tcPr>
                <w:p>
                  <w:pPr>
                    <w:tabs>
                      <w:tab w:val="left" w:pos="624"/>
                    </w:tabs>
                    <w:adjustRightInd w:val="0"/>
                    <w:snapToGrid w:val="0"/>
                    <w:rPr>
                      <w:rFonts w:ascii="宋体" w:hAnsi="宋体" w:cs="宋体"/>
                      <w:szCs w:val="21"/>
                      <w:shd w:val="clear" w:color="auto" w:fill="FFFFFF"/>
                    </w:rPr>
                  </w:pPr>
                  <w:r>
                    <w:rPr>
                      <w:rFonts w:hint="eastAsia" w:ascii="宋体" w:hAnsi="宋体" w:cs="宋体"/>
                      <w:szCs w:val="21"/>
                      <w:shd w:val="clear" w:color="auto" w:fill="FFFFFF"/>
                    </w:rPr>
                    <w:t>定期进行设备维护，当废气处理装置出现故障不能短时间恢复时，停止生产。</w:t>
                  </w:r>
                </w:p>
              </w:tc>
            </w:tr>
            <w:tr>
              <w:trPr>
                <w:trHeight w:val="594" w:hRule="atLeast"/>
                <w:jc w:val="center"/>
              </w:trPr>
              <w:tc>
                <w:tcPr>
                  <w:tcW w:w="537" w:type="dxa"/>
                  <w:vMerge w:val="continue"/>
                  <w:tcBorders>
                    <w:tl2br w:val="nil"/>
                    <w:tr2bl w:val="nil"/>
                  </w:tcBorders>
                  <w:vAlign w:val="center"/>
                </w:tcPr>
                <w:p>
                  <w:pPr>
                    <w:tabs>
                      <w:tab w:val="left" w:pos="624"/>
                    </w:tabs>
                    <w:adjustRightInd w:val="0"/>
                    <w:snapToGrid w:val="0"/>
                    <w:jc w:val="center"/>
                    <w:rPr>
                      <w:rFonts w:ascii="宋体" w:hAnsi="宋体" w:cs="宋体"/>
                      <w:szCs w:val="21"/>
                    </w:rPr>
                  </w:pPr>
                </w:p>
              </w:tc>
              <w:tc>
                <w:tcPr>
                  <w:tcW w:w="663" w:type="dxa"/>
                  <w:tcBorders>
                    <w:tl2br w:val="nil"/>
                    <w:tr2bl w:val="nil"/>
                  </w:tcBorders>
                  <w:vAlign w:val="center"/>
                </w:tcPr>
                <w:p>
                  <w:pPr>
                    <w:tabs>
                      <w:tab w:val="left" w:pos="624"/>
                    </w:tabs>
                    <w:adjustRightInd w:val="0"/>
                    <w:snapToGrid w:val="0"/>
                    <w:jc w:val="center"/>
                    <w:rPr>
                      <w:rFonts w:ascii="宋体" w:hAnsi="宋体" w:cs="宋体"/>
                      <w:szCs w:val="21"/>
                      <w:shd w:val="clear" w:color="auto" w:fill="FFFFFF"/>
                    </w:rPr>
                  </w:pPr>
                  <w:r>
                    <w:rPr>
                      <w:rFonts w:hint="eastAsia" w:ascii="宋体" w:hAnsi="宋体" w:cs="宋体"/>
                      <w:szCs w:val="21"/>
                    </w:rPr>
                    <w:t>剪切</w:t>
                  </w:r>
                  <w:r>
                    <w:rPr>
                      <w:rFonts w:hint="eastAsia" w:ascii="宋体" w:hAnsi="宋体" w:cs="宋体"/>
                      <w:szCs w:val="21"/>
                      <w:shd w:val="clear" w:color="auto" w:fill="FFFFFF"/>
                    </w:rPr>
                    <w:t>工序</w:t>
                  </w:r>
                </w:p>
              </w:tc>
              <w:tc>
                <w:tcPr>
                  <w:tcW w:w="1700" w:type="dxa"/>
                  <w:tcBorders>
                    <w:tl2br w:val="nil"/>
                    <w:tr2bl w:val="nil"/>
                  </w:tcBorders>
                  <w:vAlign w:val="center"/>
                </w:tcPr>
                <w:p>
                  <w:pPr>
                    <w:tabs>
                      <w:tab w:val="left" w:pos="624"/>
                    </w:tabs>
                    <w:adjustRightInd w:val="0"/>
                    <w:snapToGrid w:val="0"/>
                    <w:rPr>
                      <w:rFonts w:ascii="宋体" w:hAnsi="宋体" w:cs="宋体"/>
                      <w:szCs w:val="21"/>
                      <w:shd w:val="clear" w:color="auto" w:fill="FFFFFF"/>
                    </w:rPr>
                  </w:pPr>
                  <w:r>
                    <w:rPr>
                      <w:rFonts w:hint="eastAsia" w:ascii="宋体" w:hAnsi="宋体" w:cs="宋体"/>
                      <w:szCs w:val="21"/>
                      <w:shd w:val="clear" w:color="auto" w:fill="FFFFFF"/>
                    </w:rPr>
                    <w:t>废气处理措施发生故障，处理效率为0</w:t>
                  </w:r>
                </w:p>
              </w:tc>
              <w:tc>
                <w:tcPr>
                  <w:tcW w:w="900" w:type="dxa"/>
                  <w:tcBorders>
                    <w:tl2br w:val="nil"/>
                    <w:tr2bl w:val="nil"/>
                  </w:tcBorders>
                  <w:vAlign w:val="center"/>
                </w:tcPr>
                <w:p>
                  <w:pPr>
                    <w:tabs>
                      <w:tab w:val="left" w:pos="624"/>
                    </w:tabs>
                    <w:adjustRightInd w:val="0"/>
                    <w:snapToGrid w:val="0"/>
                    <w:jc w:val="center"/>
                    <w:rPr>
                      <w:rFonts w:ascii="宋体" w:hAnsi="宋体" w:cs="宋体"/>
                      <w:szCs w:val="21"/>
                    </w:rPr>
                  </w:pPr>
                  <w:r>
                    <w:rPr>
                      <w:rFonts w:hint="eastAsia" w:ascii="宋体" w:hAnsi="宋体" w:cs="宋体"/>
                      <w:szCs w:val="21"/>
                    </w:rPr>
                    <w:t>颗粒物</w:t>
                  </w:r>
                </w:p>
              </w:tc>
              <w:tc>
                <w:tcPr>
                  <w:tcW w:w="1063" w:type="dxa"/>
                  <w:tcBorders>
                    <w:tl2br w:val="nil"/>
                    <w:tr2bl w:val="nil"/>
                  </w:tcBorders>
                  <w:vAlign w:val="center"/>
                </w:tcPr>
                <w:p>
                  <w:pPr>
                    <w:tabs>
                      <w:tab w:val="left" w:pos="624"/>
                    </w:tabs>
                    <w:adjustRightInd w:val="0"/>
                    <w:snapToGrid w:val="0"/>
                    <w:jc w:val="center"/>
                    <w:rPr>
                      <w:rFonts w:ascii="宋体" w:hAnsi="宋体" w:cs="宋体"/>
                      <w:szCs w:val="21"/>
                      <w:shd w:val="clear" w:color="auto" w:fill="FFFFFF"/>
                    </w:rPr>
                  </w:pPr>
                  <w:r>
                    <w:rPr>
                      <w:rFonts w:hint="eastAsia" w:ascii="宋体" w:hAnsi="宋体" w:cs="宋体"/>
                      <w:szCs w:val="21"/>
                      <w:shd w:val="clear" w:color="auto" w:fill="FFFFFF"/>
                    </w:rPr>
                    <w:t>33.4</w:t>
                  </w:r>
                </w:p>
              </w:tc>
              <w:tc>
                <w:tcPr>
                  <w:tcW w:w="1078" w:type="dxa"/>
                  <w:tcBorders>
                    <w:tl2br w:val="nil"/>
                    <w:tr2bl w:val="nil"/>
                  </w:tcBorders>
                  <w:vAlign w:val="center"/>
                </w:tcPr>
                <w:p>
                  <w:pPr>
                    <w:tabs>
                      <w:tab w:val="left" w:pos="624"/>
                    </w:tabs>
                    <w:adjustRightInd w:val="0"/>
                    <w:snapToGrid w:val="0"/>
                    <w:jc w:val="center"/>
                    <w:rPr>
                      <w:rFonts w:ascii="宋体" w:hAnsi="宋体" w:cs="宋体"/>
                      <w:szCs w:val="21"/>
                      <w:shd w:val="clear" w:color="auto" w:fill="FFFFFF"/>
                    </w:rPr>
                  </w:pPr>
                  <w:r>
                    <w:rPr>
                      <w:rFonts w:hint="eastAsia" w:ascii="宋体" w:hAnsi="宋体" w:cs="宋体"/>
                      <w:szCs w:val="21"/>
                      <w:shd w:val="clear" w:color="auto" w:fill="FFFFFF"/>
                    </w:rPr>
                    <w:t>0.05</w:t>
                  </w:r>
                </w:p>
              </w:tc>
              <w:tc>
                <w:tcPr>
                  <w:tcW w:w="693" w:type="dxa"/>
                  <w:tcBorders>
                    <w:tl2br w:val="nil"/>
                    <w:tr2bl w:val="nil"/>
                  </w:tcBorders>
                  <w:vAlign w:val="center"/>
                </w:tcPr>
                <w:p>
                  <w:pPr>
                    <w:tabs>
                      <w:tab w:val="left" w:pos="624"/>
                    </w:tabs>
                    <w:adjustRightInd w:val="0"/>
                    <w:snapToGrid w:val="0"/>
                    <w:jc w:val="center"/>
                    <w:rPr>
                      <w:rFonts w:ascii="宋体" w:hAnsi="宋体" w:cs="宋体"/>
                      <w:szCs w:val="21"/>
                      <w:shd w:val="clear" w:color="auto" w:fill="FFFFFF"/>
                    </w:rPr>
                  </w:pPr>
                  <w:r>
                    <w:rPr>
                      <w:rFonts w:hint="eastAsia" w:ascii="宋体" w:hAnsi="宋体" w:cs="宋体"/>
                      <w:szCs w:val="21"/>
                      <w:shd w:val="clear" w:color="auto" w:fill="FFFFFF"/>
                    </w:rPr>
                    <w:t>0.5</w:t>
                  </w:r>
                </w:p>
              </w:tc>
              <w:tc>
                <w:tcPr>
                  <w:tcW w:w="641" w:type="dxa"/>
                  <w:vMerge w:val="continue"/>
                  <w:tcBorders>
                    <w:tl2br w:val="nil"/>
                    <w:tr2bl w:val="nil"/>
                  </w:tcBorders>
                  <w:vAlign w:val="center"/>
                </w:tcPr>
                <w:p>
                  <w:pPr>
                    <w:tabs>
                      <w:tab w:val="left" w:pos="624"/>
                    </w:tabs>
                    <w:adjustRightInd w:val="0"/>
                    <w:snapToGrid w:val="0"/>
                    <w:jc w:val="center"/>
                    <w:rPr>
                      <w:rFonts w:ascii="宋体" w:hAnsi="宋体" w:cs="宋体"/>
                      <w:szCs w:val="21"/>
                      <w:shd w:val="clear" w:color="auto" w:fill="FFFFFF"/>
                    </w:rPr>
                  </w:pPr>
                </w:p>
              </w:tc>
              <w:tc>
                <w:tcPr>
                  <w:tcW w:w="1229" w:type="dxa"/>
                  <w:vMerge w:val="continue"/>
                  <w:tcBorders>
                    <w:tl2br w:val="nil"/>
                    <w:tr2bl w:val="nil"/>
                  </w:tcBorders>
                  <w:vAlign w:val="center"/>
                </w:tcPr>
                <w:p>
                  <w:pPr>
                    <w:tabs>
                      <w:tab w:val="left" w:pos="624"/>
                    </w:tabs>
                    <w:adjustRightInd w:val="0"/>
                    <w:snapToGrid w:val="0"/>
                    <w:rPr>
                      <w:rFonts w:ascii="宋体" w:hAnsi="宋体" w:cs="宋体"/>
                      <w:szCs w:val="21"/>
                      <w:shd w:val="clear" w:color="auto" w:fill="FFFFFF"/>
                    </w:rPr>
                  </w:pPr>
                </w:p>
              </w:tc>
            </w:tr>
            <w:tr>
              <w:trPr>
                <w:trHeight w:val="644" w:hRule="atLeast"/>
                <w:jc w:val="center"/>
              </w:trPr>
              <w:tc>
                <w:tcPr>
                  <w:tcW w:w="537" w:type="dxa"/>
                  <w:vMerge w:val="continue"/>
                  <w:tcBorders>
                    <w:tl2br w:val="nil"/>
                    <w:tr2bl w:val="nil"/>
                  </w:tcBorders>
                  <w:vAlign w:val="center"/>
                </w:tcPr>
                <w:p>
                  <w:pPr>
                    <w:tabs>
                      <w:tab w:val="left" w:pos="624"/>
                    </w:tabs>
                    <w:adjustRightInd w:val="0"/>
                    <w:snapToGrid w:val="0"/>
                    <w:jc w:val="center"/>
                    <w:rPr>
                      <w:rFonts w:ascii="宋体" w:hAnsi="宋体" w:cs="宋体"/>
                      <w:szCs w:val="21"/>
                    </w:rPr>
                  </w:pPr>
                </w:p>
              </w:tc>
              <w:tc>
                <w:tcPr>
                  <w:tcW w:w="663" w:type="dxa"/>
                  <w:vMerge w:val="restart"/>
                  <w:tcBorders>
                    <w:tl2br w:val="nil"/>
                    <w:tr2bl w:val="nil"/>
                  </w:tcBorders>
                  <w:vAlign w:val="center"/>
                </w:tcPr>
                <w:p>
                  <w:pPr>
                    <w:tabs>
                      <w:tab w:val="left" w:pos="624"/>
                    </w:tabs>
                    <w:adjustRightInd w:val="0"/>
                    <w:snapToGrid w:val="0"/>
                    <w:jc w:val="center"/>
                    <w:rPr>
                      <w:rFonts w:ascii="宋体" w:hAnsi="宋体" w:cs="宋体"/>
                      <w:szCs w:val="21"/>
                    </w:rPr>
                  </w:pPr>
                  <w:r>
                    <w:rPr>
                      <w:rFonts w:hint="eastAsia" w:ascii="宋体" w:hAnsi="宋体" w:cs="宋体"/>
                      <w:szCs w:val="21"/>
                    </w:rPr>
                    <w:t>危废暂存库</w:t>
                  </w:r>
                </w:p>
              </w:tc>
              <w:tc>
                <w:tcPr>
                  <w:tcW w:w="1700" w:type="dxa"/>
                  <w:vMerge w:val="restart"/>
                  <w:tcBorders>
                    <w:tl2br w:val="nil"/>
                    <w:tr2bl w:val="nil"/>
                  </w:tcBorders>
                  <w:vAlign w:val="center"/>
                </w:tcPr>
                <w:p>
                  <w:pPr>
                    <w:tabs>
                      <w:tab w:val="left" w:pos="624"/>
                    </w:tabs>
                    <w:adjustRightInd w:val="0"/>
                    <w:snapToGrid w:val="0"/>
                    <w:rPr>
                      <w:rFonts w:ascii="宋体" w:hAnsi="宋体" w:cs="宋体"/>
                      <w:szCs w:val="21"/>
                      <w:shd w:val="clear" w:color="auto" w:fill="FFFFFF"/>
                    </w:rPr>
                  </w:pPr>
                  <w:r>
                    <w:rPr>
                      <w:rFonts w:hint="eastAsia" w:ascii="宋体" w:hAnsi="宋体" w:cs="宋体"/>
                      <w:szCs w:val="21"/>
                      <w:shd w:val="clear" w:color="auto" w:fill="FFFFFF"/>
                    </w:rPr>
                    <w:t>废气处理措施发生故障，处理效率为0</w:t>
                  </w:r>
                </w:p>
              </w:tc>
              <w:tc>
                <w:tcPr>
                  <w:tcW w:w="900" w:type="dxa"/>
                  <w:tcBorders>
                    <w:tl2br w:val="nil"/>
                    <w:tr2bl w:val="nil"/>
                  </w:tcBorders>
                  <w:vAlign w:val="center"/>
                </w:tcPr>
                <w:p>
                  <w:pPr>
                    <w:tabs>
                      <w:tab w:val="left" w:pos="624"/>
                    </w:tabs>
                    <w:adjustRightInd w:val="0"/>
                    <w:snapToGrid w:val="0"/>
                    <w:jc w:val="center"/>
                    <w:rPr>
                      <w:rFonts w:ascii="宋体" w:hAnsi="宋体" w:cs="宋体"/>
                      <w:szCs w:val="21"/>
                      <w:shd w:val="clear" w:color="auto" w:fill="FFFFFF"/>
                    </w:rPr>
                  </w:pPr>
                  <w:r>
                    <w:rPr>
                      <w:rFonts w:hint="eastAsia" w:ascii="宋体" w:hAnsi="宋体" w:cs="宋体"/>
                      <w:szCs w:val="21"/>
                    </w:rPr>
                    <w:t>非甲烷总烃</w:t>
                  </w:r>
                </w:p>
              </w:tc>
              <w:tc>
                <w:tcPr>
                  <w:tcW w:w="1063" w:type="dxa"/>
                  <w:tcBorders>
                    <w:tl2br w:val="nil"/>
                    <w:tr2bl w:val="nil"/>
                  </w:tcBorders>
                  <w:vAlign w:val="center"/>
                </w:tcPr>
                <w:p>
                  <w:pPr>
                    <w:tabs>
                      <w:tab w:val="left" w:pos="624"/>
                    </w:tabs>
                    <w:adjustRightInd w:val="0"/>
                    <w:snapToGrid w:val="0"/>
                    <w:jc w:val="center"/>
                    <w:rPr>
                      <w:rFonts w:ascii="宋体" w:hAnsi="宋体" w:cs="宋体"/>
                      <w:szCs w:val="21"/>
                      <w:shd w:val="clear" w:color="auto" w:fill="FFFFFF"/>
                    </w:rPr>
                  </w:pPr>
                  <w:r>
                    <w:rPr>
                      <w:rFonts w:hint="eastAsia" w:ascii="宋体" w:hAnsi="宋体" w:cs="宋体"/>
                      <w:szCs w:val="21"/>
                      <w:shd w:val="clear" w:color="auto" w:fill="FFFFFF"/>
                    </w:rPr>
                    <w:t>0.415</w:t>
                  </w:r>
                </w:p>
              </w:tc>
              <w:tc>
                <w:tcPr>
                  <w:tcW w:w="1078" w:type="dxa"/>
                  <w:tcBorders>
                    <w:tl2br w:val="nil"/>
                    <w:tr2bl w:val="nil"/>
                  </w:tcBorders>
                  <w:vAlign w:val="center"/>
                </w:tcPr>
                <w:p>
                  <w:pPr>
                    <w:tabs>
                      <w:tab w:val="left" w:pos="624"/>
                    </w:tabs>
                    <w:adjustRightInd w:val="0"/>
                    <w:snapToGrid w:val="0"/>
                    <w:jc w:val="center"/>
                    <w:rPr>
                      <w:rFonts w:ascii="宋体" w:hAnsi="宋体" w:cs="宋体"/>
                      <w:szCs w:val="21"/>
                    </w:rPr>
                  </w:pPr>
                  <w:r>
                    <w:rPr>
                      <w:rFonts w:hint="eastAsia" w:ascii="宋体" w:hAnsi="宋体" w:cs="宋体"/>
                      <w:szCs w:val="21"/>
                    </w:rPr>
                    <w:t>0.0004</w:t>
                  </w:r>
                </w:p>
              </w:tc>
              <w:tc>
                <w:tcPr>
                  <w:tcW w:w="693" w:type="dxa"/>
                  <w:tcBorders>
                    <w:tl2br w:val="nil"/>
                    <w:tr2bl w:val="nil"/>
                  </w:tcBorders>
                  <w:vAlign w:val="center"/>
                </w:tcPr>
                <w:p>
                  <w:pPr>
                    <w:tabs>
                      <w:tab w:val="left" w:pos="624"/>
                    </w:tabs>
                    <w:adjustRightInd w:val="0"/>
                    <w:snapToGrid w:val="0"/>
                    <w:jc w:val="center"/>
                    <w:rPr>
                      <w:rFonts w:ascii="宋体" w:hAnsi="宋体" w:cs="宋体"/>
                      <w:szCs w:val="21"/>
                      <w:shd w:val="clear" w:color="auto" w:fill="FFFFFF"/>
                    </w:rPr>
                  </w:pPr>
                  <w:r>
                    <w:rPr>
                      <w:rFonts w:hint="eastAsia" w:ascii="宋体" w:hAnsi="宋体" w:cs="宋体"/>
                      <w:szCs w:val="21"/>
                      <w:shd w:val="clear" w:color="auto" w:fill="FFFFFF"/>
                    </w:rPr>
                    <w:t>0.5</w:t>
                  </w:r>
                </w:p>
              </w:tc>
              <w:tc>
                <w:tcPr>
                  <w:tcW w:w="641" w:type="dxa"/>
                  <w:vMerge w:val="continue"/>
                  <w:tcBorders>
                    <w:tl2br w:val="nil"/>
                    <w:tr2bl w:val="nil"/>
                  </w:tcBorders>
                  <w:vAlign w:val="center"/>
                </w:tcPr>
                <w:p>
                  <w:pPr>
                    <w:tabs>
                      <w:tab w:val="left" w:pos="624"/>
                    </w:tabs>
                    <w:adjustRightInd w:val="0"/>
                    <w:snapToGrid w:val="0"/>
                    <w:jc w:val="center"/>
                    <w:rPr>
                      <w:rFonts w:ascii="宋体" w:hAnsi="宋体" w:cs="宋体"/>
                      <w:szCs w:val="21"/>
                      <w:shd w:val="clear" w:color="auto" w:fill="FFFFFF"/>
                    </w:rPr>
                  </w:pPr>
                </w:p>
              </w:tc>
              <w:tc>
                <w:tcPr>
                  <w:tcW w:w="1229" w:type="dxa"/>
                  <w:vMerge w:val="continue"/>
                  <w:tcBorders>
                    <w:tl2br w:val="nil"/>
                    <w:tr2bl w:val="nil"/>
                  </w:tcBorders>
                  <w:vAlign w:val="center"/>
                </w:tcPr>
                <w:p>
                  <w:pPr>
                    <w:tabs>
                      <w:tab w:val="left" w:pos="624"/>
                    </w:tabs>
                    <w:adjustRightInd w:val="0"/>
                    <w:snapToGrid w:val="0"/>
                    <w:jc w:val="center"/>
                    <w:rPr>
                      <w:rFonts w:ascii="宋体" w:hAnsi="宋体" w:cs="宋体"/>
                      <w:szCs w:val="21"/>
                      <w:shd w:val="clear" w:color="auto" w:fill="FFFFFF"/>
                    </w:rPr>
                  </w:pPr>
                </w:p>
              </w:tc>
            </w:tr>
            <w:tr>
              <w:trPr>
                <w:trHeight w:val="644" w:hRule="atLeast"/>
                <w:jc w:val="center"/>
              </w:trPr>
              <w:tc>
                <w:tcPr>
                  <w:tcW w:w="537" w:type="dxa"/>
                  <w:vMerge w:val="continue"/>
                  <w:tcBorders>
                    <w:tl2br w:val="nil"/>
                    <w:tr2bl w:val="nil"/>
                  </w:tcBorders>
                  <w:vAlign w:val="center"/>
                </w:tcPr>
                <w:p>
                  <w:pPr>
                    <w:tabs>
                      <w:tab w:val="left" w:pos="624"/>
                    </w:tabs>
                    <w:adjustRightInd w:val="0"/>
                    <w:snapToGrid w:val="0"/>
                    <w:jc w:val="center"/>
                    <w:rPr>
                      <w:rFonts w:ascii="宋体" w:hAnsi="宋体" w:cs="宋体"/>
                      <w:szCs w:val="21"/>
                    </w:rPr>
                  </w:pPr>
                </w:p>
              </w:tc>
              <w:tc>
                <w:tcPr>
                  <w:tcW w:w="663" w:type="dxa"/>
                  <w:vMerge w:val="continue"/>
                  <w:tcBorders>
                    <w:tl2br w:val="nil"/>
                    <w:tr2bl w:val="nil"/>
                  </w:tcBorders>
                  <w:vAlign w:val="center"/>
                </w:tcPr>
                <w:p>
                  <w:pPr>
                    <w:tabs>
                      <w:tab w:val="left" w:pos="624"/>
                    </w:tabs>
                    <w:adjustRightInd w:val="0"/>
                    <w:snapToGrid w:val="0"/>
                    <w:jc w:val="center"/>
                    <w:rPr>
                      <w:rFonts w:ascii="宋体" w:hAnsi="宋体" w:cs="宋体"/>
                      <w:szCs w:val="21"/>
                    </w:rPr>
                  </w:pPr>
                </w:p>
              </w:tc>
              <w:tc>
                <w:tcPr>
                  <w:tcW w:w="1700" w:type="dxa"/>
                  <w:vMerge w:val="continue"/>
                  <w:tcBorders>
                    <w:tl2br w:val="nil"/>
                    <w:tr2bl w:val="nil"/>
                  </w:tcBorders>
                  <w:vAlign w:val="center"/>
                </w:tcPr>
                <w:p>
                  <w:pPr>
                    <w:tabs>
                      <w:tab w:val="left" w:pos="624"/>
                    </w:tabs>
                    <w:adjustRightInd w:val="0"/>
                    <w:snapToGrid w:val="0"/>
                    <w:rPr>
                      <w:rFonts w:ascii="宋体" w:hAnsi="宋体" w:cs="宋体"/>
                      <w:szCs w:val="21"/>
                      <w:shd w:val="clear" w:color="auto" w:fill="FFFFFF"/>
                    </w:rPr>
                  </w:pPr>
                </w:p>
              </w:tc>
              <w:tc>
                <w:tcPr>
                  <w:tcW w:w="900" w:type="dxa"/>
                  <w:tcBorders>
                    <w:tl2br w:val="nil"/>
                    <w:tr2bl w:val="nil"/>
                  </w:tcBorders>
                  <w:vAlign w:val="center"/>
                </w:tcPr>
                <w:p>
                  <w:pPr>
                    <w:tabs>
                      <w:tab w:val="left" w:pos="624"/>
                    </w:tabs>
                    <w:adjustRightInd w:val="0"/>
                    <w:snapToGrid w:val="0"/>
                    <w:jc w:val="center"/>
                    <w:rPr>
                      <w:rFonts w:ascii="宋体" w:hAnsi="宋体" w:cs="宋体"/>
                      <w:szCs w:val="21"/>
                    </w:rPr>
                  </w:pPr>
                  <w:r>
                    <w:rPr>
                      <w:rFonts w:hint="eastAsia" w:ascii="宋体" w:hAnsi="宋体" w:cs="宋体"/>
                      <w:szCs w:val="21"/>
                    </w:rPr>
                    <w:t>硫酸雾</w:t>
                  </w:r>
                </w:p>
              </w:tc>
              <w:tc>
                <w:tcPr>
                  <w:tcW w:w="1063" w:type="dxa"/>
                  <w:tcBorders>
                    <w:tl2br w:val="nil"/>
                    <w:tr2bl w:val="nil"/>
                  </w:tcBorders>
                  <w:vAlign w:val="center"/>
                </w:tcPr>
                <w:p>
                  <w:pPr>
                    <w:tabs>
                      <w:tab w:val="left" w:pos="624"/>
                    </w:tabs>
                    <w:adjustRightInd w:val="0"/>
                    <w:snapToGrid w:val="0"/>
                    <w:jc w:val="center"/>
                    <w:rPr>
                      <w:rFonts w:ascii="宋体" w:hAnsi="宋体" w:cs="宋体"/>
                      <w:szCs w:val="21"/>
                      <w:shd w:val="clear" w:color="auto" w:fill="FFFFFF"/>
                    </w:rPr>
                  </w:pPr>
                  <w:r>
                    <w:rPr>
                      <w:rFonts w:hint="eastAsia" w:ascii="宋体" w:hAnsi="宋体" w:cs="宋体"/>
                      <w:color w:val="000000"/>
                      <w:kern w:val="0"/>
                      <w:szCs w:val="21"/>
                    </w:rPr>
                    <w:t>0.000083</w:t>
                  </w:r>
                </w:p>
              </w:tc>
              <w:tc>
                <w:tcPr>
                  <w:tcW w:w="1078" w:type="dxa"/>
                  <w:tcBorders>
                    <w:tl2br w:val="nil"/>
                    <w:tr2bl w:val="nil"/>
                  </w:tcBorders>
                  <w:vAlign w:val="center"/>
                </w:tcPr>
                <w:p>
                  <w:pPr>
                    <w:tabs>
                      <w:tab w:val="left" w:pos="624"/>
                    </w:tabs>
                    <w:adjustRightInd w:val="0"/>
                    <w:snapToGrid w:val="0"/>
                    <w:jc w:val="center"/>
                    <w:rPr>
                      <w:rFonts w:ascii="宋体" w:hAnsi="宋体" w:cs="宋体"/>
                      <w:szCs w:val="21"/>
                    </w:rPr>
                  </w:pPr>
                  <w:r>
                    <w:rPr>
                      <w:rFonts w:hint="eastAsia" w:ascii="宋体" w:hAnsi="宋体" w:cs="宋体"/>
                      <w:color w:val="000000"/>
                      <w:kern w:val="0"/>
                      <w:szCs w:val="21"/>
                    </w:rPr>
                    <w:t>1.25</w:t>
                  </w:r>
                  <w:r>
                    <w:rPr>
                      <w:rFonts w:hint="eastAsia" w:ascii="宋体" w:hAnsi="宋体" w:cs="宋体"/>
                      <w:color w:val="000000"/>
                      <w:kern w:val="0"/>
                      <w:sz w:val="24"/>
                    </w:rPr>
                    <w:t>×</w:t>
                  </w:r>
                  <w:r>
                    <w:rPr>
                      <w:rFonts w:hint="eastAsia" w:ascii="宋体" w:hAnsi="宋体" w:cs="宋体"/>
                      <w:color w:val="000000"/>
                      <w:kern w:val="0"/>
                      <w:szCs w:val="21"/>
                    </w:rPr>
                    <w:t>10</w:t>
                  </w:r>
                  <w:r>
                    <w:rPr>
                      <w:rFonts w:hint="eastAsia" w:ascii="宋体" w:hAnsi="宋体" w:cs="宋体"/>
                      <w:color w:val="000000"/>
                      <w:kern w:val="0"/>
                      <w:szCs w:val="21"/>
                      <w:vertAlign w:val="superscript"/>
                    </w:rPr>
                    <w:t>-7</w:t>
                  </w:r>
                </w:p>
              </w:tc>
              <w:tc>
                <w:tcPr>
                  <w:tcW w:w="693" w:type="dxa"/>
                  <w:tcBorders>
                    <w:tl2br w:val="nil"/>
                    <w:tr2bl w:val="nil"/>
                  </w:tcBorders>
                  <w:vAlign w:val="center"/>
                </w:tcPr>
                <w:p>
                  <w:pPr>
                    <w:tabs>
                      <w:tab w:val="left" w:pos="624"/>
                    </w:tabs>
                    <w:adjustRightInd w:val="0"/>
                    <w:snapToGrid w:val="0"/>
                    <w:jc w:val="center"/>
                    <w:rPr>
                      <w:rFonts w:ascii="宋体" w:hAnsi="宋体" w:cs="宋体"/>
                      <w:szCs w:val="21"/>
                      <w:shd w:val="clear" w:color="auto" w:fill="FFFFFF"/>
                    </w:rPr>
                  </w:pPr>
                  <w:r>
                    <w:rPr>
                      <w:rFonts w:hint="eastAsia" w:ascii="宋体" w:hAnsi="宋体" w:cs="宋体"/>
                      <w:szCs w:val="21"/>
                      <w:shd w:val="clear" w:color="auto" w:fill="FFFFFF"/>
                    </w:rPr>
                    <w:t>0.5</w:t>
                  </w:r>
                </w:p>
              </w:tc>
              <w:tc>
                <w:tcPr>
                  <w:tcW w:w="641" w:type="dxa"/>
                  <w:vMerge w:val="continue"/>
                  <w:tcBorders>
                    <w:tl2br w:val="nil"/>
                    <w:tr2bl w:val="nil"/>
                  </w:tcBorders>
                  <w:vAlign w:val="center"/>
                </w:tcPr>
                <w:p>
                  <w:pPr>
                    <w:tabs>
                      <w:tab w:val="left" w:pos="624"/>
                    </w:tabs>
                    <w:adjustRightInd w:val="0"/>
                    <w:snapToGrid w:val="0"/>
                    <w:jc w:val="center"/>
                    <w:rPr>
                      <w:rFonts w:ascii="宋体" w:hAnsi="宋体" w:cs="宋体"/>
                      <w:szCs w:val="21"/>
                      <w:shd w:val="clear" w:color="auto" w:fill="FFFFFF"/>
                    </w:rPr>
                  </w:pPr>
                </w:p>
              </w:tc>
              <w:tc>
                <w:tcPr>
                  <w:tcW w:w="1229" w:type="dxa"/>
                  <w:vMerge w:val="continue"/>
                  <w:tcBorders>
                    <w:tl2br w:val="nil"/>
                    <w:tr2bl w:val="nil"/>
                  </w:tcBorders>
                  <w:vAlign w:val="center"/>
                </w:tcPr>
                <w:p>
                  <w:pPr>
                    <w:tabs>
                      <w:tab w:val="left" w:pos="624"/>
                    </w:tabs>
                    <w:adjustRightInd w:val="0"/>
                    <w:snapToGrid w:val="0"/>
                    <w:jc w:val="center"/>
                    <w:rPr>
                      <w:rFonts w:ascii="宋体" w:hAnsi="宋体" w:cs="宋体"/>
                      <w:szCs w:val="21"/>
                      <w:shd w:val="clear" w:color="auto" w:fill="FFFFFF"/>
                    </w:rPr>
                  </w:pPr>
                </w:p>
              </w:tc>
            </w:tr>
          </w:tbl>
          <w:p>
            <w:pPr>
              <w:widowControl/>
              <w:spacing w:line="360" w:lineRule="auto"/>
              <w:ind w:left="420" w:leftChars="200"/>
            </w:pPr>
            <w:r>
              <w:rPr>
                <w:rFonts w:hint="eastAsia" w:ascii="宋体" w:hAnsi="宋体" w:cs="宋体"/>
                <w:color w:val="000000"/>
                <w:kern w:val="0"/>
                <w:sz w:val="24"/>
              </w:rPr>
              <w:t xml:space="preserve">由于本项目废气产生量较小，故本项目处于非正常工况状态下，也不会对周 </w:t>
            </w:r>
          </w:p>
          <w:p>
            <w:pPr>
              <w:widowControl/>
              <w:spacing w:line="360" w:lineRule="auto"/>
            </w:pPr>
            <w:r>
              <w:rPr>
                <w:rFonts w:hint="eastAsia" w:ascii="宋体" w:hAnsi="宋体" w:cs="宋体"/>
                <w:color w:val="000000"/>
                <w:kern w:val="0"/>
                <w:sz w:val="24"/>
              </w:rPr>
              <w:t>围的环境产生较大影响。出现废气污染防治设施下降的情况，应及时停止生产作业，运行正常后才能恢复生产。</w:t>
            </w:r>
          </w:p>
          <w:p>
            <w:pPr>
              <w:spacing w:line="360" w:lineRule="auto"/>
              <w:ind w:firstLine="420" w:firstLineChars="200"/>
              <w:rPr>
                <w:b/>
                <w:bCs/>
                <w:sz w:val="24"/>
              </w:rPr>
            </w:pPr>
            <w:r>
              <w:rPr>
                <w:rFonts w:hint="eastAsia"/>
              </w:rPr>
              <w:t xml:space="preserve"> </w:t>
            </w:r>
            <w:r>
              <w:rPr>
                <w:rFonts w:hint="eastAsia"/>
                <w:b/>
                <w:bCs/>
                <w:sz w:val="24"/>
              </w:rPr>
              <w:t>2、废水</w:t>
            </w:r>
          </w:p>
          <w:p>
            <w:pPr>
              <w:pStyle w:val="18"/>
              <w:spacing w:line="360" w:lineRule="auto"/>
              <w:rPr>
                <w:i/>
                <w:iCs/>
                <w:u w:val="single"/>
              </w:rPr>
            </w:pPr>
            <w:r>
              <w:rPr>
                <w:rFonts w:hint="eastAsia"/>
                <w:i/>
                <w:iCs/>
                <w:u w:val="single"/>
              </w:rPr>
              <w:t>（1）污染源分析</w:t>
            </w:r>
          </w:p>
          <w:p>
            <w:pPr>
              <w:widowControl/>
              <w:spacing w:line="360" w:lineRule="auto"/>
              <w:ind w:firstLine="480" w:firstLineChars="200"/>
              <w:rPr>
                <w:i/>
                <w:iCs/>
                <w:sz w:val="24"/>
                <w:u w:val="single"/>
              </w:rPr>
            </w:pPr>
            <w:r>
              <w:rPr>
                <w:rFonts w:hint="eastAsia"/>
                <w:i/>
                <w:iCs/>
                <w:sz w:val="24"/>
                <w:u w:val="single"/>
              </w:rPr>
              <w:t>本项目运营期产生的废水为生活污水和初期雨水，拆解车间地面不进行清洗，采用全干式清扫、干擦、吸油吸附。原厂房功能为库房，未设置排水沟及排水管网，采取水冲方式容易在拆解场地积水并混杂油泥及金属碎屑，不利于拆解工序的正常开展，</w:t>
            </w:r>
            <w:r>
              <w:rPr>
                <w:i/>
                <w:iCs/>
                <w:sz w:val="24"/>
                <w:u w:val="single"/>
              </w:rPr>
              <w:t>此项目拆解区域不采用水洗保洁方式，采用干式清扫 + 吸油毡吸附方式维持场地清洁：散落金属碎屑采用干式清扫收集，少量滴落油污及时使用</w:t>
            </w:r>
            <w:r>
              <w:rPr>
                <w:rFonts w:hint="eastAsia"/>
                <w:i/>
                <w:iCs/>
                <w:sz w:val="24"/>
                <w:u w:val="single"/>
              </w:rPr>
              <w:t>吸附材料</w:t>
            </w:r>
            <w:r>
              <w:rPr>
                <w:i/>
                <w:iCs/>
                <w:sz w:val="24"/>
                <w:u w:val="single"/>
              </w:rPr>
              <w:t>吸附处理；吸附饱和的含油吸附材料作为危险废物规范收集处置。该方式无冲洗废水产生，作业场地保持干燥，兼顾生产操作安全、现场环境卫生与污染防控要求。</w:t>
            </w:r>
          </w:p>
          <w:p>
            <w:pPr>
              <w:widowControl/>
              <w:spacing w:line="360" w:lineRule="auto"/>
              <w:ind w:firstLine="480" w:firstLineChars="200"/>
              <w:rPr>
                <w:i/>
                <w:iCs/>
                <w:u w:val="single"/>
              </w:rPr>
            </w:pPr>
            <w:r>
              <w:rPr>
                <w:rFonts w:hint="eastAsia"/>
                <w:i/>
                <w:iCs/>
                <w:sz w:val="24"/>
                <w:u w:val="single"/>
              </w:rPr>
              <w:t>生活污水产生量为</w:t>
            </w:r>
            <w:r>
              <w:rPr>
                <w:rFonts w:hint="eastAsia"/>
                <w:bCs/>
                <w:i/>
                <w:iCs/>
                <w:sz w:val="24"/>
                <w:u w:val="single"/>
              </w:rPr>
              <w:t>0.24</w:t>
            </w:r>
            <w:r>
              <w:rPr>
                <w:bCs/>
                <w:i/>
                <w:iCs/>
                <w:sz w:val="24"/>
                <w:u w:val="single"/>
              </w:rPr>
              <w:t>m</w:t>
            </w:r>
            <w:r>
              <w:rPr>
                <w:bCs/>
                <w:i/>
                <w:iCs/>
                <w:sz w:val="24"/>
                <w:u w:val="single"/>
                <w:vertAlign w:val="superscript"/>
              </w:rPr>
              <w:t>3</w:t>
            </w:r>
            <w:r>
              <w:rPr>
                <w:bCs/>
                <w:i/>
                <w:iCs/>
                <w:sz w:val="24"/>
                <w:u w:val="single"/>
              </w:rPr>
              <w:t>/d（</w:t>
            </w:r>
            <w:r>
              <w:rPr>
                <w:rFonts w:hint="eastAsia"/>
                <w:bCs/>
                <w:i/>
                <w:iCs/>
                <w:sz w:val="24"/>
                <w:u w:val="single"/>
              </w:rPr>
              <w:t>43.2</w:t>
            </w:r>
            <w:r>
              <w:rPr>
                <w:bCs/>
                <w:i/>
                <w:iCs/>
                <w:sz w:val="24"/>
                <w:u w:val="single"/>
              </w:rPr>
              <w:t>m</w:t>
            </w:r>
            <w:r>
              <w:rPr>
                <w:bCs/>
                <w:i/>
                <w:iCs/>
                <w:sz w:val="24"/>
                <w:u w:val="single"/>
                <w:vertAlign w:val="superscript"/>
              </w:rPr>
              <w:t>3</w:t>
            </w:r>
            <w:r>
              <w:rPr>
                <w:bCs/>
                <w:i/>
                <w:iCs/>
                <w:sz w:val="24"/>
                <w:u w:val="single"/>
              </w:rPr>
              <w:t>/a）</w:t>
            </w:r>
            <w:r>
              <w:rPr>
                <w:rFonts w:hint="eastAsia"/>
                <w:i/>
                <w:iCs/>
                <w:sz w:val="24"/>
                <w:u w:val="single"/>
              </w:rPr>
              <w:t>，废水中主要污染物为COD、BOD</w:t>
            </w:r>
            <w:r>
              <w:rPr>
                <w:rFonts w:hint="eastAsia"/>
                <w:i/>
                <w:iCs/>
                <w:sz w:val="24"/>
                <w:u w:val="single"/>
                <w:vertAlign w:val="subscript"/>
              </w:rPr>
              <w:t>5</w:t>
            </w:r>
            <w:r>
              <w:rPr>
                <w:rFonts w:hint="eastAsia"/>
                <w:i/>
                <w:iCs/>
                <w:sz w:val="24"/>
                <w:u w:val="single"/>
              </w:rPr>
              <w:t>、SS和氨氮。由于项目所在地无市政排水管网，生活污水排入厂区防渗化粪池，定期由周边农户清掏作农肥。新建一座容积为30m</w:t>
            </w:r>
            <w:r>
              <w:rPr>
                <w:rFonts w:hint="eastAsia"/>
                <w:i/>
                <w:iCs/>
                <w:sz w:val="24"/>
                <w:u w:val="single"/>
                <w:vertAlign w:val="superscript"/>
              </w:rPr>
              <w:t>3</w:t>
            </w:r>
            <w:r>
              <w:rPr>
                <w:rFonts w:hint="eastAsia"/>
                <w:i/>
                <w:iCs/>
                <w:sz w:val="24"/>
                <w:u w:val="single"/>
              </w:rPr>
              <w:t>污水储池，用于初期雨水的收集，经计算初期雨水量为7.3m</w:t>
            </w:r>
            <w:r>
              <w:rPr>
                <w:rFonts w:hint="eastAsia"/>
                <w:i/>
                <w:iCs/>
                <w:sz w:val="24"/>
                <w:u w:val="single"/>
                <w:vertAlign w:val="superscript"/>
              </w:rPr>
              <w:t>3</w:t>
            </w:r>
            <w:r>
              <w:rPr>
                <w:rFonts w:hint="eastAsia"/>
                <w:i/>
                <w:iCs/>
                <w:sz w:val="24"/>
                <w:u w:val="single"/>
              </w:rPr>
              <w:t>，本项目厂房内地面已进行硬化，初期雨水主要收集进入车间的临时存放场地的降雨回流，经自然坡降汇入初期雨水池，初期雨水池进口设置油水分离器</w:t>
            </w:r>
            <w:r>
              <w:rPr>
                <w:rFonts w:hint="eastAsia" w:ascii="宋体" w:hAnsi="宋体" w:cs="宋体"/>
                <w:i/>
                <w:iCs/>
                <w:kern w:val="0"/>
                <w:sz w:val="24"/>
                <w:u w:val="single"/>
              </w:rPr>
              <w:t>，</w:t>
            </w:r>
            <w:r>
              <w:rPr>
                <w:rFonts w:hint="eastAsia" w:ascii="宋体" w:hAnsi="宋体" w:cs="宋体"/>
                <w:i/>
                <w:iCs/>
                <w:color w:val="000000"/>
                <w:kern w:val="0"/>
                <w:sz w:val="24"/>
                <w:u w:val="single"/>
              </w:rPr>
              <w:t>经油水分离器处理后，利用罐车送至柳河县污水处理厂。</w:t>
            </w:r>
          </w:p>
          <w:p>
            <w:pPr>
              <w:spacing w:line="360" w:lineRule="auto"/>
              <w:ind w:firstLine="480" w:firstLineChars="200"/>
              <w:rPr>
                <w:rFonts w:ascii="宋体" w:hAnsi="宋体" w:cs="宋体"/>
                <w:kern w:val="0"/>
                <w:sz w:val="24"/>
              </w:rPr>
            </w:pPr>
            <w:bookmarkStart w:id="10" w:name="OLE_LINK12"/>
            <w:r>
              <w:rPr>
                <w:rFonts w:hint="eastAsia" w:ascii="宋体" w:hAnsi="宋体" w:cs="宋体"/>
                <w:i/>
                <w:iCs/>
                <w:kern w:val="0"/>
                <w:sz w:val="24"/>
                <w:u w:val="single"/>
              </w:rPr>
              <w:t>结合本项目实际情况，根据《排污许可证申请与核发技术规范 废弃资源加工工业》（</w:t>
            </w:r>
            <w:r>
              <w:rPr>
                <w:rFonts w:ascii="宋体" w:hAnsi="宋体" w:cs="宋体"/>
                <w:i/>
                <w:iCs/>
                <w:kern w:val="0"/>
                <w:sz w:val="24"/>
                <w:u w:val="single"/>
              </w:rPr>
              <w:t>HJ1034-2019</w:t>
            </w:r>
            <w:r>
              <w:rPr>
                <w:rFonts w:hint="eastAsia" w:ascii="宋体" w:hAnsi="宋体" w:cs="宋体"/>
                <w:i/>
                <w:iCs/>
                <w:kern w:val="0"/>
                <w:sz w:val="24"/>
                <w:u w:val="single"/>
              </w:rPr>
              <w:t>）中“</w:t>
            </w:r>
            <w:r>
              <w:rPr>
                <w:rFonts w:ascii="宋体" w:hAnsi="宋体" w:cs="宋体"/>
                <w:i/>
                <w:iCs/>
                <w:kern w:val="0"/>
                <w:sz w:val="24"/>
                <w:u w:val="single"/>
              </w:rPr>
              <w:t xml:space="preserve">4.5 </w:t>
            </w:r>
            <w:r>
              <w:rPr>
                <w:rFonts w:hint="eastAsia" w:ascii="宋体" w:hAnsi="宋体" w:cs="宋体"/>
                <w:i/>
                <w:iCs/>
                <w:kern w:val="0"/>
                <w:sz w:val="24"/>
                <w:u w:val="single"/>
              </w:rPr>
              <w:t>废机动车加工”确定本项目废水污染物类别。</w:t>
            </w:r>
            <w:r>
              <w:rPr>
                <w:rFonts w:ascii="宋体" w:hAnsi="宋体" w:cs="宋体"/>
                <w:i/>
                <w:iCs/>
                <w:kern w:val="0"/>
                <w:sz w:val="24"/>
                <w:u w:val="single"/>
              </w:rPr>
              <w:t>：《室外排水设计标准》GB 50014-2021</w:t>
            </w:r>
            <w:r>
              <w:rPr>
                <w:rFonts w:hint="eastAsia" w:ascii="宋体" w:hAnsi="宋体" w:cs="宋体"/>
                <w:i/>
                <w:iCs/>
                <w:kern w:val="0"/>
                <w:sz w:val="24"/>
                <w:u w:val="single"/>
              </w:rPr>
              <w:t>中</w:t>
            </w:r>
            <w:r>
              <w:rPr>
                <w:rFonts w:ascii="宋体" w:hAnsi="宋体" w:cs="宋体"/>
                <w:i/>
                <w:iCs/>
                <w:kern w:val="0"/>
                <w:sz w:val="24"/>
                <w:u w:val="single"/>
              </w:rPr>
              <w:t>附录中提供城镇生活污水原水典型水质参考范围：COD：250～400mg/L；BOD</w:t>
            </w:r>
            <w:r>
              <w:rPr>
                <w:rFonts w:ascii="Cambria Math" w:hAnsi="Cambria Math" w:cs="Cambria Math"/>
                <w:i/>
                <w:iCs/>
                <w:kern w:val="0"/>
                <w:sz w:val="24"/>
                <w:u w:val="single"/>
              </w:rPr>
              <w:t>₅</w:t>
            </w:r>
            <w:r>
              <w:rPr>
                <w:rFonts w:ascii="宋体" w:hAnsi="宋体" w:cs="宋体"/>
                <w:i/>
                <w:iCs/>
                <w:kern w:val="0"/>
                <w:sz w:val="24"/>
                <w:u w:val="single"/>
              </w:rPr>
              <w:t>：100～200mg/L；SS：150～300mg/L；氨氮：15～35mg/L。项目</w:t>
            </w:r>
            <w:r>
              <w:rPr>
                <w:rFonts w:hint="eastAsia" w:ascii="宋体" w:hAnsi="宋体" w:cs="宋体"/>
                <w:i/>
                <w:iCs/>
                <w:kern w:val="0"/>
                <w:sz w:val="24"/>
                <w:u w:val="single"/>
              </w:rPr>
              <w:t>不设置</w:t>
            </w:r>
            <w:r>
              <w:rPr>
                <w:rFonts w:ascii="宋体" w:hAnsi="宋体" w:cs="宋体"/>
                <w:i/>
                <w:iCs/>
                <w:kern w:val="0"/>
                <w:sz w:val="24"/>
                <w:u w:val="single"/>
              </w:rPr>
              <w:t>食堂、无餐饮废水，仅有卫生冲厕、</w:t>
            </w:r>
            <w:r>
              <w:rPr>
                <w:rFonts w:hint="eastAsia" w:ascii="宋体" w:hAnsi="宋体" w:cs="宋体"/>
                <w:i/>
                <w:iCs/>
                <w:kern w:val="0"/>
                <w:sz w:val="24"/>
                <w:u w:val="single"/>
              </w:rPr>
              <w:t>洒扫</w:t>
            </w:r>
            <w:r>
              <w:rPr>
                <w:rFonts w:ascii="宋体" w:hAnsi="宋体" w:cs="宋体"/>
                <w:i/>
                <w:iCs/>
                <w:kern w:val="0"/>
                <w:sz w:val="24"/>
                <w:u w:val="single"/>
              </w:rPr>
              <w:t>废水，因此选取</w:t>
            </w:r>
            <w:r>
              <w:rPr>
                <w:rFonts w:hint="eastAsia" w:ascii="宋体" w:hAnsi="宋体" w:cs="宋体"/>
                <w:i/>
                <w:iCs/>
                <w:kern w:val="0"/>
                <w:sz w:val="24"/>
                <w:u w:val="single"/>
              </w:rPr>
              <w:t>水质平均</w:t>
            </w:r>
            <w:r>
              <w:rPr>
                <w:rFonts w:ascii="宋体" w:hAnsi="宋体" w:cs="宋体"/>
                <w:i/>
                <w:iCs/>
                <w:kern w:val="0"/>
                <w:sz w:val="24"/>
                <w:u w:val="single"/>
              </w:rPr>
              <w:t>水平，与</w:t>
            </w:r>
            <w:r>
              <w:rPr>
                <w:rFonts w:hint="eastAsia" w:ascii="宋体" w:hAnsi="宋体" w:cs="宋体"/>
                <w:i/>
                <w:iCs/>
                <w:kern w:val="0"/>
                <w:sz w:val="24"/>
                <w:u w:val="single"/>
              </w:rPr>
              <w:t>本项目实际情况</w:t>
            </w:r>
            <w:r>
              <w:rPr>
                <w:rFonts w:ascii="宋体" w:hAnsi="宋体" w:cs="宋体"/>
                <w:i/>
                <w:iCs/>
                <w:kern w:val="0"/>
                <w:sz w:val="24"/>
                <w:u w:val="single"/>
              </w:rPr>
              <w:t>匹配。本项目</w:t>
            </w:r>
            <w:r>
              <w:rPr>
                <w:rFonts w:hint="eastAsia" w:ascii="宋体" w:hAnsi="宋体" w:cs="宋体"/>
                <w:i/>
                <w:iCs/>
                <w:kern w:val="0"/>
                <w:sz w:val="24"/>
                <w:u w:val="single"/>
              </w:rPr>
              <w:t>报废</w:t>
            </w:r>
            <w:r>
              <w:rPr>
                <w:rFonts w:ascii="宋体" w:hAnsi="宋体" w:cs="宋体"/>
                <w:i/>
                <w:iCs/>
                <w:kern w:val="0"/>
                <w:sz w:val="24"/>
                <w:u w:val="single"/>
              </w:rPr>
              <w:t>农机暂存、</w:t>
            </w:r>
            <w:r>
              <w:rPr>
                <w:rFonts w:hint="eastAsia" w:ascii="宋体" w:hAnsi="宋体" w:cs="宋体"/>
                <w:i/>
                <w:iCs/>
                <w:kern w:val="0"/>
                <w:sz w:val="24"/>
                <w:u w:val="single"/>
              </w:rPr>
              <w:t>进厂道路</w:t>
            </w:r>
            <w:r>
              <w:rPr>
                <w:rFonts w:ascii="宋体" w:hAnsi="宋体" w:cs="宋体"/>
                <w:i/>
                <w:iCs/>
                <w:kern w:val="0"/>
                <w:sz w:val="24"/>
                <w:u w:val="single"/>
              </w:rPr>
              <w:t>降雨冲刷地表浮渣、微量渗漏残油产生污染</w:t>
            </w:r>
            <w:r>
              <w:rPr>
                <w:rFonts w:hint="eastAsia" w:ascii="宋体" w:hAnsi="宋体" w:cs="宋体"/>
                <w:i/>
                <w:iCs/>
                <w:kern w:val="0"/>
                <w:sz w:val="24"/>
                <w:u w:val="single"/>
              </w:rPr>
              <w:t>，</w:t>
            </w:r>
            <w:r>
              <w:rPr>
                <w:rFonts w:ascii="宋体" w:hAnsi="宋体" w:cs="宋体"/>
                <w:i/>
                <w:iCs/>
                <w:kern w:val="0"/>
                <w:sz w:val="24"/>
                <w:u w:val="single"/>
              </w:rPr>
              <w:t>参考报废农机、再生资源拆解类项目工程经验，初期雨水</w:t>
            </w:r>
            <w:r>
              <w:rPr>
                <w:rFonts w:hint="eastAsia" w:ascii="宋体" w:hAnsi="宋体" w:cs="宋体"/>
                <w:i/>
                <w:iCs/>
                <w:kern w:val="0"/>
                <w:sz w:val="24"/>
                <w:u w:val="single"/>
              </w:rPr>
              <w:t>中主要污染物类别包括</w:t>
            </w:r>
            <w:r>
              <w:rPr>
                <w:rFonts w:ascii="宋体" w:hAnsi="宋体" w:cs="宋体"/>
                <w:i/>
                <w:iCs/>
                <w:kern w:val="0"/>
                <w:sz w:val="24"/>
                <w:u w:val="single"/>
              </w:rPr>
              <w:t>COD、SS、石油类</w:t>
            </w:r>
            <w:r>
              <w:rPr>
                <w:rFonts w:hint="eastAsia" w:ascii="宋体" w:hAnsi="宋体" w:cs="宋体"/>
                <w:i/>
                <w:iCs/>
                <w:kern w:val="0"/>
                <w:sz w:val="24"/>
                <w:u w:val="single"/>
              </w:rPr>
              <w:t>，无行业污染物排放系数计算依据，受不同农机拆解企业环境管理水平的差异影响，无法对初期雨水收集前的污染物浓度进行类比分析。本环评参考文献资料《</w:t>
            </w:r>
            <w:r>
              <w:rPr>
                <w:rFonts w:ascii="宋体" w:hAnsi="宋体" w:cs="宋体"/>
                <w:i/>
                <w:iCs/>
                <w:kern w:val="0"/>
                <w:sz w:val="24"/>
                <w:u w:val="single"/>
              </w:rPr>
              <w:t>西安公路学院环境工程研究所《路面径流污染物浓度测定》</w:t>
            </w:r>
            <w:r>
              <w:rPr>
                <w:rFonts w:hint="eastAsia" w:ascii="宋体" w:hAnsi="宋体" w:cs="宋体"/>
                <w:i/>
                <w:iCs/>
                <w:kern w:val="0"/>
                <w:sz w:val="24"/>
                <w:u w:val="single"/>
              </w:rPr>
              <w:t>，</w:t>
            </w:r>
            <w:r>
              <w:rPr>
                <w:rFonts w:ascii="宋体" w:hAnsi="宋体" w:cs="宋体"/>
                <w:i/>
                <w:iCs/>
                <w:kern w:val="0"/>
                <w:sz w:val="24"/>
                <w:u w:val="single"/>
              </w:rPr>
              <w:t>工业机械停放硬化场地</w:t>
            </w:r>
            <w:r>
              <w:rPr>
                <w:rFonts w:hint="eastAsia" w:ascii="宋体" w:hAnsi="宋体" w:cs="宋体"/>
                <w:i/>
                <w:iCs/>
                <w:kern w:val="0"/>
                <w:sz w:val="24"/>
                <w:u w:val="single"/>
              </w:rPr>
              <w:t>降雨初期径流</w:t>
            </w:r>
            <w:r>
              <w:rPr>
                <w:rFonts w:ascii="宋体" w:hAnsi="宋体" w:cs="宋体"/>
                <w:i/>
                <w:iCs/>
                <w:kern w:val="0"/>
                <w:sz w:val="24"/>
                <w:u w:val="single"/>
              </w:rPr>
              <w:t>平均浓度区间：SS：130～260 mg/L；COD：95～170 mg/L；石油类：8～</w:t>
            </w:r>
            <w:r>
              <w:rPr>
                <w:rFonts w:hint="eastAsia" w:ascii="宋体" w:hAnsi="宋体" w:cs="宋体"/>
                <w:i/>
                <w:iCs/>
                <w:kern w:val="0"/>
                <w:sz w:val="24"/>
                <w:u w:val="single"/>
              </w:rPr>
              <w:t>25</w:t>
            </w:r>
            <w:r>
              <w:rPr>
                <w:rFonts w:ascii="宋体" w:hAnsi="宋体" w:cs="宋体"/>
                <w:i/>
                <w:iCs/>
                <w:kern w:val="0"/>
                <w:sz w:val="24"/>
                <w:u w:val="single"/>
              </w:rPr>
              <w:t xml:space="preserve"> mg/L。项目</w:t>
            </w:r>
            <w:r>
              <w:rPr>
                <w:rFonts w:hint="eastAsia" w:ascii="宋体" w:hAnsi="宋体" w:cs="宋体"/>
                <w:i/>
                <w:iCs/>
                <w:kern w:val="0"/>
                <w:sz w:val="24"/>
                <w:u w:val="single"/>
              </w:rPr>
              <w:t>建设一座</w:t>
            </w:r>
            <w:r>
              <w:rPr>
                <w:rFonts w:ascii="宋体" w:hAnsi="宋体" w:cs="宋体"/>
                <w:i/>
                <w:iCs/>
                <w:kern w:val="0"/>
                <w:sz w:val="24"/>
                <w:u w:val="single"/>
              </w:rPr>
              <w:t>初期雨水收集</w:t>
            </w:r>
            <w:r>
              <w:rPr>
                <w:rFonts w:hint="eastAsia" w:ascii="宋体" w:hAnsi="宋体" w:cs="宋体"/>
                <w:i/>
                <w:iCs/>
                <w:kern w:val="0"/>
                <w:sz w:val="24"/>
                <w:u w:val="single"/>
              </w:rPr>
              <w:t>池</w:t>
            </w:r>
            <w:r>
              <w:rPr>
                <w:rFonts w:ascii="宋体" w:hAnsi="宋体" w:cs="宋体"/>
                <w:i/>
                <w:iCs/>
                <w:kern w:val="0"/>
                <w:sz w:val="24"/>
                <w:u w:val="single"/>
              </w:rPr>
              <w:t>，</w:t>
            </w:r>
            <w:r>
              <w:rPr>
                <w:rFonts w:hint="eastAsia" w:ascii="宋体" w:hAnsi="宋体" w:cs="宋体"/>
                <w:i/>
                <w:iCs/>
                <w:kern w:val="0"/>
                <w:sz w:val="24"/>
                <w:u w:val="single"/>
              </w:rPr>
              <w:t>配套安装装配式隔油井，</w:t>
            </w:r>
            <w:r>
              <w:rPr>
                <w:rFonts w:ascii="宋体" w:hAnsi="宋体" w:cs="宋体"/>
                <w:i/>
                <w:iCs/>
                <w:kern w:val="0"/>
                <w:sz w:val="24"/>
                <w:u w:val="single"/>
              </w:rPr>
              <w:t>按《给水排水设计手册》平流式隔油池设计参数及斯托克斯定律，对粒径 &gt;150 μm 的游离油去除率可达 90% 以上</w:t>
            </w:r>
            <w:r>
              <w:rPr>
                <w:rFonts w:hint="eastAsia" w:ascii="宋体" w:hAnsi="宋体" w:cs="宋体"/>
                <w:i/>
                <w:iCs/>
                <w:kern w:val="0"/>
                <w:sz w:val="24"/>
                <w:u w:val="single"/>
              </w:rPr>
              <w:t>，故本项目石油类</w:t>
            </w:r>
            <w:r>
              <w:rPr>
                <w:rFonts w:ascii="宋体" w:hAnsi="宋体" w:cs="宋体"/>
                <w:i/>
                <w:iCs/>
                <w:kern w:val="0"/>
                <w:sz w:val="24"/>
                <w:u w:val="single"/>
              </w:rPr>
              <w:t>去除效率取 90%，属于隔油设施常规去除水平</w:t>
            </w:r>
            <w:r>
              <w:rPr>
                <w:rFonts w:hint="eastAsia" w:ascii="宋体" w:hAnsi="宋体" w:cs="宋体"/>
                <w:i/>
                <w:iCs/>
                <w:kern w:val="0"/>
                <w:sz w:val="24"/>
                <w:u w:val="single"/>
              </w:rPr>
              <w:t>。</w:t>
            </w:r>
            <w:bookmarkEnd w:id="10"/>
            <w:r>
              <w:rPr>
                <w:rFonts w:hint="eastAsia" w:ascii="宋体" w:hAnsi="宋体" w:cs="宋体"/>
                <w:kern w:val="0"/>
                <w:sz w:val="24"/>
              </w:rPr>
              <w:t>污染物的产生浓度及产生量情况详见表4-6。</w:t>
            </w:r>
          </w:p>
          <w:p>
            <w:pPr>
              <w:jc w:val="center"/>
              <w:rPr>
                <w:rFonts w:ascii="宋体" w:hAnsi="宋体" w:cs="宋体"/>
                <w:b/>
                <w:sz w:val="24"/>
              </w:rPr>
            </w:pPr>
            <w:r>
              <w:rPr>
                <w:rFonts w:hint="eastAsia" w:ascii="宋体" w:hAnsi="宋体" w:cs="宋体"/>
                <w:b/>
                <w:sz w:val="24"/>
              </w:rPr>
              <w:t>表4-6   废水污染物产生情况一览表</w:t>
            </w:r>
          </w:p>
          <w:tbl>
            <w:tblPr>
              <w:tblW w:w="8360"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left w:w="108" w:type="dxa"/>
                <w:right w:w="108" w:type="dxa"/>
              </w:tblCellMar>
            </w:tblPr>
            <w:tblGrid>
              <w:gridCol w:w="1139"/>
              <w:gridCol w:w="1190"/>
              <w:gridCol w:w="806"/>
              <w:gridCol w:w="1045"/>
              <w:gridCol w:w="1045"/>
              <w:gridCol w:w="1045"/>
              <w:gridCol w:w="1045"/>
              <w:gridCol w:w="1045"/>
            </w:tblGrid>
            <w:tr>
              <w:trPr>
                <w:trHeight w:val="677" w:hRule="atLeast"/>
                <w:jc w:val="center"/>
              </w:trPr>
              <w:tc>
                <w:tcPr>
                  <w:tcW w:w="1139" w:type="dxa"/>
                  <w:vAlign w:val="center"/>
                </w:tcPr>
                <w:p>
                  <w:pPr>
                    <w:jc w:val="center"/>
                    <w:rPr>
                      <w:szCs w:val="21"/>
                    </w:rPr>
                  </w:pPr>
                  <w:r>
                    <w:rPr>
                      <w:rFonts w:hint="eastAsia"/>
                      <w:szCs w:val="21"/>
                    </w:rPr>
                    <w:t>废水来源</w:t>
                  </w:r>
                </w:p>
              </w:tc>
              <w:tc>
                <w:tcPr>
                  <w:tcW w:w="1190" w:type="dxa"/>
                  <w:vAlign w:val="center"/>
                </w:tcPr>
                <w:p>
                  <w:pPr>
                    <w:jc w:val="center"/>
                    <w:rPr>
                      <w:szCs w:val="21"/>
                    </w:rPr>
                  </w:pPr>
                  <w:r>
                    <w:rPr>
                      <w:rFonts w:hint="eastAsia"/>
                      <w:szCs w:val="21"/>
                    </w:rPr>
                    <w:t>废水量</w:t>
                  </w:r>
                </w:p>
              </w:tc>
              <w:tc>
                <w:tcPr>
                  <w:tcW w:w="806" w:type="dxa"/>
                  <w:vAlign w:val="center"/>
                </w:tcPr>
                <w:p>
                  <w:pPr>
                    <w:jc w:val="center"/>
                    <w:rPr>
                      <w:szCs w:val="21"/>
                    </w:rPr>
                  </w:pPr>
                  <w:r>
                    <w:rPr>
                      <w:rFonts w:hint="eastAsia"/>
                      <w:szCs w:val="21"/>
                    </w:rPr>
                    <w:t>污染</w:t>
                  </w:r>
                </w:p>
                <w:p>
                  <w:pPr>
                    <w:jc w:val="center"/>
                    <w:rPr>
                      <w:szCs w:val="21"/>
                    </w:rPr>
                  </w:pPr>
                  <w:r>
                    <w:rPr>
                      <w:rFonts w:hint="eastAsia"/>
                      <w:szCs w:val="21"/>
                    </w:rPr>
                    <w:t>因子</w:t>
                  </w:r>
                </w:p>
              </w:tc>
              <w:tc>
                <w:tcPr>
                  <w:tcW w:w="1045" w:type="dxa"/>
                  <w:vAlign w:val="center"/>
                </w:tcPr>
                <w:p>
                  <w:pPr>
                    <w:jc w:val="center"/>
                    <w:rPr>
                      <w:szCs w:val="21"/>
                    </w:rPr>
                  </w:pPr>
                  <w:r>
                    <w:rPr>
                      <w:rFonts w:hint="eastAsia"/>
                      <w:szCs w:val="21"/>
                    </w:rPr>
                    <w:t>产生</w:t>
                  </w:r>
                </w:p>
                <w:p>
                  <w:pPr>
                    <w:jc w:val="center"/>
                    <w:rPr>
                      <w:szCs w:val="21"/>
                    </w:rPr>
                  </w:pPr>
                  <w:r>
                    <w:rPr>
                      <w:rFonts w:hint="eastAsia"/>
                      <w:szCs w:val="21"/>
                    </w:rPr>
                    <w:t>浓度</w:t>
                  </w:r>
                </w:p>
              </w:tc>
              <w:tc>
                <w:tcPr>
                  <w:tcW w:w="1045" w:type="dxa"/>
                  <w:vAlign w:val="center"/>
                </w:tcPr>
                <w:p>
                  <w:pPr>
                    <w:jc w:val="center"/>
                    <w:rPr>
                      <w:szCs w:val="21"/>
                    </w:rPr>
                  </w:pPr>
                  <w:r>
                    <w:rPr>
                      <w:rFonts w:hint="eastAsia"/>
                      <w:szCs w:val="21"/>
                    </w:rPr>
                    <w:t>产生量</w:t>
                  </w:r>
                </w:p>
              </w:tc>
              <w:tc>
                <w:tcPr>
                  <w:tcW w:w="1045" w:type="dxa"/>
                  <w:vAlign w:val="center"/>
                </w:tcPr>
                <w:p>
                  <w:pPr>
                    <w:jc w:val="center"/>
                    <w:rPr>
                      <w:szCs w:val="21"/>
                    </w:rPr>
                  </w:pPr>
                  <w:r>
                    <w:rPr>
                      <w:rFonts w:hint="eastAsia"/>
                      <w:szCs w:val="21"/>
                    </w:rPr>
                    <w:t>处理</w:t>
                  </w:r>
                </w:p>
                <w:p>
                  <w:pPr>
                    <w:jc w:val="center"/>
                    <w:rPr>
                      <w:szCs w:val="21"/>
                    </w:rPr>
                  </w:pPr>
                  <w:r>
                    <w:rPr>
                      <w:rFonts w:hint="eastAsia"/>
                      <w:szCs w:val="21"/>
                    </w:rPr>
                    <w:t>效率</w:t>
                  </w:r>
                </w:p>
              </w:tc>
              <w:tc>
                <w:tcPr>
                  <w:tcW w:w="1045" w:type="dxa"/>
                  <w:vAlign w:val="center"/>
                </w:tcPr>
                <w:p>
                  <w:pPr>
                    <w:jc w:val="center"/>
                    <w:rPr>
                      <w:szCs w:val="21"/>
                    </w:rPr>
                  </w:pPr>
                  <w:r>
                    <w:rPr>
                      <w:rFonts w:hint="eastAsia"/>
                      <w:szCs w:val="21"/>
                    </w:rPr>
                    <w:t>排放</w:t>
                  </w:r>
                </w:p>
                <w:p>
                  <w:pPr>
                    <w:jc w:val="center"/>
                    <w:rPr>
                      <w:szCs w:val="21"/>
                    </w:rPr>
                  </w:pPr>
                  <w:r>
                    <w:rPr>
                      <w:rFonts w:hint="eastAsia"/>
                      <w:szCs w:val="21"/>
                    </w:rPr>
                    <w:t>浓度</w:t>
                  </w:r>
                </w:p>
              </w:tc>
              <w:tc>
                <w:tcPr>
                  <w:tcW w:w="1045" w:type="dxa"/>
                  <w:vAlign w:val="center"/>
                </w:tcPr>
                <w:p>
                  <w:pPr>
                    <w:jc w:val="center"/>
                    <w:rPr>
                      <w:szCs w:val="21"/>
                    </w:rPr>
                  </w:pPr>
                  <w:r>
                    <w:rPr>
                      <w:rFonts w:hint="eastAsia"/>
                      <w:szCs w:val="21"/>
                    </w:rPr>
                    <w:t>排放量</w:t>
                  </w:r>
                </w:p>
              </w:tc>
            </w:tr>
            <w:tr>
              <w:trPr>
                <w:trHeight w:val="532" w:hRule="atLeast"/>
                <w:jc w:val="center"/>
              </w:trPr>
              <w:tc>
                <w:tcPr>
                  <w:tcW w:w="1139" w:type="dxa"/>
                  <w:vMerge w:val="restart"/>
                  <w:vAlign w:val="center"/>
                </w:tcPr>
                <w:p>
                  <w:pPr>
                    <w:jc w:val="center"/>
                    <w:rPr>
                      <w:szCs w:val="21"/>
                    </w:rPr>
                  </w:pPr>
                  <w:r>
                    <w:rPr>
                      <w:rFonts w:hint="eastAsia"/>
                      <w:szCs w:val="21"/>
                    </w:rPr>
                    <w:t>生活污水</w:t>
                  </w:r>
                </w:p>
              </w:tc>
              <w:tc>
                <w:tcPr>
                  <w:tcW w:w="1190" w:type="dxa"/>
                  <w:vMerge w:val="restart"/>
                  <w:vAlign w:val="center"/>
                </w:tcPr>
                <w:p>
                  <w:pPr>
                    <w:jc w:val="center"/>
                    <w:rPr>
                      <w:szCs w:val="21"/>
                    </w:rPr>
                  </w:pPr>
                  <w:r>
                    <w:rPr>
                      <w:rFonts w:hint="eastAsia"/>
                      <w:szCs w:val="21"/>
                    </w:rPr>
                    <w:t>43.2</w:t>
                  </w:r>
                  <w:r>
                    <w:rPr>
                      <w:szCs w:val="21"/>
                    </w:rPr>
                    <w:t>m</w:t>
                  </w:r>
                  <w:r>
                    <w:rPr>
                      <w:szCs w:val="21"/>
                      <w:vertAlign w:val="superscript"/>
                    </w:rPr>
                    <w:t>3</w:t>
                  </w:r>
                  <w:r>
                    <w:rPr>
                      <w:szCs w:val="21"/>
                    </w:rPr>
                    <w:t>/a</w:t>
                  </w:r>
                </w:p>
              </w:tc>
              <w:tc>
                <w:tcPr>
                  <w:tcW w:w="806" w:type="dxa"/>
                  <w:vAlign w:val="center"/>
                </w:tcPr>
                <w:p>
                  <w:pPr>
                    <w:jc w:val="center"/>
                    <w:rPr>
                      <w:szCs w:val="21"/>
                    </w:rPr>
                  </w:pPr>
                  <w:r>
                    <w:rPr>
                      <w:rFonts w:hint="eastAsia"/>
                      <w:szCs w:val="21"/>
                    </w:rPr>
                    <w:t>COD</w:t>
                  </w:r>
                </w:p>
              </w:tc>
              <w:tc>
                <w:tcPr>
                  <w:tcW w:w="1045" w:type="dxa"/>
                  <w:vAlign w:val="center"/>
                </w:tcPr>
                <w:p>
                  <w:pPr>
                    <w:jc w:val="center"/>
                    <w:rPr>
                      <w:szCs w:val="21"/>
                    </w:rPr>
                  </w:pPr>
                  <w:r>
                    <w:rPr>
                      <w:rFonts w:hint="eastAsia"/>
                      <w:szCs w:val="21"/>
                    </w:rPr>
                    <w:t>300mg/L</w:t>
                  </w:r>
                </w:p>
              </w:tc>
              <w:tc>
                <w:tcPr>
                  <w:tcW w:w="1045" w:type="dxa"/>
                  <w:vAlign w:val="center"/>
                </w:tcPr>
                <w:p>
                  <w:pPr>
                    <w:jc w:val="center"/>
                    <w:rPr>
                      <w:szCs w:val="21"/>
                    </w:rPr>
                  </w:pPr>
                  <w:r>
                    <w:rPr>
                      <w:rFonts w:hint="eastAsia"/>
                      <w:szCs w:val="21"/>
                    </w:rPr>
                    <w:t>0.013t/a</w:t>
                  </w:r>
                </w:p>
              </w:tc>
              <w:tc>
                <w:tcPr>
                  <w:tcW w:w="1045" w:type="dxa"/>
                  <w:vAlign w:val="center"/>
                </w:tcPr>
                <w:p>
                  <w:pPr>
                    <w:jc w:val="center"/>
                    <w:rPr>
                      <w:szCs w:val="21"/>
                    </w:rPr>
                  </w:pPr>
                  <w:r>
                    <w:rPr>
                      <w:rFonts w:hint="eastAsia"/>
                      <w:color w:val="000000"/>
                      <w:szCs w:val="21"/>
                    </w:rPr>
                    <w:t>/</w:t>
                  </w:r>
                </w:p>
              </w:tc>
              <w:tc>
                <w:tcPr>
                  <w:tcW w:w="1045" w:type="dxa"/>
                  <w:vAlign w:val="center"/>
                </w:tcPr>
                <w:p>
                  <w:pPr>
                    <w:jc w:val="center"/>
                    <w:rPr>
                      <w:szCs w:val="21"/>
                    </w:rPr>
                  </w:pPr>
                  <w:r>
                    <w:rPr>
                      <w:rFonts w:hint="eastAsia"/>
                      <w:szCs w:val="21"/>
                    </w:rPr>
                    <w:t>300mg/L</w:t>
                  </w:r>
                </w:p>
              </w:tc>
              <w:tc>
                <w:tcPr>
                  <w:tcW w:w="1045" w:type="dxa"/>
                  <w:vAlign w:val="center"/>
                </w:tcPr>
                <w:p>
                  <w:pPr>
                    <w:jc w:val="center"/>
                    <w:rPr>
                      <w:szCs w:val="21"/>
                    </w:rPr>
                  </w:pPr>
                  <w:r>
                    <w:rPr>
                      <w:rFonts w:hint="eastAsia"/>
                      <w:szCs w:val="21"/>
                    </w:rPr>
                    <w:t>0.013t/a</w:t>
                  </w:r>
                </w:p>
              </w:tc>
            </w:tr>
            <w:tr>
              <w:trPr>
                <w:trHeight w:val="427" w:hRule="atLeast"/>
                <w:jc w:val="center"/>
              </w:trPr>
              <w:tc>
                <w:tcPr>
                  <w:tcW w:w="1139" w:type="dxa"/>
                  <w:vMerge w:val="continue"/>
                  <w:vAlign w:val="center"/>
                </w:tcPr>
                <w:p>
                  <w:pPr>
                    <w:jc w:val="center"/>
                    <w:rPr>
                      <w:szCs w:val="21"/>
                    </w:rPr>
                  </w:pPr>
                </w:p>
              </w:tc>
              <w:tc>
                <w:tcPr>
                  <w:tcW w:w="1190" w:type="dxa"/>
                  <w:vMerge w:val="continue"/>
                  <w:vAlign w:val="center"/>
                </w:tcPr>
                <w:p>
                  <w:pPr>
                    <w:jc w:val="center"/>
                    <w:rPr>
                      <w:szCs w:val="21"/>
                    </w:rPr>
                  </w:pPr>
                </w:p>
              </w:tc>
              <w:tc>
                <w:tcPr>
                  <w:tcW w:w="806" w:type="dxa"/>
                  <w:vAlign w:val="center"/>
                </w:tcPr>
                <w:p>
                  <w:pPr>
                    <w:jc w:val="center"/>
                    <w:rPr>
                      <w:szCs w:val="21"/>
                    </w:rPr>
                  </w:pPr>
                  <w:r>
                    <w:rPr>
                      <w:rFonts w:hint="eastAsia"/>
                      <w:szCs w:val="21"/>
                    </w:rPr>
                    <w:t>BOD</w:t>
                  </w:r>
                  <w:r>
                    <w:rPr>
                      <w:rFonts w:hint="eastAsia"/>
                      <w:szCs w:val="21"/>
                      <w:vertAlign w:val="subscript"/>
                    </w:rPr>
                    <w:t>5</w:t>
                  </w:r>
                </w:p>
              </w:tc>
              <w:tc>
                <w:tcPr>
                  <w:tcW w:w="1045" w:type="dxa"/>
                  <w:vAlign w:val="center"/>
                </w:tcPr>
                <w:p>
                  <w:pPr>
                    <w:jc w:val="center"/>
                    <w:rPr>
                      <w:szCs w:val="21"/>
                    </w:rPr>
                  </w:pPr>
                  <w:r>
                    <w:rPr>
                      <w:rFonts w:hint="eastAsia"/>
                      <w:szCs w:val="21"/>
                    </w:rPr>
                    <w:t>150mg/L</w:t>
                  </w:r>
                </w:p>
              </w:tc>
              <w:tc>
                <w:tcPr>
                  <w:tcW w:w="1045" w:type="dxa"/>
                  <w:vAlign w:val="center"/>
                </w:tcPr>
                <w:p>
                  <w:pPr>
                    <w:jc w:val="center"/>
                    <w:rPr>
                      <w:szCs w:val="21"/>
                    </w:rPr>
                  </w:pPr>
                  <w:r>
                    <w:rPr>
                      <w:rFonts w:hint="eastAsia"/>
                      <w:szCs w:val="21"/>
                    </w:rPr>
                    <w:t>0.0065t/a</w:t>
                  </w:r>
                </w:p>
              </w:tc>
              <w:tc>
                <w:tcPr>
                  <w:tcW w:w="1045" w:type="dxa"/>
                  <w:vAlign w:val="center"/>
                </w:tcPr>
                <w:p>
                  <w:pPr>
                    <w:jc w:val="center"/>
                    <w:rPr>
                      <w:szCs w:val="21"/>
                    </w:rPr>
                  </w:pPr>
                  <w:r>
                    <w:rPr>
                      <w:rFonts w:hint="eastAsia"/>
                      <w:color w:val="000000"/>
                      <w:szCs w:val="21"/>
                    </w:rPr>
                    <w:t>/</w:t>
                  </w:r>
                </w:p>
              </w:tc>
              <w:tc>
                <w:tcPr>
                  <w:tcW w:w="1045" w:type="dxa"/>
                  <w:vAlign w:val="center"/>
                </w:tcPr>
                <w:p>
                  <w:pPr>
                    <w:jc w:val="center"/>
                    <w:rPr>
                      <w:szCs w:val="21"/>
                    </w:rPr>
                  </w:pPr>
                  <w:r>
                    <w:rPr>
                      <w:rFonts w:hint="eastAsia"/>
                      <w:szCs w:val="21"/>
                    </w:rPr>
                    <w:t>150mg/L</w:t>
                  </w:r>
                </w:p>
              </w:tc>
              <w:tc>
                <w:tcPr>
                  <w:tcW w:w="1045" w:type="dxa"/>
                  <w:vAlign w:val="center"/>
                </w:tcPr>
                <w:p>
                  <w:pPr>
                    <w:jc w:val="center"/>
                    <w:rPr>
                      <w:szCs w:val="21"/>
                    </w:rPr>
                  </w:pPr>
                  <w:r>
                    <w:rPr>
                      <w:rFonts w:hint="eastAsia"/>
                      <w:szCs w:val="21"/>
                    </w:rPr>
                    <w:t>0.0065t/a</w:t>
                  </w:r>
                </w:p>
              </w:tc>
            </w:tr>
            <w:tr>
              <w:trPr>
                <w:trHeight w:val="377" w:hRule="atLeast"/>
                <w:jc w:val="center"/>
              </w:trPr>
              <w:tc>
                <w:tcPr>
                  <w:tcW w:w="1139" w:type="dxa"/>
                  <w:vMerge w:val="continue"/>
                  <w:vAlign w:val="center"/>
                </w:tcPr>
                <w:p>
                  <w:pPr>
                    <w:jc w:val="center"/>
                    <w:rPr>
                      <w:szCs w:val="21"/>
                    </w:rPr>
                  </w:pPr>
                </w:p>
              </w:tc>
              <w:tc>
                <w:tcPr>
                  <w:tcW w:w="1190" w:type="dxa"/>
                  <w:vMerge w:val="continue"/>
                  <w:vAlign w:val="center"/>
                </w:tcPr>
                <w:p>
                  <w:pPr>
                    <w:jc w:val="center"/>
                    <w:rPr>
                      <w:szCs w:val="21"/>
                    </w:rPr>
                  </w:pPr>
                </w:p>
              </w:tc>
              <w:tc>
                <w:tcPr>
                  <w:tcW w:w="806" w:type="dxa"/>
                  <w:vAlign w:val="center"/>
                </w:tcPr>
                <w:p>
                  <w:pPr>
                    <w:jc w:val="center"/>
                    <w:rPr>
                      <w:szCs w:val="21"/>
                    </w:rPr>
                  </w:pPr>
                  <w:r>
                    <w:rPr>
                      <w:rFonts w:hint="eastAsia"/>
                      <w:szCs w:val="21"/>
                    </w:rPr>
                    <w:t>SS</w:t>
                  </w:r>
                </w:p>
              </w:tc>
              <w:tc>
                <w:tcPr>
                  <w:tcW w:w="1045" w:type="dxa"/>
                  <w:vAlign w:val="center"/>
                </w:tcPr>
                <w:p>
                  <w:pPr>
                    <w:jc w:val="center"/>
                    <w:rPr>
                      <w:szCs w:val="21"/>
                    </w:rPr>
                  </w:pPr>
                  <w:r>
                    <w:rPr>
                      <w:rFonts w:hint="eastAsia"/>
                      <w:szCs w:val="21"/>
                    </w:rPr>
                    <w:t>200mg/L</w:t>
                  </w:r>
                </w:p>
              </w:tc>
              <w:tc>
                <w:tcPr>
                  <w:tcW w:w="1045" w:type="dxa"/>
                  <w:vAlign w:val="center"/>
                </w:tcPr>
                <w:p>
                  <w:pPr>
                    <w:jc w:val="center"/>
                    <w:rPr>
                      <w:szCs w:val="21"/>
                    </w:rPr>
                  </w:pPr>
                  <w:r>
                    <w:rPr>
                      <w:rFonts w:hint="eastAsia"/>
                      <w:szCs w:val="21"/>
                    </w:rPr>
                    <w:t>0.0086t/a</w:t>
                  </w:r>
                </w:p>
              </w:tc>
              <w:tc>
                <w:tcPr>
                  <w:tcW w:w="1045" w:type="dxa"/>
                  <w:vAlign w:val="center"/>
                </w:tcPr>
                <w:p>
                  <w:pPr>
                    <w:jc w:val="center"/>
                    <w:rPr>
                      <w:szCs w:val="21"/>
                    </w:rPr>
                  </w:pPr>
                  <w:r>
                    <w:rPr>
                      <w:rFonts w:hint="eastAsia"/>
                      <w:color w:val="000000"/>
                      <w:szCs w:val="21"/>
                    </w:rPr>
                    <w:t>/</w:t>
                  </w:r>
                </w:p>
              </w:tc>
              <w:tc>
                <w:tcPr>
                  <w:tcW w:w="1045" w:type="dxa"/>
                  <w:vAlign w:val="center"/>
                </w:tcPr>
                <w:p>
                  <w:pPr>
                    <w:jc w:val="center"/>
                    <w:rPr>
                      <w:szCs w:val="21"/>
                    </w:rPr>
                  </w:pPr>
                  <w:r>
                    <w:rPr>
                      <w:rFonts w:hint="eastAsia"/>
                      <w:szCs w:val="21"/>
                    </w:rPr>
                    <w:t>200mg/L</w:t>
                  </w:r>
                </w:p>
              </w:tc>
              <w:tc>
                <w:tcPr>
                  <w:tcW w:w="1045" w:type="dxa"/>
                  <w:vAlign w:val="center"/>
                </w:tcPr>
                <w:p>
                  <w:pPr>
                    <w:jc w:val="center"/>
                    <w:rPr>
                      <w:szCs w:val="21"/>
                    </w:rPr>
                  </w:pPr>
                  <w:r>
                    <w:rPr>
                      <w:rFonts w:hint="eastAsia"/>
                      <w:szCs w:val="21"/>
                    </w:rPr>
                    <w:t>0.0086t/a</w:t>
                  </w:r>
                </w:p>
              </w:tc>
            </w:tr>
            <w:tr>
              <w:trPr>
                <w:trHeight w:val="333" w:hRule="atLeast"/>
                <w:jc w:val="center"/>
              </w:trPr>
              <w:tc>
                <w:tcPr>
                  <w:tcW w:w="1139" w:type="dxa"/>
                  <w:vMerge w:val="continue"/>
                  <w:vAlign w:val="center"/>
                </w:tcPr>
                <w:p>
                  <w:pPr>
                    <w:jc w:val="center"/>
                    <w:rPr>
                      <w:szCs w:val="21"/>
                    </w:rPr>
                  </w:pPr>
                </w:p>
              </w:tc>
              <w:tc>
                <w:tcPr>
                  <w:tcW w:w="1190" w:type="dxa"/>
                  <w:vMerge w:val="continue"/>
                  <w:vAlign w:val="center"/>
                </w:tcPr>
                <w:p>
                  <w:pPr>
                    <w:jc w:val="center"/>
                    <w:rPr>
                      <w:szCs w:val="21"/>
                    </w:rPr>
                  </w:pPr>
                </w:p>
              </w:tc>
              <w:tc>
                <w:tcPr>
                  <w:tcW w:w="806" w:type="dxa"/>
                  <w:vAlign w:val="center"/>
                </w:tcPr>
                <w:p>
                  <w:pPr>
                    <w:jc w:val="center"/>
                    <w:rPr>
                      <w:szCs w:val="21"/>
                    </w:rPr>
                  </w:pPr>
                  <w:r>
                    <w:rPr>
                      <w:rFonts w:hint="eastAsia"/>
                      <w:szCs w:val="21"/>
                    </w:rPr>
                    <w:t>氨氮</w:t>
                  </w:r>
                </w:p>
              </w:tc>
              <w:tc>
                <w:tcPr>
                  <w:tcW w:w="1045" w:type="dxa"/>
                  <w:vAlign w:val="center"/>
                </w:tcPr>
                <w:p>
                  <w:pPr>
                    <w:jc w:val="center"/>
                    <w:rPr>
                      <w:szCs w:val="21"/>
                    </w:rPr>
                  </w:pPr>
                  <w:r>
                    <w:rPr>
                      <w:rFonts w:hint="eastAsia"/>
                      <w:szCs w:val="21"/>
                    </w:rPr>
                    <w:t>20mg/L</w:t>
                  </w:r>
                </w:p>
              </w:tc>
              <w:tc>
                <w:tcPr>
                  <w:tcW w:w="1045" w:type="dxa"/>
                  <w:vAlign w:val="center"/>
                </w:tcPr>
                <w:p>
                  <w:pPr>
                    <w:jc w:val="center"/>
                    <w:rPr>
                      <w:szCs w:val="21"/>
                    </w:rPr>
                  </w:pPr>
                  <w:r>
                    <w:rPr>
                      <w:rFonts w:hint="eastAsia"/>
                      <w:szCs w:val="21"/>
                    </w:rPr>
                    <w:t>0.001t/a</w:t>
                  </w:r>
                </w:p>
              </w:tc>
              <w:tc>
                <w:tcPr>
                  <w:tcW w:w="1045" w:type="dxa"/>
                  <w:vAlign w:val="center"/>
                </w:tcPr>
                <w:p>
                  <w:pPr>
                    <w:jc w:val="center"/>
                    <w:rPr>
                      <w:szCs w:val="21"/>
                    </w:rPr>
                  </w:pPr>
                </w:p>
              </w:tc>
              <w:tc>
                <w:tcPr>
                  <w:tcW w:w="1045" w:type="dxa"/>
                  <w:vAlign w:val="center"/>
                </w:tcPr>
                <w:p>
                  <w:pPr>
                    <w:jc w:val="center"/>
                    <w:rPr>
                      <w:szCs w:val="21"/>
                    </w:rPr>
                  </w:pPr>
                  <w:r>
                    <w:rPr>
                      <w:rFonts w:hint="eastAsia"/>
                      <w:szCs w:val="21"/>
                    </w:rPr>
                    <w:t>20mg/L</w:t>
                  </w:r>
                </w:p>
              </w:tc>
              <w:tc>
                <w:tcPr>
                  <w:tcW w:w="1045" w:type="dxa"/>
                  <w:vAlign w:val="center"/>
                </w:tcPr>
                <w:p>
                  <w:pPr>
                    <w:jc w:val="center"/>
                    <w:rPr>
                      <w:szCs w:val="21"/>
                    </w:rPr>
                  </w:pPr>
                  <w:r>
                    <w:rPr>
                      <w:rFonts w:hint="eastAsia"/>
                      <w:szCs w:val="21"/>
                    </w:rPr>
                    <w:t>0.001t/a</w:t>
                  </w:r>
                </w:p>
              </w:tc>
            </w:tr>
            <w:tr>
              <w:trPr>
                <w:trHeight w:val="333" w:hRule="atLeast"/>
                <w:jc w:val="center"/>
              </w:trPr>
              <w:tc>
                <w:tcPr>
                  <w:tcW w:w="1139" w:type="dxa"/>
                  <w:vMerge w:val="restart"/>
                  <w:vAlign w:val="center"/>
                </w:tcPr>
                <w:p>
                  <w:pPr>
                    <w:jc w:val="center"/>
                    <w:rPr>
                      <w:szCs w:val="21"/>
                    </w:rPr>
                  </w:pPr>
                  <w:r>
                    <w:rPr>
                      <w:rFonts w:hint="eastAsia"/>
                      <w:szCs w:val="21"/>
                    </w:rPr>
                    <w:t>初期雨水（按照生产期内降雨20次计算）</w:t>
                  </w:r>
                </w:p>
              </w:tc>
              <w:tc>
                <w:tcPr>
                  <w:tcW w:w="1190" w:type="dxa"/>
                  <w:vMerge w:val="restart"/>
                  <w:vAlign w:val="center"/>
                </w:tcPr>
                <w:p>
                  <w:pPr>
                    <w:jc w:val="center"/>
                    <w:rPr>
                      <w:szCs w:val="21"/>
                    </w:rPr>
                  </w:pPr>
                  <w:r>
                    <w:rPr>
                      <w:rFonts w:hint="eastAsia"/>
                      <w:szCs w:val="21"/>
                    </w:rPr>
                    <w:t>146</w:t>
                  </w:r>
                  <w:r>
                    <w:rPr>
                      <w:szCs w:val="21"/>
                    </w:rPr>
                    <w:t>m</w:t>
                  </w:r>
                  <w:r>
                    <w:rPr>
                      <w:szCs w:val="21"/>
                      <w:vertAlign w:val="superscript"/>
                    </w:rPr>
                    <w:t>3</w:t>
                  </w:r>
                  <w:r>
                    <w:rPr>
                      <w:szCs w:val="21"/>
                    </w:rPr>
                    <w:t>/a</w:t>
                  </w:r>
                  <w:r>
                    <w:rPr>
                      <w:rFonts w:hint="eastAsia"/>
                      <w:szCs w:val="21"/>
                    </w:rPr>
                    <w:t>（7.3m</w:t>
                  </w:r>
                  <w:r>
                    <w:rPr>
                      <w:rFonts w:hint="eastAsia"/>
                      <w:szCs w:val="21"/>
                      <w:vertAlign w:val="superscript"/>
                    </w:rPr>
                    <w:t>3</w:t>
                  </w:r>
                  <w:r>
                    <w:rPr>
                      <w:rFonts w:hint="eastAsia"/>
                      <w:szCs w:val="21"/>
                    </w:rPr>
                    <w:t>/次）</w:t>
                  </w:r>
                </w:p>
              </w:tc>
              <w:tc>
                <w:tcPr>
                  <w:tcW w:w="806" w:type="dxa"/>
                  <w:vAlign w:val="center"/>
                </w:tcPr>
                <w:p>
                  <w:pPr>
                    <w:jc w:val="center"/>
                    <w:rPr>
                      <w:szCs w:val="21"/>
                    </w:rPr>
                  </w:pPr>
                  <w:r>
                    <w:rPr>
                      <w:rFonts w:hint="eastAsia"/>
                      <w:szCs w:val="21"/>
                    </w:rPr>
                    <w:t>COD</w:t>
                  </w:r>
                </w:p>
              </w:tc>
              <w:tc>
                <w:tcPr>
                  <w:tcW w:w="1045" w:type="dxa"/>
                  <w:vAlign w:val="center"/>
                </w:tcPr>
                <w:p>
                  <w:pPr>
                    <w:jc w:val="center"/>
                    <w:rPr>
                      <w:szCs w:val="21"/>
                    </w:rPr>
                  </w:pPr>
                  <w:r>
                    <w:rPr>
                      <w:rFonts w:hint="eastAsia"/>
                      <w:color w:val="000000"/>
                      <w:szCs w:val="21"/>
                    </w:rPr>
                    <w:t>150mg/L</w:t>
                  </w:r>
                </w:p>
              </w:tc>
              <w:tc>
                <w:tcPr>
                  <w:tcW w:w="1045" w:type="dxa"/>
                  <w:vAlign w:val="center"/>
                </w:tcPr>
                <w:p>
                  <w:pPr>
                    <w:jc w:val="center"/>
                    <w:rPr>
                      <w:szCs w:val="21"/>
                    </w:rPr>
                  </w:pPr>
                  <w:r>
                    <w:rPr>
                      <w:rFonts w:hint="eastAsia"/>
                      <w:color w:val="000000"/>
                      <w:szCs w:val="21"/>
                    </w:rPr>
                    <w:t>0.0219</w:t>
                  </w:r>
                  <w:r>
                    <w:rPr>
                      <w:color w:val="000000"/>
                      <w:szCs w:val="21"/>
                    </w:rPr>
                    <w:t>t/a</w:t>
                  </w:r>
                </w:p>
              </w:tc>
              <w:tc>
                <w:tcPr>
                  <w:tcW w:w="1045" w:type="dxa"/>
                  <w:vAlign w:val="center"/>
                </w:tcPr>
                <w:p>
                  <w:pPr>
                    <w:jc w:val="center"/>
                    <w:rPr>
                      <w:szCs w:val="21"/>
                    </w:rPr>
                  </w:pPr>
                  <w:r>
                    <w:rPr>
                      <w:rFonts w:hint="eastAsia"/>
                      <w:color w:val="000000"/>
                      <w:szCs w:val="21"/>
                    </w:rPr>
                    <w:t>/</w:t>
                  </w:r>
                </w:p>
              </w:tc>
              <w:tc>
                <w:tcPr>
                  <w:tcW w:w="1045" w:type="dxa"/>
                  <w:vAlign w:val="center"/>
                </w:tcPr>
                <w:p>
                  <w:pPr>
                    <w:jc w:val="center"/>
                    <w:rPr>
                      <w:szCs w:val="21"/>
                    </w:rPr>
                  </w:pPr>
                  <w:r>
                    <w:rPr>
                      <w:rFonts w:hint="eastAsia"/>
                      <w:color w:val="000000"/>
                      <w:szCs w:val="21"/>
                    </w:rPr>
                    <w:t>150mg/L</w:t>
                  </w:r>
                </w:p>
              </w:tc>
              <w:tc>
                <w:tcPr>
                  <w:tcW w:w="1045" w:type="dxa"/>
                  <w:vAlign w:val="center"/>
                </w:tcPr>
                <w:p>
                  <w:pPr>
                    <w:jc w:val="center"/>
                    <w:rPr>
                      <w:szCs w:val="21"/>
                    </w:rPr>
                  </w:pPr>
                  <w:r>
                    <w:rPr>
                      <w:rFonts w:hint="eastAsia"/>
                      <w:color w:val="000000"/>
                      <w:szCs w:val="21"/>
                    </w:rPr>
                    <w:t>0.0219</w:t>
                  </w:r>
                  <w:r>
                    <w:rPr>
                      <w:color w:val="000000"/>
                      <w:szCs w:val="21"/>
                    </w:rPr>
                    <w:t>t/a</w:t>
                  </w:r>
                </w:p>
              </w:tc>
            </w:tr>
            <w:tr>
              <w:trPr>
                <w:trHeight w:val="333" w:hRule="atLeast"/>
                <w:jc w:val="center"/>
              </w:trPr>
              <w:tc>
                <w:tcPr>
                  <w:tcW w:w="1139" w:type="dxa"/>
                  <w:vMerge w:val="continue"/>
                  <w:vAlign w:val="center"/>
                </w:tcPr>
                <w:p>
                  <w:pPr>
                    <w:jc w:val="center"/>
                    <w:rPr>
                      <w:szCs w:val="21"/>
                    </w:rPr>
                  </w:pPr>
                </w:p>
              </w:tc>
              <w:tc>
                <w:tcPr>
                  <w:tcW w:w="1190" w:type="dxa"/>
                  <w:vMerge w:val="continue"/>
                  <w:vAlign w:val="center"/>
                </w:tcPr>
                <w:p>
                  <w:pPr>
                    <w:jc w:val="center"/>
                    <w:rPr>
                      <w:szCs w:val="21"/>
                    </w:rPr>
                  </w:pPr>
                </w:p>
              </w:tc>
              <w:tc>
                <w:tcPr>
                  <w:tcW w:w="806" w:type="dxa"/>
                  <w:vAlign w:val="center"/>
                </w:tcPr>
                <w:p>
                  <w:pPr>
                    <w:jc w:val="center"/>
                    <w:rPr>
                      <w:szCs w:val="21"/>
                    </w:rPr>
                  </w:pPr>
                  <w:r>
                    <w:rPr>
                      <w:rFonts w:hint="eastAsia"/>
                      <w:szCs w:val="21"/>
                    </w:rPr>
                    <w:t>SS</w:t>
                  </w:r>
                </w:p>
              </w:tc>
              <w:tc>
                <w:tcPr>
                  <w:tcW w:w="1045" w:type="dxa"/>
                  <w:vAlign w:val="center"/>
                </w:tcPr>
                <w:p>
                  <w:pPr>
                    <w:jc w:val="center"/>
                    <w:rPr>
                      <w:szCs w:val="21"/>
                    </w:rPr>
                  </w:pPr>
                  <w:r>
                    <w:rPr>
                      <w:rFonts w:hint="eastAsia"/>
                      <w:color w:val="000000"/>
                      <w:szCs w:val="21"/>
                    </w:rPr>
                    <w:t>200mg/L</w:t>
                  </w:r>
                </w:p>
              </w:tc>
              <w:tc>
                <w:tcPr>
                  <w:tcW w:w="1045" w:type="dxa"/>
                  <w:vAlign w:val="center"/>
                </w:tcPr>
                <w:p>
                  <w:pPr>
                    <w:jc w:val="center"/>
                    <w:rPr>
                      <w:szCs w:val="21"/>
                    </w:rPr>
                  </w:pPr>
                  <w:r>
                    <w:rPr>
                      <w:rFonts w:hint="eastAsia"/>
                      <w:color w:val="000000"/>
                      <w:szCs w:val="21"/>
                    </w:rPr>
                    <w:t>0.0292</w:t>
                  </w:r>
                  <w:r>
                    <w:rPr>
                      <w:color w:val="000000"/>
                      <w:szCs w:val="21"/>
                    </w:rPr>
                    <w:t>t/a</w:t>
                  </w:r>
                </w:p>
              </w:tc>
              <w:tc>
                <w:tcPr>
                  <w:tcW w:w="1045" w:type="dxa"/>
                  <w:vAlign w:val="center"/>
                </w:tcPr>
                <w:p>
                  <w:pPr>
                    <w:jc w:val="center"/>
                    <w:rPr>
                      <w:szCs w:val="21"/>
                    </w:rPr>
                  </w:pPr>
                  <w:r>
                    <w:rPr>
                      <w:rFonts w:hint="eastAsia"/>
                      <w:color w:val="000000"/>
                      <w:szCs w:val="21"/>
                    </w:rPr>
                    <w:t>/</w:t>
                  </w:r>
                </w:p>
              </w:tc>
              <w:tc>
                <w:tcPr>
                  <w:tcW w:w="1045" w:type="dxa"/>
                  <w:vAlign w:val="center"/>
                </w:tcPr>
                <w:p>
                  <w:pPr>
                    <w:jc w:val="center"/>
                    <w:rPr>
                      <w:szCs w:val="21"/>
                    </w:rPr>
                  </w:pPr>
                  <w:r>
                    <w:rPr>
                      <w:rFonts w:hint="eastAsia"/>
                      <w:color w:val="000000"/>
                      <w:szCs w:val="21"/>
                    </w:rPr>
                    <w:t>200mg/L</w:t>
                  </w:r>
                </w:p>
              </w:tc>
              <w:tc>
                <w:tcPr>
                  <w:tcW w:w="1045" w:type="dxa"/>
                  <w:vAlign w:val="center"/>
                </w:tcPr>
                <w:p>
                  <w:pPr>
                    <w:jc w:val="center"/>
                    <w:rPr>
                      <w:szCs w:val="21"/>
                    </w:rPr>
                  </w:pPr>
                  <w:r>
                    <w:rPr>
                      <w:rFonts w:hint="eastAsia"/>
                      <w:color w:val="000000"/>
                      <w:szCs w:val="21"/>
                    </w:rPr>
                    <w:t>0.0292</w:t>
                  </w:r>
                  <w:r>
                    <w:rPr>
                      <w:color w:val="000000"/>
                      <w:szCs w:val="21"/>
                    </w:rPr>
                    <w:t>t/a</w:t>
                  </w:r>
                </w:p>
              </w:tc>
            </w:tr>
            <w:tr>
              <w:trPr>
                <w:trHeight w:val="688" w:hRule="atLeast"/>
                <w:jc w:val="center"/>
              </w:trPr>
              <w:tc>
                <w:tcPr>
                  <w:tcW w:w="1139" w:type="dxa"/>
                  <w:vMerge w:val="continue"/>
                  <w:vAlign w:val="center"/>
                </w:tcPr>
                <w:p>
                  <w:pPr>
                    <w:jc w:val="center"/>
                    <w:rPr>
                      <w:szCs w:val="21"/>
                    </w:rPr>
                  </w:pPr>
                </w:p>
              </w:tc>
              <w:tc>
                <w:tcPr>
                  <w:tcW w:w="1190" w:type="dxa"/>
                  <w:vMerge w:val="continue"/>
                  <w:vAlign w:val="center"/>
                </w:tcPr>
                <w:p>
                  <w:pPr>
                    <w:jc w:val="center"/>
                    <w:rPr>
                      <w:szCs w:val="21"/>
                    </w:rPr>
                  </w:pPr>
                </w:p>
              </w:tc>
              <w:tc>
                <w:tcPr>
                  <w:tcW w:w="806" w:type="dxa"/>
                  <w:vAlign w:val="center"/>
                </w:tcPr>
                <w:p>
                  <w:pPr>
                    <w:jc w:val="center"/>
                    <w:rPr>
                      <w:szCs w:val="21"/>
                    </w:rPr>
                  </w:pPr>
                  <w:r>
                    <w:rPr>
                      <w:rFonts w:hint="eastAsia"/>
                      <w:szCs w:val="21"/>
                    </w:rPr>
                    <w:t>石油类</w:t>
                  </w:r>
                </w:p>
              </w:tc>
              <w:tc>
                <w:tcPr>
                  <w:tcW w:w="1045" w:type="dxa"/>
                  <w:vAlign w:val="center"/>
                </w:tcPr>
                <w:p>
                  <w:pPr>
                    <w:jc w:val="center"/>
                    <w:rPr>
                      <w:szCs w:val="21"/>
                    </w:rPr>
                  </w:pPr>
                  <w:r>
                    <w:rPr>
                      <w:rFonts w:hint="eastAsia"/>
                      <w:color w:val="000000"/>
                      <w:szCs w:val="21"/>
                    </w:rPr>
                    <w:t>25mg/L</w:t>
                  </w:r>
                </w:p>
              </w:tc>
              <w:tc>
                <w:tcPr>
                  <w:tcW w:w="1045" w:type="dxa"/>
                  <w:vAlign w:val="center"/>
                </w:tcPr>
                <w:p>
                  <w:pPr>
                    <w:jc w:val="center"/>
                    <w:rPr>
                      <w:szCs w:val="21"/>
                    </w:rPr>
                  </w:pPr>
                  <w:r>
                    <w:rPr>
                      <w:rFonts w:hint="eastAsia"/>
                      <w:color w:val="000000"/>
                      <w:szCs w:val="21"/>
                    </w:rPr>
                    <w:t>0.004t/a</w:t>
                  </w:r>
                </w:p>
              </w:tc>
              <w:tc>
                <w:tcPr>
                  <w:tcW w:w="1045" w:type="dxa"/>
                  <w:vAlign w:val="center"/>
                </w:tcPr>
                <w:p>
                  <w:pPr>
                    <w:jc w:val="center"/>
                    <w:rPr>
                      <w:szCs w:val="21"/>
                    </w:rPr>
                  </w:pPr>
                  <w:r>
                    <w:rPr>
                      <w:rFonts w:hint="eastAsia"/>
                      <w:color w:val="000000"/>
                      <w:szCs w:val="21"/>
                    </w:rPr>
                    <w:t>90%</w:t>
                  </w:r>
                </w:p>
              </w:tc>
              <w:tc>
                <w:tcPr>
                  <w:tcW w:w="1045" w:type="dxa"/>
                  <w:vAlign w:val="center"/>
                </w:tcPr>
                <w:p>
                  <w:pPr>
                    <w:jc w:val="center"/>
                    <w:rPr>
                      <w:szCs w:val="21"/>
                    </w:rPr>
                  </w:pPr>
                  <w:r>
                    <w:rPr>
                      <w:rFonts w:hint="eastAsia"/>
                      <w:color w:val="000000"/>
                      <w:szCs w:val="21"/>
                    </w:rPr>
                    <w:t>2.5mg/L</w:t>
                  </w:r>
                </w:p>
              </w:tc>
              <w:tc>
                <w:tcPr>
                  <w:tcW w:w="1045" w:type="dxa"/>
                  <w:vAlign w:val="center"/>
                </w:tcPr>
                <w:p>
                  <w:pPr>
                    <w:jc w:val="center"/>
                    <w:rPr>
                      <w:szCs w:val="21"/>
                    </w:rPr>
                  </w:pPr>
                  <w:r>
                    <w:rPr>
                      <w:rFonts w:hint="eastAsia"/>
                      <w:color w:val="000000"/>
                      <w:szCs w:val="21"/>
                    </w:rPr>
                    <w:t>0.0004t/a</w:t>
                  </w:r>
                </w:p>
              </w:tc>
            </w:tr>
          </w:tbl>
          <w:p>
            <w:pPr>
              <w:widowControl/>
              <w:spacing w:line="360" w:lineRule="auto"/>
              <w:ind w:firstLine="480" w:firstLineChars="200"/>
              <w:rPr>
                <w:rFonts w:ascii="宋体" w:hAnsi="宋体" w:cs="宋体"/>
                <w:i/>
                <w:iCs/>
                <w:kern w:val="0"/>
                <w:sz w:val="24"/>
                <w:u w:val="single"/>
              </w:rPr>
            </w:pPr>
            <w:r>
              <w:rPr>
                <w:rFonts w:hint="eastAsia" w:ascii="宋体" w:hAnsi="宋体" w:cs="宋体"/>
                <w:i/>
                <w:iCs/>
                <w:kern w:val="0"/>
                <w:sz w:val="24"/>
                <w:u w:val="single"/>
              </w:rPr>
              <w:t>项目产生的废水主要是职工生活污水和初期雨水，</w:t>
            </w:r>
            <w:r>
              <w:rPr>
                <w:rFonts w:ascii="宋体" w:hAnsi="宋体" w:cs="宋体"/>
                <w:i/>
                <w:iCs/>
                <w:kern w:val="0"/>
                <w:sz w:val="24"/>
                <w:u w:val="single"/>
              </w:rPr>
              <w:t>生活污水</w:t>
            </w:r>
            <w:r>
              <w:rPr>
                <w:rFonts w:hint="eastAsia" w:ascii="宋体" w:hAnsi="宋体" w:cs="宋体"/>
                <w:i/>
                <w:iCs/>
                <w:kern w:val="0"/>
                <w:sz w:val="24"/>
                <w:u w:val="single"/>
              </w:rPr>
              <w:t>为</w:t>
            </w:r>
            <w:r>
              <w:rPr>
                <w:rFonts w:ascii="宋体" w:hAnsi="宋体" w:cs="宋体"/>
                <w:i/>
                <w:iCs/>
                <w:kern w:val="0"/>
                <w:sz w:val="24"/>
                <w:u w:val="single"/>
              </w:rPr>
              <w:t>连续低流量产生</w:t>
            </w:r>
            <w:r>
              <w:rPr>
                <w:rFonts w:hint="eastAsia" w:ascii="宋体" w:hAnsi="宋体" w:cs="宋体"/>
                <w:i/>
                <w:iCs/>
                <w:kern w:val="0"/>
                <w:sz w:val="24"/>
                <w:u w:val="single"/>
              </w:rPr>
              <w:t>，年产生量43.2m</w:t>
            </w:r>
            <w:r>
              <w:rPr>
                <w:rFonts w:hint="eastAsia" w:ascii="宋体" w:hAnsi="宋体" w:cs="宋体"/>
                <w:i/>
                <w:iCs/>
                <w:kern w:val="0"/>
                <w:sz w:val="24"/>
                <w:u w:val="single"/>
                <w:vertAlign w:val="superscript"/>
              </w:rPr>
              <w:t>3</w:t>
            </w:r>
            <w:r>
              <w:rPr>
                <w:rFonts w:hint="eastAsia" w:ascii="宋体" w:hAnsi="宋体" w:cs="宋体"/>
                <w:i/>
                <w:iCs/>
                <w:kern w:val="0"/>
                <w:sz w:val="24"/>
                <w:u w:val="single"/>
              </w:rPr>
              <w:t>/a，排入厂区防渗化粪池，定期清掏不外排。</w:t>
            </w:r>
            <w:r>
              <w:rPr>
                <w:rFonts w:ascii="宋体" w:hAnsi="宋体" w:cs="宋体"/>
                <w:i/>
                <w:iCs/>
                <w:kern w:val="0"/>
                <w:sz w:val="24"/>
                <w:u w:val="single"/>
              </w:rPr>
              <w:t>初期雨水</w:t>
            </w:r>
            <w:r>
              <w:rPr>
                <w:rFonts w:hint="eastAsia" w:ascii="宋体" w:hAnsi="宋体" w:cs="宋体"/>
                <w:i/>
                <w:iCs/>
                <w:kern w:val="0"/>
                <w:sz w:val="24"/>
                <w:u w:val="single"/>
              </w:rPr>
              <w:t>为</w:t>
            </w:r>
            <w:r>
              <w:rPr>
                <w:rFonts w:ascii="宋体" w:hAnsi="宋体" w:cs="宋体"/>
                <w:i/>
                <w:iCs/>
                <w:kern w:val="0"/>
                <w:sz w:val="24"/>
                <w:u w:val="single"/>
              </w:rPr>
              <w:t>间歇、短时降雨产生，单次</w:t>
            </w:r>
            <w:r>
              <w:rPr>
                <w:rFonts w:hint="eastAsia" w:ascii="宋体" w:hAnsi="宋体" w:cs="宋体"/>
                <w:i/>
                <w:iCs/>
                <w:kern w:val="0"/>
                <w:sz w:val="24"/>
                <w:u w:val="single"/>
              </w:rPr>
              <w:t>产生量7.3</w:t>
            </w:r>
            <w:r>
              <w:rPr>
                <w:rFonts w:ascii="宋体" w:hAnsi="宋体" w:cs="宋体"/>
                <w:i/>
                <w:iCs/>
                <w:kern w:val="0"/>
                <w:sz w:val="24"/>
                <w:u w:val="single"/>
              </w:rPr>
              <w:t>m³</w:t>
            </w:r>
            <w:r>
              <w:rPr>
                <w:rFonts w:hint="eastAsia" w:ascii="宋体" w:hAnsi="宋体" w:cs="宋体"/>
                <w:i/>
                <w:iCs/>
                <w:kern w:val="0"/>
                <w:sz w:val="24"/>
                <w:u w:val="single"/>
              </w:rPr>
              <w:t>/次</w:t>
            </w:r>
            <w:r>
              <w:rPr>
                <w:rFonts w:ascii="宋体" w:hAnsi="宋体" w:cs="宋体"/>
                <w:i/>
                <w:iCs/>
                <w:kern w:val="0"/>
                <w:sz w:val="24"/>
                <w:u w:val="single"/>
              </w:rPr>
              <w:t>，</w:t>
            </w:r>
            <w:r>
              <w:rPr>
                <w:rFonts w:hint="eastAsia" w:ascii="宋体" w:hAnsi="宋体" w:cs="宋体"/>
                <w:i/>
                <w:iCs/>
                <w:kern w:val="0"/>
                <w:sz w:val="24"/>
                <w:u w:val="single"/>
              </w:rPr>
              <w:t>按区域降雨多年观测水平估算，</w:t>
            </w:r>
            <w:r>
              <w:rPr>
                <w:rFonts w:ascii="宋体" w:hAnsi="宋体" w:cs="宋体"/>
                <w:i/>
                <w:iCs/>
                <w:kern w:val="0"/>
                <w:sz w:val="24"/>
                <w:u w:val="single"/>
              </w:rPr>
              <w:t>年产生量</w:t>
            </w:r>
            <w:r>
              <w:rPr>
                <w:rFonts w:hint="eastAsia" w:ascii="宋体" w:hAnsi="宋体" w:cs="宋体"/>
                <w:i/>
                <w:iCs/>
                <w:kern w:val="0"/>
                <w:sz w:val="24"/>
                <w:u w:val="single"/>
              </w:rPr>
              <w:t>146</w:t>
            </w:r>
            <w:r>
              <w:rPr>
                <w:rFonts w:ascii="宋体" w:hAnsi="宋体" w:cs="宋体"/>
                <w:i/>
                <w:iCs/>
                <w:kern w:val="0"/>
                <w:sz w:val="24"/>
                <w:u w:val="single"/>
              </w:rPr>
              <w:t>m³/a</w:t>
            </w:r>
            <w:r>
              <w:rPr>
                <w:rFonts w:hint="eastAsia" w:ascii="宋体" w:hAnsi="宋体" w:cs="宋体"/>
                <w:i/>
                <w:iCs/>
                <w:kern w:val="0"/>
                <w:sz w:val="24"/>
                <w:u w:val="single"/>
              </w:rPr>
              <w:t>，</w:t>
            </w:r>
            <w:r>
              <w:rPr>
                <w:rFonts w:ascii="宋体" w:hAnsi="宋体" w:cs="宋体"/>
                <w:i/>
                <w:iCs/>
                <w:kern w:val="0"/>
                <w:sz w:val="24"/>
                <w:u w:val="single"/>
              </w:rPr>
              <w:t>项目采用罐车转运、间歇外送模式，暂存池作为缓冲设施，无需分设两套独立储存设施，工艺配置与转运模式相适配。</w:t>
            </w:r>
            <w:r>
              <w:rPr>
                <w:rFonts w:hint="eastAsia" w:ascii="宋体" w:hAnsi="宋体" w:cs="宋体"/>
                <w:i/>
                <w:iCs/>
                <w:kern w:val="0"/>
                <w:sz w:val="24"/>
                <w:u w:val="single"/>
              </w:rPr>
              <w:t>污水暂存池容积</w:t>
            </w:r>
            <w:r>
              <w:rPr>
                <w:rFonts w:ascii="宋体" w:hAnsi="宋体" w:cs="宋体"/>
                <w:i/>
                <w:iCs/>
                <w:kern w:val="0"/>
                <w:sz w:val="24"/>
                <w:u w:val="single"/>
              </w:rPr>
              <w:t>能够容纳单次降雨产生的初期雨水</w:t>
            </w:r>
            <w:r>
              <w:rPr>
                <w:rFonts w:hint="eastAsia" w:ascii="宋体" w:hAnsi="宋体" w:cs="宋体"/>
                <w:i/>
                <w:iCs/>
                <w:kern w:val="0"/>
                <w:sz w:val="24"/>
                <w:u w:val="single"/>
              </w:rPr>
              <w:t>，</w:t>
            </w:r>
            <w:r>
              <w:rPr>
                <w:rFonts w:ascii="宋体" w:hAnsi="宋体" w:cs="宋体"/>
                <w:i/>
                <w:iCs/>
                <w:kern w:val="0"/>
                <w:sz w:val="24"/>
                <w:u w:val="single"/>
              </w:rPr>
              <w:t xml:space="preserve">最不利工况为连续两场降雨叠加、暂未开展废水转运，两场降雨初期雨水总量 </w:t>
            </w:r>
            <w:r>
              <w:rPr>
                <w:rFonts w:hint="eastAsia" w:ascii="宋体" w:hAnsi="宋体" w:cs="宋体"/>
                <w:i/>
                <w:iCs/>
                <w:kern w:val="0"/>
                <w:sz w:val="24"/>
                <w:u w:val="single"/>
              </w:rPr>
              <w:t>14.6</w:t>
            </w:r>
            <w:r>
              <w:rPr>
                <w:rFonts w:ascii="宋体" w:hAnsi="宋体" w:cs="宋体"/>
                <w:i/>
                <w:iCs/>
                <w:kern w:val="0"/>
                <w:sz w:val="24"/>
                <w:u w:val="single"/>
              </w:rPr>
              <w:t>m³，本项目污水暂存池有效容积能够容纳极端降雨条件下产生的废水，可有效防范废水溢流环境风险。</w:t>
            </w:r>
            <w:r>
              <w:rPr>
                <w:rFonts w:hint="eastAsia" w:ascii="宋体" w:hAnsi="宋体" w:cs="宋体"/>
                <w:i/>
                <w:iCs/>
                <w:kern w:val="0"/>
                <w:sz w:val="24"/>
                <w:u w:val="single"/>
              </w:rPr>
              <w:t>废水满足《污水综合排放标准》（GB8978-1996）中三级标准要求，经罐车送至柳河县污水处理厂进行处理，处理达标后排入一统河。</w:t>
            </w:r>
          </w:p>
          <w:p>
            <w:pPr>
              <w:widowControl/>
              <w:spacing w:line="360" w:lineRule="auto"/>
              <w:ind w:firstLine="480" w:firstLineChars="200"/>
              <w:rPr>
                <w:rFonts w:ascii="宋体" w:hAnsi="宋体" w:cs="宋体"/>
                <w:kern w:val="0"/>
                <w:sz w:val="24"/>
              </w:rPr>
            </w:pPr>
            <w:r>
              <w:rPr>
                <w:rFonts w:hint="eastAsia" w:ascii="宋体" w:hAnsi="宋体" w:cs="宋体"/>
                <w:kern w:val="0"/>
                <w:sz w:val="24"/>
              </w:rPr>
              <w:t>（2）排污口信息</w:t>
            </w:r>
          </w:p>
          <w:p>
            <w:pPr>
              <w:jc w:val="center"/>
              <w:rPr>
                <w:rFonts w:ascii="宋体" w:hAnsi="宋体" w:cs="宋体"/>
                <w:b/>
                <w:sz w:val="24"/>
              </w:rPr>
            </w:pPr>
            <w:r>
              <w:rPr>
                <w:rFonts w:hint="eastAsia" w:ascii="宋体" w:hAnsi="宋体" w:cs="宋体"/>
                <w:b/>
                <w:sz w:val="24"/>
              </w:rPr>
              <w:t>表4-7  废水排放信息表</w:t>
            </w:r>
          </w:p>
          <w:tbl>
            <w:tblPr>
              <w:tblW w:w="8437" w:type="dxa"/>
              <w:jc w:val="center"/>
              <w:tblBorders>
                <w:top w:val="single" w:color="auto" w:sz="12" w:space="0"/>
                <w:left w:val="none" w:color="auto" w:sz="0" w:space="0"/>
                <w:bottom w:val="single" w:color="auto" w:sz="12" w:space="0"/>
                <w:right w:val="none" w:color="auto" w:sz="0" w:space="0"/>
                <w:insideH w:val="single" w:color="auto" w:sz="8" w:space="0"/>
                <w:insideV w:val="single" w:color="auto" w:sz="8" w:space="0"/>
              </w:tblBorders>
              <w:tblLayout w:type="fixed"/>
              <w:tblCellMar>
                <w:left w:w="108" w:type="dxa"/>
                <w:right w:w="108" w:type="dxa"/>
              </w:tblCellMar>
            </w:tblPr>
            <w:tblGrid>
              <w:gridCol w:w="1334"/>
              <w:gridCol w:w="1822"/>
              <w:gridCol w:w="1453"/>
              <w:gridCol w:w="796"/>
              <w:gridCol w:w="1240"/>
              <w:gridCol w:w="1792"/>
            </w:tblGrid>
            <w:tr>
              <w:trPr>
                <w:cantSplit/>
                <w:trHeight w:val="702" w:hRule="atLeast"/>
                <w:jc w:val="center"/>
              </w:trPr>
              <w:tc>
                <w:tcPr>
                  <w:tcW w:w="1334" w:type="dxa"/>
                  <w:vAlign w:val="center"/>
                </w:tcPr>
                <w:p>
                  <w:pPr>
                    <w:pStyle w:val="32"/>
                    <w:tabs>
                      <w:tab w:val="right" w:leader="dot" w:pos="8607"/>
                      <w:tab w:val="right" w:leader="dot" w:pos="8891"/>
                    </w:tabs>
                    <w:rPr>
                      <w:rFonts w:ascii="宋体" w:hAnsi="宋体" w:cs="宋体"/>
                      <w:szCs w:val="21"/>
                    </w:rPr>
                  </w:pPr>
                  <w:r>
                    <w:rPr>
                      <w:rFonts w:hint="eastAsia" w:ascii="宋体" w:hAnsi="宋体" w:cs="宋体"/>
                      <w:szCs w:val="21"/>
                    </w:rPr>
                    <w:t>排放源</w:t>
                  </w:r>
                </w:p>
              </w:tc>
              <w:tc>
                <w:tcPr>
                  <w:tcW w:w="1822" w:type="dxa"/>
                  <w:vAlign w:val="center"/>
                </w:tcPr>
                <w:p>
                  <w:pPr>
                    <w:pStyle w:val="32"/>
                    <w:tabs>
                      <w:tab w:val="right" w:leader="dot" w:pos="8607"/>
                      <w:tab w:val="right" w:leader="dot" w:pos="8891"/>
                    </w:tabs>
                    <w:rPr>
                      <w:rFonts w:ascii="宋体" w:hAnsi="宋体" w:cs="宋体"/>
                      <w:szCs w:val="21"/>
                    </w:rPr>
                  </w:pPr>
                  <w:r>
                    <w:rPr>
                      <w:rFonts w:hint="eastAsia" w:ascii="宋体" w:hAnsi="宋体" w:cs="宋体"/>
                      <w:szCs w:val="21"/>
                    </w:rPr>
                    <w:t>排放口基本情况</w:t>
                  </w:r>
                </w:p>
              </w:tc>
              <w:tc>
                <w:tcPr>
                  <w:tcW w:w="1453" w:type="dxa"/>
                  <w:vAlign w:val="center"/>
                </w:tcPr>
                <w:p>
                  <w:pPr>
                    <w:pStyle w:val="32"/>
                    <w:tabs>
                      <w:tab w:val="right" w:leader="dot" w:pos="8607"/>
                      <w:tab w:val="right" w:leader="dot" w:pos="8891"/>
                    </w:tabs>
                    <w:rPr>
                      <w:rFonts w:ascii="宋体" w:hAnsi="宋体" w:cs="宋体"/>
                      <w:szCs w:val="21"/>
                    </w:rPr>
                  </w:pPr>
                  <w:r>
                    <w:rPr>
                      <w:rFonts w:hint="eastAsia" w:ascii="宋体" w:hAnsi="宋体" w:cs="宋体"/>
                      <w:szCs w:val="21"/>
                    </w:rPr>
                    <w:t>排放</w:t>
                  </w:r>
                </w:p>
                <w:p>
                  <w:pPr>
                    <w:pStyle w:val="32"/>
                    <w:tabs>
                      <w:tab w:val="right" w:leader="dot" w:pos="8607"/>
                      <w:tab w:val="right" w:leader="dot" w:pos="8891"/>
                    </w:tabs>
                    <w:rPr>
                      <w:rFonts w:ascii="宋体" w:hAnsi="宋体" w:cs="宋体"/>
                      <w:szCs w:val="21"/>
                    </w:rPr>
                  </w:pPr>
                  <w:r>
                    <w:rPr>
                      <w:rFonts w:hint="eastAsia" w:ascii="宋体" w:hAnsi="宋体" w:cs="宋体"/>
                      <w:szCs w:val="21"/>
                    </w:rPr>
                    <w:t>去向</w:t>
                  </w:r>
                </w:p>
              </w:tc>
              <w:tc>
                <w:tcPr>
                  <w:tcW w:w="796" w:type="dxa"/>
                  <w:vAlign w:val="center"/>
                </w:tcPr>
                <w:p>
                  <w:pPr>
                    <w:pStyle w:val="32"/>
                    <w:tabs>
                      <w:tab w:val="right" w:leader="dot" w:pos="8607"/>
                      <w:tab w:val="right" w:leader="dot" w:pos="8891"/>
                    </w:tabs>
                    <w:rPr>
                      <w:rFonts w:ascii="宋体" w:hAnsi="宋体" w:cs="宋体"/>
                      <w:szCs w:val="21"/>
                    </w:rPr>
                  </w:pPr>
                  <w:r>
                    <w:rPr>
                      <w:rFonts w:hint="eastAsia" w:ascii="宋体" w:hAnsi="宋体" w:cs="宋体"/>
                      <w:szCs w:val="21"/>
                    </w:rPr>
                    <w:t>排放规律</w:t>
                  </w:r>
                </w:p>
              </w:tc>
              <w:tc>
                <w:tcPr>
                  <w:tcW w:w="1240" w:type="dxa"/>
                  <w:vAlign w:val="center"/>
                </w:tcPr>
                <w:p>
                  <w:pPr>
                    <w:pStyle w:val="32"/>
                    <w:tabs>
                      <w:tab w:val="right" w:leader="dot" w:pos="8607"/>
                      <w:tab w:val="right" w:leader="dot" w:pos="8891"/>
                    </w:tabs>
                    <w:rPr>
                      <w:rFonts w:ascii="宋体" w:hAnsi="宋体" w:cs="宋体"/>
                      <w:szCs w:val="21"/>
                    </w:rPr>
                  </w:pPr>
                  <w:r>
                    <w:rPr>
                      <w:rFonts w:hint="eastAsia" w:ascii="宋体" w:hAnsi="宋体" w:cs="宋体"/>
                      <w:szCs w:val="21"/>
                    </w:rPr>
                    <w:t>污染物</w:t>
                  </w:r>
                </w:p>
                <w:p>
                  <w:pPr>
                    <w:pStyle w:val="32"/>
                    <w:tabs>
                      <w:tab w:val="right" w:leader="dot" w:pos="8607"/>
                      <w:tab w:val="right" w:leader="dot" w:pos="8891"/>
                    </w:tabs>
                    <w:rPr>
                      <w:rFonts w:ascii="宋体" w:hAnsi="宋体" w:cs="宋体"/>
                      <w:szCs w:val="21"/>
                    </w:rPr>
                  </w:pPr>
                  <w:r>
                    <w:rPr>
                      <w:rFonts w:hint="eastAsia" w:ascii="宋体" w:hAnsi="宋体" w:cs="宋体"/>
                      <w:szCs w:val="21"/>
                    </w:rPr>
                    <w:t>种类</w:t>
                  </w:r>
                </w:p>
              </w:tc>
              <w:tc>
                <w:tcPr>
                  <w:tcW w:w="1792" w:type="dxa"/>
                  <w:vAlign w:val="center"/>
                </w:tcPr>
                <w:p>
                  <w:pPr>
                    <w:pStyle w:val="32"/>
                    <w:tabs>
                      <w:tab w:val="right" w:leader="dot" w:pos="8607"/>
                      <w:tab w:val="right" w:leader="dot" w:pos="8891"/>
                    </w:tabs>
                    <w:rPr>
                      <w:rFonts w:ascii="宋体" w:hAnsi="宋体" w:cs="宋体"/>
                      <w:szCs w:val="21"/>
                    </w:rPr>
                  </w:pPr>
                  <w:r>
                    <w:rPr>
                      <w:rFonts w:hint="eastAsia" w:ascii="宋体" w:hAnsi="宋体" w:cs="宋体"/>
                      <w:szCs w:val="21"/>
                    </w:rPr>
                    <w:t>排放标准</w:t>
                  </w:r>
                </w:p>
              </w:tc>
            </w:tr>
            <w:tr>
              <w:trPr>
                <w:cantSplit/>
                <w:trHeight w:val="356" w:hRule="atLeast"/>
                <w:jc w:val="center"/>
              </w:trPr>
              <w:tc>
                <w:tcPr>
                  <w:tcW w:w="1334" w:type="dxa"/>
                  <w:vMerge w:val="restart"/>
                  <w:vAlign w:val="center"/>
                </w:tcPr>
                <w:p>
                  <w:pPr>
                    <w:pStyle w:val="32"/>
                    <w:tabs>
                      <w:tab w:val="right" w:leader="dot" w:pos="8607"/>
                      <w:tab w:val="right" w:leader="dot" w:pos="8891"/>
                    </w:tabs>
                    <w:rPr>
                      <w:rFonts w:ascii="宋体" w:hAnsi="宋体" w:cs="宋体"/>
                      <w:szCs w:val="21"/>
                    </w:rPr>
                  </w:pPr>
                  <w:r>
                    <w:rPr>
                      <w:rFonts w:hint="eastAsia" w:ascii="宋体" w:hAnsi="宋体" w:cs="宋体"/>
                      <w:szCs w:val="21"/>
                    </w:rPr>
                    <w:t>初期雨水</w:t>
                  </w:r>
                </w:p>
              </w:tc>
              <w:tc>
                <w:tcPr>
                  <w:tcW w:w="1822" w:type="dxa"/>
                  <w:vMerge w:val="restart"/>
                  <w:vAlign w:val="center"/>
                </w:tcPr>
                <w:p>
                  <w:pPr>
                    <w:pStyle w:val="32"/>
                    <w:tabs>
                      <w:tab w:val="right" w:leader="dot" w:pos="8607"/>
                      <w:tab w:val="right" w:leader="dot" w:pos="8891"/>
                    </w:tabs>
                    <w:rPr>
                      <w:rFonts w:ascii="宋体" w:hAnsi="宋体" w:cs="宋体"/>
                      <w:szCs w:val="21"/>
                    </w:rPr>
                  </w:pPr>
                  <w:r>
                    <w:rPr>
                      <w:rFonts w:hint="eastAsia" w:ascii="宋体" w:hAnsi="宋体" w:cs="宋体"/>
                      <w:szCs w:val="21"/>
                    </w:rPr>
                    <w:t>总排口DW001</w:t>
                  </w:r>
                </w:p>
                <w:p>
                  <w:pPr>
                    <w:pStyle w:val="32"/>
                    <w:tabs>
                      <w:tab w:val="right" w:leader="dot" w:pos="8607"/>
                      <w:tab w:val="right" w:leader="dot" w:pos="8891"/>
                    </w:tabs>
                    <w:rPr>
                      <w:rFonts w:ascii="宋体" w:hAnsi="宋体" w:cs="宋体"/>
                      <w:szCs w:val="21"/>
                    </w:rPr>
                  </w:pPr>
                  <w:r>
                    <w:rPr>
                      <w:rFonts w:hint="eastAsia" w:ascii="宋体" w:hAnsi="宋体" w:cs="宋体"/>
                      <w:szCs w:val="21"/>
                    </w:rPr>
                    <w:t>一般排放口（无直接外排口，废水为间接排放）</w:t>
                  </w:r>
                </w:p>
              </w:tc>
              <w:tc>
                <w:tcPr>
                  <w:tcW w:w="1453" w:type="dxa"/>
                  <w:vMerge w:val="restart"/>
                  <w:vAlign w:val="center"/>
                </w:tcPr>
                <w:p>
                  <w:pPr>
                    <w:pStyle w:val="32"/>
                    <w:tabs>
                      <w:tab w:val="right" w:leader="dot" w:pos="8607"/>
                      <w:tab w:val="right" w:leader="dot" w:pos="8891"/>
                    </w:tabs>
                    <w:rPr>
                      <w:rFonts w:ascii="宋体" w:hAnsi="宋体" w:cs="宋体"/>
                      <w:szCs w:val="21"/>
                    </w:rPr>
                  </w:pPr>
                  <w:r>
                    <w:rPr>
                      <w:rFonts w:hint="eastAsia" w:ascii="宋体" w:hAnsi="宋体" w:cs="宋体"/>
                      <w:szCs w:val="21"/>
                    </w:rPr>
                    <w:t>柳河县污水处理厂</w:t>
                  </w:r>
                </w:p>
              </w:tc>
              <w:tc>
                <w:tcPr>
                  <w:tcW w:w="796" w:type="dxa"/>
                  <w:vMerge w:val="restart"/>
                  <w:vAlign w:val="center"/>
                </w:tcPr>
                <w:p>
                  <w:pPr>
                    <w:pStyle w:val="32"/>
                    <w:tabs>
                      <w:tab w:val="right" w:leader="dot" w:pos="8607"/>
                      <w:tab w:val="right" w:leader="dot" w:pos="8891"/>
                    </w:tabs>
                    <w:rPr>
                      <w:rFonts w:ascii="宋体" w:hAnsi="宋体" w:cs="宋体"/>
                      <w:szCs w:val="21"/>
                    </w:rPr>
                  </w:pPr>
                  <w:r>
                    <w:rPr>
                      <w:rFonts w:hint="eastAsia" w:ascii="宋体" w:hAnsi="宋体" w:cs="宋体"/>
                      <w:szCs w:val="21"/>
                    </w:rPr>
                    <w:t>间断</w:t>
                  </w:r>
                </w:p>
              </w:tc>
              <w:tc>
                <w:tcPr>
                  <w:tcW w:w="1240" w:type="dxa"/>
                  <w:vAlign w:val="center"/>
                </w:tcPr>
                <w:p>
                  <w:pPr>
                    <w:jc w:val="center"/>
                    <w:rPr>
                      <w:rFonts w:ascii="宋体" w:hAnsi="宋体" w:cs="宋体"/>
                      <w:szCs w:val="21"/>
                    </w:rPr>
                  </w:pPr>
                  <w:r>
                    <w:rPr>
                      <w:rFonts w:hint="eastAsia"/>
                      <w:szCs w:val="21"/>
                    </w:rPr>
                    <w:t>COD</w:t>
                  </w:r>
                </w:p>
              </w:tc>
              <w:tc>
                <w:tcPr>
                  <w:tcW w:w="1792" w:type="dxa"/>
                  <w:vMerge w:val="restart"/>
                  <w:vAlign w:val="center"/>
                </w:tcPr>
                <w:p>
                  <w:pPr>
                    <w:pStyle w:val="32"/>
                    <w:tabs>
                      <w:tab w:val="right" w:leader="dot" w:pos="8607"/>
                      <w:tab w:val="right" w:leader="dot" w:pos="8891"/>
                    </w:tabs>
                    <w:rPr>
                      <w:rFonts w:ascii="宋体" w:hAnsi="宋体" w:cs="宋体"/>
                      <w:szCs w:val="21"/>
                    </w:rPr>
                  </w:pPr>
                  <w:r>
                    <w:rPr>
                      <w:rFonts w:hint="eastAsia" w:ascii="宋体" w:hAnsi="宋体" w:cs="宋体"/>
                      <w:szCs w:val="21"/>
                    </w:rPr>
                    <w:t>《污水综合排放标准》（GB8978-1996）中的三级标准</w:t>
                  </w:r>
                </w:p>
              </w:tc>
            </w:tr>
            <w:tr>
              <w:trPr>
                <w:cantSplit/>
                <w:trHeight w:val="356" w:hRule="atLeast"/>
                <w:jc w:val="center"/>
              </w:trPr>
              <w:tc>
                <w:tcPr>
                  <w:tcW w:w="1334" w:type="dxa"/>
                  <w:vMerge w:val="continue"/>
                  <w:vAlign w:val="center"/>
                </w:tcPr>
                <w:p>
                  <w:pPr>
                    <w:pStyle w:val="32"/>
                    <w:tabs>
                      <w:tab w:val="right" w:leader="dot" w:pos="8607"/>
                      <w:tab w:val="right" w:leader="dot" w:pos="8891"/>
                    </w:tabs>
                    <w:rPr>
                      <w:rFonts w:ascii="宋体" w:hAnsi="宋体" w:cs="宋体"/>
                      <w:szCs w:val="21"/>
                    </w:rPr>
                  </w:pPr>
                </w:p>
              </w:tc>
              <w:tc>
                <w:tcPr>
                  <w:tcW w:w="1822" w:type="dxa"/>
                  <w:vMerge w:val="continue"/>
                  <w:vAlign w:val="center"/>
                </w:tcPr>
                <w:p>
                  <w:pPr>
                    <w:pStyle w:val="32"/>
                    <w:tabs>
                      <w:tab w:val="right" w:leader="dot" w:pos="8607"/>
                      <w:tab w:val="right" w:leader="dot" w:pos="8891"/>
                    </w:tabs>
                    <w:rPr>
                      <w:rFonts w:ascii="宋体" w:hAnsi="宋体" w:cs="宋体"/>
                      <w:szCs w:val="21"/>
                    </w:rPr>
                  </w:pPr>
                </w:p>
              </w:tc>
              <w:tc>
                <w:tcPr>
                  <w:tcW w:w="1453" w:type="dxa"/>
                  <w:vMerge w:val="continue"/>
                  <w:vAlign w:val="center"/>
                </w:tcPr>
                <w:p>
                  <w:pPr>
                    <w:pStyle w:val="32"/>
                    <w:tabs>
                      <w:tab w:val="right" w:leader="dot" w:pos="8607"/>
                      <w:tab w:val="right" w:leader="dot" w:pos="8891"/>
                    </w:tabs>
                    <w:rPr>
                      <w:rFonts w:ascii="宋体" w:hAnsi="宋体" w:cs="宋体"/>
                      <w:szCs w:val="21"/>
                    </w:rPr>
                  </w:pPr>
                </w:p>
              </w:tc>
              <w:tc>
                <w:tcPr>
                  <w:tcW w:w="796" w:type="dxa"/>
                  <w:vMerge w:val="continue"/>
                  <w:vAlign w:val="center"/>
                </w:tcPr>
                <w:p>
                  <w:pPr>
                    <w:pStyle w:val="32"/>
                    <w:tabs>
                      <w:tab w:val="right" w:leader="dot" w:pos="8607"/>
                      <w:tab w:val="right" w:leader="dot" w:pos="8891"/>
                    </w:tabs>
                    <w:rPr>
                      <w:rFonts w:ascii="宋体" w:hAnsi="宋体" w:cs="宋体"/>
                      <w:szCs w:val="21"/>
                    </w:rPr>
                  </w:pPr>
                </w:p>
              </w:tc>
              <w:tc>
                <w:tcPr>
                  <w:tcW w:w="1240" w:type="dxa"/>
                  <w:vAlign w:val="center"/>
                </w:tcPr>
                <w:p>
                  <w:pPr>
                    <w:jc w:val="center"/>
                    <w:rPr>
                      <w:rFonts w:ascii="宋体" w:hAnsi="宋体" w:cs="宋体"/>
                      <w:szCs w:val="21"/>
                    </w:rPr>
                  </w:pPr>
                  <w:r>
                    <w:rPr>
                      <w:rFonts w:hint="eastAsia"/>
                      <w:szCs w:val="21"/>
                    </w:rPr>
                    <w:t>BOD</w:t>
                  </w:r>
                  <w:r>
                    <w:rPr>
                      <w:rFonts w:hint="eastAsia"/>
                      <w:szCs w:val="21"/>
                      <w:vertAlign w:val="subscript"/>
                    </w:rPr>
                    <w:t>5</w:t>
                  </w:r>
                </w:p>
              </w:tc>
              <w:tc>
                <w:tcPr>
                  <w:tcW w:w="1792" w:type="dxa"/>
                  <w:vMerge w:val="continue"/>
                  <w:vAlign w:val="center"/>
                </w:tcPr>
                <w:p>
                  <w:pPr>
                    <w:pStyle w:val="32"/>
                    <w:tabs>
                      <w:tab w:val="right" w:leader="dot" w:pos="8607"/>
                      <w:tab w:val="right" w:leader="dot" w:pos="8891"/>
                    </w:tabs>
                    <w:rPr>
                      <w:rFonts w:ascii="宋体" w:hAnsi="宋体" w:cs="宋体"/>
                      <w:szCs w:val="21"/>
                    </w:rPr>
                  </w:pPr>
                </w:p>
              </w:tc>
            </w:tr>
            <w:tr>
              <w:trPr>
                <w:cantSplit/>
                <w:trHeight w:val="356" w:hRule="atLeast"/>
                <w:jc w:val="center"/>
              </w:trPr>
              <w:tc>
                <w:tcPr>
                  <w:tcW w:w="1334" w:type="dxa"/>
                  <w:vMerge w:val="continue"/>
                  <w:vAlign w:val="center"/>
                </w:tcPr>
                <w:p>
                  <w:pPr>
                    <w:pStyle w:val="32"/>
                    <w:tabs>
                      <w:tab w:val="right" w:leader="dot" w:pos="8607"/>
                      <w:tab w:val="right" w:leader="dot" w:pos="8891"/>
                    </w:tabs>
                    <w:rPr>
                      <w:rFonts w:ascii="宋体" w:hAnsi="宋体" w:cs="宋体"/>
                      <w:szCs w:val="21"/>
                    </w:rPr>
                  </w:pPr>
                </w:p>
              </w:tc>
              <w:tc>
                <w:tcPr>
                  <w:tcW w:w="1822" w:type="dxa"/>
                  <w:vMerge w:val="continue"/>
                  <w:vAlign w:val="center"/>
                </w:tcPr>
                <w:p>
                  <w:pPr>
                    <w:pStyle w:val="32"/>
                    <w:tabs>
                      <w:tab w:val="right" w:leader="dot" w:pos="8607"/>
                      <w:tab w:val="right" w:leader="dot" w:pos="8891"/>
                    </w:tabs>
                    <w:rPr>
                      <w:rFonts w:ascii="宋体" w:hAnsi="宋体" w:cs="宋体"/>
                      <w:szCs w:val="21"/>
                    </w:rPr>
                  </w:pPr>
                </w:p>
              </w:tc>
              <w:tc>
                <w:tcPr>
                  <w:tcW w:w="1453" w:type="dxa"/>
                  <w:vMerge w:val="continue"/>
                  <w:vAlign w:val="center"/>
                </w:tcPr>
                <w:p>
                  <w:pPr>
                    <w:pStyle w:val="32"/>
                    <w:tabs>
                      <w:tab w:val="right" w:leader="dot" w:pos="8607"/>
                      <w:tab w:val="right" w:leader="dot" w:pos="8891"/>
                    </w:tabs>
                    <w:rPr>
                      <w:rFonts w:ascii="宋体" w:hAnsi="宋体" w:cs="宋体"/>
                      <w:szCs w:val="21"/>
                    </w:rPr>
                  </w:pPr>
                </w:p>
              </w:tc>
              <w:tc>
                <w:tcPr>
                  <w:tcW w:w="796" w:type="dxa"/>
                  <w:vMerge w:val="continue"/>
                  <w:vAlign w:val="center"/>
                </w:tcPr>
                <w:p>
                  <w:pPr>
                    <w:pStyle w:val="32"/>
                    <w:tabs>
                      <w:tab w:val="right" w:leader="dot" w:pos="8607"/>
                      <w:tab w:val="right" w:leader="dot" w:pos="8891"/>
                    </w:tabs>
                    <w:rPr>
                      <w:rFonts w:ascii="宋体" w:hAnsi="宋体" w:cs="宋体"/>
                      <w:szCs w:val="21"/>
                    </w:rPr>
                  </w:pPr>
                </w:p>
              </w:tc>
              <w:tc>
                <w:tcPr>
                  <w:tcW w:w="1240" w:type="dxa"/>
                  <w:vAlign w:val="center"/>
                </w:tcPr>
                <w:p>
                  <w:pPr>
                    <w:jc w:val="center"/>
                    <w:rPr>
                      <w:rFonts w:ascii="宋体" w:hAnsi="宋体" w:cs="宋体"/>
                      <w:szCs w:val="21"/>
                    </w:rPr>
                  </w:pPr>
                  <w:r>
                    <w:rPr>
                      <w:rFonts w:hint="eastAsia"/>
                      <w:szCs w:val="21"/>
                    </w:rPr>
                    <w:t>SS</w:t>
                  </w:r>
                </w:p>
              </w:tc>
              <w:tc>
                <w:tcPr>
                  <w:tcW w:w="1792" w:type="dxa"/>
                  <w:vMerge w:val="continue"/>
                  <w:vAlign w:val="center"/>
                </w:tcPr>
                <w:p>
                  <w:pPr>
                    <w:pStyle w:val="32"/>
                    <w:tabs>
                      <w:tab w:val="right" w:leader="dot" w:pos="8607"/>
                      <w:tab w:val="right" w:leader="dot" w:pos="8891"/>
                    </w:tabs>
                    <w:rPr>
                      <w:rFonts w:ascii="宋体" w:hAnsi="宋体" w:cs="宋体"/>
                      <w:szCs w:val="21"/>
                    </w:rPr>
                  </w:pPr>
                </w:p>
              </w:tc>
            </w:tr>
            <w:tr>
              <w:trPr>
                <w:cantSplit/>
                <w:trHeight w:val="433" w:hRule="atLeast"/>
                <w:jc w:val="center"/>
              </w:trPr>
              <w:tc>
                <w:tcPr>
                  <w:tcW w:w="1334" w:type="dxa"/>
                  <w:vMerge w:val="continue"/>
                  <w:vAlign w:val="center"/>
                </w:tcPr>
                <w:p>
                  <w:pPr>
                    <w:pStyle w:val="32"/>
                    <w:tabs>
                      <w:tab w:val="right" w:leader="dot" w:pos="8607"/>
                      <w:tab w:val="right" w:leader="dot" w:pos="8891"/>
                    </w:tabs>
                    <w:rPr>
                      <w:rFonts w:ascii="宋体" w:hAnsi="宋体" w:cs="宋体"/>
                      <w:szCs w:val="21"/>
                    </w:rPr>
                  </w:pPr>
                </w:p>
              </w:tc>
              <w:tc>
                <w:tcPr>
                  <w:tcW w:w="1822" w:type="dxa"/>
                  <w:vMerge w:val="continue"/>
                  <w:vAlign w:val="center"/>
                </w:tcPr>
                <w:p>
                  <w:pPr>
                    <w:pStyle w:val="32"/>
                    <w:tabs>
                      <w:tab w:val="right" w:leader="dot" w:pos="8607"/>
                      <w:tab w:val="right" w:leader="dot" w:pos="8891"/>
                    </w:tabs>
                    <w:rPr>
                      <w:rFonts w:ascii="宋体" w:hAnsi="宋体" w:cs="宋体"/>
                      <w:szCs w:val="21"/>
                    </w:rPr>
                  </w:pPr>
                </w:p>
              </w:tc>
              <w:tc>
                <w:tcPr>
                  <w:tcW w:w="1453" w:type="dxa"/>
                  <w:vMerge w:val="continue"/>
                  <w:vAlign w:val="center"/>
                </w:tcPr>
                <w:p>
                  <w:pPr>
                    <w:pStyle w:val="32"/>
                    <w:tabs>
                      <w:tab w:val="right" w:leader="dot" w:pos="8607"/>
                      <w:tab w:val="right" w:leader="dot" w:pos="8891"/>
                    </w:tabs>
                    <w:rPr>
                      <w:rFonts w:ascii="宋体" w:hAnsi="宋体" w:cs="宋体"/>
                      <w:szCs w:val="21"/>
                    </w:rPr>
                  </w:pPr>
                </w:p>
              </w:tc>
              <w:tc>
                <w:tcPr>
                  <w:tcW w:w="796" w:type="dxa"/>
                  <w:vMerge w:val="continue"/>
                  <w:vAlign w:val="center"/>
                </w:tcPr>
                <w:p>
                  <w:pPr>
                    <w:pStyle w:val="32"/>
                    <w:tabs>
                      <w:tab w:val="right" w:leader="dot" w:pos="8607"/>
                      <w:tab w:val="right" w:leader="dot" w:pos="8891"/>
                    </w:tabs>
                    <w:rPr>
                      <w:rFonts w:ascii="宋体" w:hAnsi="宋体" w:cs="宋体"/>
                      <w:szCs w:val="21"/>
                    </w:rPr>
                  </w:pPr>
                </w:p>
              </w:tc>
              <w:tc>
                <w:tcPr>
                  <w:tcW w:w="1240" w:type="dxa"/>
                  <w:tcBorders>
                    <w:bottom w:val="single" w:color="auto" w:sz="4" w:space="0"/>
                  </w:tcBorders>
                  <w:vAlign w:val="center"/>
                </w:tcPr>
                <w:p>
                  <w:pPr>
                    <w:jc w:val="center"/>
                    <w:rPr>
                      <w:rFonts w:ascii="宋体" w:hAnsi="宋体" w:cs="宋体"/>
                      <w:szCs w:val="21"/>
                    </w:rPr>
                  </w:pPr>
                  <w:r>
                    <w:rPr>
                      <w:rFonts w:hint="eastAsia"/>
                      <w:szCs w:val="21"/>
                    </w:rPr>
                    <w:t>氨氮</w:t>
                  </w:r>
                </w:p>
              </w:tc>
              <w:tc>
                <w:tcPr>
                  <w:tcW w:w="1792" w:type="dxa"/>
                  <w:vMerge w:val="continue"/>
                  <w:vAlign w:val="center"/>
                </w:tcPr>
                <w:p>
                  <w:pPr>
                    <w:pStyle w:val="32"/>
                    <w:tabs>
                      <w:tab w:val="right" w:leader="dot" w:pos="8607"/>
                      <w:tab w:val="right" w:leader="dot" w:pos="8891"/>
                    </w:tabs>
                    <w:rPr>
                      <w:rFonts w:ascii="宋体" w:hAnsi="宋体" w:cs="宋体"/>
                      <w:szCs w:val="21"/>
                    </w:rPr>
                  </w:pPr>
                </w:p>
              </w:tc>
            </w:tr>
            <w:tr>
              <w:trPr>
                <w:cantSplit/>
                <w:trHeight w:val="356" w:hRule="atLeast"/>
                <w:jc w:val="center"/>
              </w:trPr>
              <w:tc>
                <w:tcPr>
                  <w:tcW w:w="1334" w:type="dxa"/>
                  <w:vMerge w:val="continue"/>
                  <w:vAlign w:val="center"/>
                </w:tcPr>
                <w:p>
                  <w:pPr>
                    <w:pStyle w:val="32"/>
                    <w:tabs>
                      <w:tab w:val="right" w:leader="dot" w:pos="8607"/>
                      <w:tab w:val="right" w:leader="dot" w:pos="8891"/>
                    </w:tabs>
                    <w:rPr>
                      <w:rFonts w:ascii="宋体" w:hAnsi="宋体" w:cs="宋体"/>
                      <w:szCs w:val="21"/>
                    </w:rPr>
                  </w:pPr>
                </w:p>
              </w:tc>
              <w:tc>
                <w:tcPr>
                  <w:tcW w:w="1822" w:type="dxa"/>
                  <w:vMerge w:val="continue"/>
                  <w:vAlign w:val="center"/>
                </w:tcPr>
                <w:p>
                  <w:pPr>
                    <w:pStyle w:val="32"/>
                    <w:tabs>
                      <w:tab w:val="right" w:leader="dot" w:pos="8607"/>
                      <w:tab w:val="right" w:leader="dot" w:pos="8891"/>
                    </w:tabs>
                    <w:rPr>
                      <w:rFonts w:ascii="宋体" w:hAnsi="宋体" w:cs="宋体"/>
                      <w:szCs w:val="21"/>
                    </w:rPr>
                  </w:pPr>
                </w:p>
              </w:tc>
              <w:tc>
                <w:tcPr>
                  <w:tcW w:w="1453" w:type="dxa"/>
                  <w:vMerge w:val="continue"/>
                  <w:vAlign w:val="center"/>
                </w:tcPr>
                <w:p>
                  <w:pPr>
                    <w:pStyle w:val="32"/>
                    <w:tabs>
                      <w:tab w:val="right" w:leader="dot" w:pos="8607"/>
                      <w:tab w:val="right" w:leader="dot" w:pos="8891"/>
                    </w:tabs>
                    <w:rPr>
                      <w:rFonts w:ascii="宋体" w:hAnsi="宋体" w:cs="宋体"/>
                      <w:szCs w:val="21"/>
                    </w:rPr>
                  </w:pPr>
                </w:p>
              </w:tc>
              <w:tc>
                <w:tcPr>
                  <w:tcW w:w="796" w:type="dxa"/>
                  <w:vMerge w:val="continue"/>
                  <w:vAlign w:val="center"/>
                </w:tcPr>
                <w:p>
                  <w:pPr>
                    <w:pStyle w:val="32"/>
                    <w:tabs>
                      <w:tab w:val="right" w:leader="dot" w:pos="8607"/>
                      <w:tab w:val="right" w:leader="dot" w:pos="8891"/>
                    </w:tabs>
                    <w:rPr>
                      <w:rFonts w:ascii="宋体" w:hAnsi="宋体" w:cs="宋体"/>
                      <w:szCs w:val="21"/>
                    </w:rPr>
                  </w:pPr>
                </w:p>
              </w:tc>
              <w:tc>
                <w:tcPr>
                  <w:tcW w:w="1240" w:type="dxa"/>
                  <w:tcBorders>
                    <w:top w:val="single" w:color="auto" w:sz="4" w:space="0"/>
                    <w:bottom w:val="single" w:color="auto" w:sz="4" w:space="0"/>
                  </w:tcBorders>
                  <w:vAlign w:val="center"/>
                </w:tcPr>
                <w:p>
                  <w:pPr>
                    <w:jc w:val="center"/>
                    <w:rPr>
                      <w:szCs w:val="21"/>
                    </w:rPr>
                  </w:pPr>
                  <w:r>
                    <w:rPr>
                      <w:rFonts w:hint="eastAsia"/>
                      <w:szCs w:val="21"/>
                    </w:rPr>
                    <w:t>石油类</w:t>
                  </w:r>
                </w:p>
              </w:tc>
              <w:tc>
                <w:tcPr>
                  <w:tcW w:w="1792" w:type="dxa"/>
                  <w:vMerge w:val="continue"/>
                  <w:vAlign w:val="center"/>
                </w:tcPr>
                <w:p>
                  <w:pPr>
                    <w:pStyle w:val="32"/>
                    <w:tabs>
                      <w:tab w:val="right" w:leader="dot" w:pos="8607"/>
                      <w:tab w:val="right" w:leader="dot" w:pos="8891"/>
                    </w:tabs>
                    <w:rPr>
                      <w:rFonts w:ascii="宋体" w:hAnsi="宋体" w:cs="宋体"/>
                      <w:szCs w:val="21"/>
                    </w:rPr>
                  </w:pPr>
                </w:p>
              </w:tc>
            </w:tr>
            <w:tr>
              <w:trPr>
                <w:cantSplit/>
                <w:trHeight w:val="388" w:hRule="atLeast"/>
                <w:jc w:val="center"/>
              </w:trPr>
              <w:tc>
                <w:tcPr>
                  <w:tcW w:w="1334" w:type="dxa"/>
                  <w:vMerge w:val="continue"/>
                  <w:vAlign w:val="center"/>
                </w:tcPr>
                <w:p>
                  <w:pPr>
                    <w:pStyle w:val="32"/>
                    <w:tabs>
                      <w:tab w:val="right" w:leader="dot" w:pos="8607"/>
                      <w:tab w:val="right" w:leader="dot" w:pos="8891"/>
                    </w:tabs>
                    <w:rPr>
                      <w:rFonts w:ascii="宋体" w:hAnsi="宋体" w:cs="宋体"/>
                      <w:szCs w:val="21"/>
                    </w:rPr>
                  </w:pPr>
                </w:p>
              </w:tc>
              <w:tc>
                <w:tcPr>
                  <w:tcW w:w="1822" w:type="dxa"/>
                  <w:vMerge w:val="continue"/>
                  <w:vAlign w:val="center"/>
                </w:tcPr>
                <w:p>
                  <w:pPr>
                    <w:pStyle w:val="32"/>
                    <w:tabs>
                      <w:tab w:val="right" w:leader="dot" w:pos="8607"/>
                      <w:tab w:val="right" w:leader="dot" w:pos="8891"/>
                    </w:tabs>
                    <w:rPr>
                      <w:rFonts w:ascii="宋体" w:hAnsi="宋体" w:cs="宋体"/>
                      <w:szCs w:val="21"/>
                    </w:rPr>
                  </w:pPr>
                </w:p>
              </w:tc>
              <w:tc>
                <w:tcPr>
                  <w:tcW w:w="1453" w:type="dxa"/>
                  <w:vMerge w:val="continue"/>
                  <w:vAlign w:val="center"/>
                </w:tcPr>
                <w:p>
                  <w:pPr>
                    <w:pStyle w:val="32"/>
                    <w:tabs>
                      <w:tab w:val="right" w:leader="dot" w:pos="8607"/>
                      <w:tab w:val="right" w:leader="dot" w:pos="8891"/>
                    </w:tabs>
                    <w:rPr>
                      <w:rFonts w:ascii="宋体" w:hAnsi="宋体" w:cs="宋体"/>
                      <w:szCs w:val="21"/>
                    </w:rPr>
                  </w:pPr>
                </w:p>
              </w:tc>
              <w:tc>
                <w:tcPr>
                  <w:tcW w:w="796" w:type="dxa"/>
                  <w:vMerge w:val="continue"/>
                  <w:vAlign w:val="center"/>
                </w:tcPr>
                <w:p>
                  <w:pPr>
                    <w:pStyle w:val="32"/>
                    <w:tabs>
                      <w:tab w:val="right" w:leader="dot" w:pos="8607"/>
                      <w:tab w:val="right" w:leader="dot" w:pos="8891"/>
                    </w:tabs>
                    <w:rPr>
                      <w:rFonts w:ascii="宋体" w:hAnsi="宋体" w:cs="宋体"/>
                      <w:szCs w:val="21"/>
                    </w:rPr>
                  </w:pPr>
                </w:p>
              </w:tc>
              <w:tc>
                <w:tcPr>
                  <w:tcW w:w="1240" w:type="dxa"/>
                  <w:tcBorders>
                    <w:top w:val="single" w:color="auto" w:sz="4" w:space="0"/>
                  </w:tcBorders>
                  <w:vAlign w:val="center"/>
                </w:tcPr>
                <w:p>
                  <w:pPr>
                    <w:jc w:val="center"/>
                    <w:rPr>
                      <w:szCs w:val="21"/>
                    </w:rPr>
                  </w:pPr>
                  <w:r>
                    <w:rPr>
                      <w:rFonts w:hint="eastAsia"/>
                      <w:szCs w:val="21"/>
                    </w:rPr>
                    <w:t>pH</w:t>
                  </w:r>
                </w:p>
              </w:tc>
              <w:tc>
                <w:tcPr>
                  <w:tcW w:w="1792" w:type="dxa"/>
                  <w:vMerge w:val="continue"/>
                  <w:vAlign w:val="center"/>
                </w:tcPr>
                <w:p>
                  <w:pPr>
                    <w:pStyle w:val="32"/>
                    <w:tabs>
                      <w:tab w:val="right" w:leader="dot" w:pos="8607"/>
                      <w:tab w:val="right" w:leader="dot" w:pos="8891"/>
                    </w:tabs>
                    <w:rPr>
                      <w:rFonts w:ascii="宋体" w:hAnsi="宋体" w:cs="宋体"/>
                      <w:szCs w:val="21"/>
                    </w:rPr>
                  </w:pPr>
                </w:p>
              </w:tc>
            </w:tr>
          </w:tbl>
          <w:p>
            <w:pPr>
              <w:pStyle w:val="18"/>
              <w:spacing w:line="360" w:lineRule="auto"/>
            </w:pPr>
            <w:r>
              <w:rPr>
                <w:rFonts w:hint="eastAsia"/>
              </w:rPr>
              <w:t>注：本项目废水经罐车外运，为间接排放口。</w:t>
            </w:r>
          </w:p>
          <w:p>
            <w:pPr>
              <w:pStyle w:val="18"/>
              <w:spacing w:line="360" w:lineRule="auto"/>
            </w:pPr>
            <w:r>
              <w:rPr>
                <w:rFonts w:hint="eastAsia"/>
              </w:rPr>
              <w:t xml:space="preserve">（3）监测计划 </w:t>
            </w:r>
          </w:p>
          <w:p>
            <w:pPr>
              <w:widowControl/>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根据《排污许可证申请与核发技术规范 废弃资源加工企业》（</w:t>
            </w:r>
            <w:r>
              <w:rPr>
                <w:color w:val="000000"/>
                <w:kern w:val="0"/>
                <w:sz w:val="24"/>
              </w:rPr>
              <w:t>HJ1064-2019</w:t>
            </w:r>
            <w:r>
              <w:rPr>
                <w:rFonts w:hint="eastAsia" w:ascii="宋体" w:hAnsi="宋体" w:cs="宋体"/>
                <w:color w:val="000000"/>
                <w:kern w:val="0"/>
                <w:sz w:val="24"/>
              </w:rPr>
              <w:t>）、《排污单位自行监测技术指南 总则》（</w:t>
            </w:r>
            <w:r>
              <w:rPr>
                <w:color w:val="000000"/>
                <w:kern w:val="0"/>
                <w:sz w:val="24"/>
              </w:rPr>
              <w:t>HJ 819-2017</w:t>
            </w:r>
            <w:r>
              <w:rPr>
                <w:rFonts w:hint="eastAsia" w:ascii="宋体" w:hAnsi="宋体" w:cs="宋体"/>
                <w:color w:val="000000"/>
                <w:kern w:val="0"/>
                <w:sz w:val="24"/>
              </w:rPr>
              <w:t xml:space="preserve">）及项目排污特点制定本项目废水污染源及地下水环境质量监测计划情况，详见表 </w:t>
            </w:r>
            <w:r>
              <w:rPr>
                <w:rFonts w:hint="eastAsia"/>
                <w:color w:val="000000"/>
                <w:kern w:val="0"/>
                <w:sz w:val="24"/>
              </w:rPr>
              <w:t>4-8</w:t>
            </w:r>
            <w:r>
              <w:rPr>
                <w:rFonts w:hint="eastAsia" w:ascii="宋体" w:hAnsi="宋体" w:cs="宋体"/>
                <w:color w:val="000000"/>
                <w:kern w:val="0"/>
                <w:sz w:val="24"/>
              </w:rPr>
              <w:t>。</w:t>
            </w:r>
          </w:p>
          <w:p>
            <w:pPr>
              <w:spacing w:beforeLines="50"/>
              <w:jc w:val="center"/>
              <w:rPr>
                <w:rFonts w:ascii="宋体" w:hAnsi="宋体" w:cs="宋体"/>
                <w:b/>
                <w:sz w:val="24"/>
              </w:rPr>
            </w:pPr>
            <w:r>
              <w:rPr>
                <w:rFonts w:hint="eastAsia" w:ascii="宋体" w:hAnsi="宋体" w:cs="宋体"/>
                <w:b/>
                <w:sz w:val="24"/>
              </w:rPr>
              <w:t>表4-8  废水监测计划表</w:t>
            </w:r>
          </w:p>
          <w:tbl>
            <w:tblPr>
              <w:tblW w:w="8358"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left w:w="108" w:type="dxa"/>
                <w:right w:w="108" w:type="dxa"/>
              </w:tblCellMar>
            </w:tblPr>
            <w:tblGrid>
              <w:gridCol w:w="1465"/>
              <w:gridCol w:w="2747"/>
              <w:gridCol w:w="1153"/>
              <w:gridCol w:w="2993"/>
            </w:tblGrid>
            <w:tr>
              <w:trPr>
                <w:trHeight w:val="312" w:hRule="atLeast"/>
              </w:trPr>
              <w:tc>
                <w:tcPr>
                  <w:tcW w:w="1465" w:type="dxa"/>
                  <w:vAlign w:val="center"/>
                </w:tcPr>
                <w:p>
                  <w:pPr>
                    <w:pStyle w:val="16"/>
                    <w:jc w:val="center"/>
                  </w:pPr>
                  <w:r>
                    <w:rPr>
                      <w:rFonts w:hint="eastAsia"/>
                    </w:rPr>
                    <w:t>监测点位</w:t>
                  </w:r>
                </w:p>
              </w:tc>
              <w:tc>
                <w:tcPr>
                  <w:tcW w:w="2747" w:type="dxa"/>
                  <w:vAlign w:val="center"/>
                </w:tcPr>
                <w:p>
                  <w:pPr>
                    <w:pStyle w:val="16"/>
                    <w:jc w:val="center"/>
                  </w:pPr>
                  <w:r>
                    <w:rPr>
                      <w:rFonts w:hint="eastAsia"/>
                    </w:rPr>
                    <w:t>监测指标</w:t>
                  </w:r>
                </w:p>
              </w:tc>
              <w:tc>
                <w:tcPr>
                  <w:tcW w:w="1153" w:type="dxa"/>
                  <w:vAlign w:val="center"/>
                </w:tcPr>
                <w:p>
                  <w:pPr>
                    <w:pStyle w:val="16"/>
                    <w:jc w:val="center"/>
                  </w:pPr>
                  <w:r>
                    <w:rPr>
                      <w:rFonts w:hint="eastAsia"/>
                    </w:rPr>
                    <w:t>监测频率</w:t>
                  </w:r>
                </w:p>
              </w:tc>
              <w:tc>
                <w:tcPr>
                  <w:tcW w:w="2993" w:type="dxa"/>
                  <w:vAlign w:val="center"/>
                </w:tcPr>
                <w:p>
                  <w:pPr>
                    <w:pStyle w:val="16"/>
                    <w:jc w:val="center"/>
                  </w:pPr>
                  <w:r>
                    <w:rPr>
                      <w:rFonts w:hint="eastAsia"/>
                    </w:rPr>
                    <w:t>执行标准</w:t>
                  </w:r>
                </w:p>
              </w:tc>
            </w:tr>
            <w:tr>
              <w:trPr>
                <w:trHeight w:val="800" w:hRule="atLeast"/>
              </w:trPr>
              <w:tc>
                <w:tcPr>
                  <w:tcW w:w="1465" w:type="dxa"/>
                  <w:vAlign w:val="center"/>
                </w:tcPr>
                <w:p>
                  <w:pPr>
                    <w:pStyle w:val="16"/>
                    <w:jc w:val="center"/>
                  </w:pPr>
                  <w:r>
                    <w:rPr>
                      <w:rFonts w:hint="eastAsia"/>
                    </w:rPr>
                    <w:t>总排口</w:t>
                  </w:r>
                </w:p>
              </w:tc>
              <w:tc>
                <w:tcPr>
                  <w:tcW w:w="2747" w:type="dxa"/>
                  <w:vAlign w:val="center"/>
                </w:tcPr>
                <w:p>
                  <w:pPr>
                    <w:pStyle w:val="16"/>
                    <w:jc w:val="center"/>
                  </w:pPr>
                  <w:r>
                    <w:rPr>
                      <w:rFonts w:hint="eastAsia"/>
                    </w:rPr>
                    <w:t>pH、COD、BOD</w:t>
                  </w:r>
                  <w:r>
                    <w:rPr>
                      <w:rFonts w:hint="eastAsia"/>
                      <w:vertAlign w:val="subscript"/>
                    </w:rPr>
                    <w:t>5</w:t>
                  </w:r>
                  <w:r>
                    <w:rPr>
                      <w:rFonts w:hint="eastAsia"/>
                    </w:rPr>
                    <w:t>、SS、氨氮、石油类</w:t>
                  </w:r>
                </w:p>
              </w:tc>
              <w:tc>
                <w:tcPr>
                  <w:tcW w:w="1153" w:type="dxa"/>
                  <w:vAlign w:val="center"/>
                </w:tcPr>
                <w:p>
                  <w:pPr>
                    <w:pStyle w:val="16"/>
                    <w:jc w:val="center"/>
                  </w:pPr>
                  <w:r>
                    <w:rPr>
                      <w:rFonts w:hint="eastAsia"/>
                    </w:rPr>
                    <w:t>1次/年</w:t>
                  </w:r>
                </w:p>
              </w:tc>
              <w:tc>
                <w:tcPr>
                  <w:tcW w:w="2993" w:type="dxa"/>
                  <w:vAlign w:val="center"/>
                </w:tcPr>
                <w:p>
                  <w:pPr>
                    <w:pStyle w:val="16"/>
                    <w:jc w:val="center"/>
                  </w:pPr>
                  <w:r>
                    <w:rPr>
                      <w:rFonts w:hint="eastAsia" w:hAnsi="宋体" w:cs="宋体"/>
                      <w:szCs w:val="21"/>
                    </w:rPr>
                    <w:t>《污水综合排放标准》（GB8978-1996）中的三级标准</w:t>
                  </w:r>
                </w:p>
              </w:tc>
            </w:tr>
            <w:tr>
              <w:trPr>
                <w:trHeight w:val="319" w:hRule="atLeast"/>
              </w:trPr>
              <w:tc>
                <w:tcPr>
                  <w:tcW w:w="1465" w:type="dxa"/>
                  <w:vAlign w:val="center"/>
                </w:tcPr>
                <w:p>
                  <w:pPr>
                    <w:pStyle w:val="16"/>
                    <w:jc w:val="center"/>
                  </w:pPr>
                  <w:r>
                    <w:rPr>
                      <w:rFonts w:hint="eastAsia"/>
                    </w:rPr>
                    <w:t>下游监测井</w:t>
                  </w:r>
                </w:p>
              </w:tc>
              <w:tc>
                <w:tcPr>
                  <w:tcW w:w="2747" w:type="dxa"/>
                  <w:vAlign w:val="center"/>
                </w:tcPr>
                <w:p>
                  <w:pPr>
                    <w:pStyle w:val="16"/>
                    <w:jc w:val="center"/>
                  </w:pPr>
                  <w:r>
                    <w:rPr>
                      <w:rFonts w:hint="eastAsia"/>
                    </w:rPr>
                    <w:t>石油类</w:t>
                  </w:r>
                </w:p>
              </w:tc>
              <w:tc>
                <w:tcPr>
                  <w:tcW w:w="1153" w:type="dxa"/>
                  <w:vAlign w:val="center"/>
                </w:tcPr>
                <w:p>
                  <w:pPr>
                    <w:pStyle w:val="16"/>
                    <w:jc w:val="center"/>
                  </w:pPr>
                  <w:r>
                    <w:rPr>
                      <w:rFonts w:hint="eastAsia"/>
                    </w:rPr>
                    <w:t>1次/年</w:t>
                  </w:r>
                </w:p>
              </w:tc>
              <w:tc>
                <w:tcPr>
                  <w:tcW w:w="2993" w:type="dxa"/>
                  <w:vAlign w:val="center"/>
                </w:tcPr>
                <w:p>
                  <w:pPr>
                    <w:pStyle w:val="16"/>
                    <w:jc w:val="center"/>
                    <w:rPr>
                      <w:rFonts w:hAnsi="宋体" w:cs="宋体"/>
                      <w:szCs w:val="21"/>
                    </w:rPr>
                  </w:pPr>
                  <w:r>
                    <w:rPr>
                      <w:rFonts w:hint="eastAsia" w:hAnsi="宋体" w:cs="宋体"/>
                      <w:szCs w:val="21"/>
                    </w:rPr>
                    <w:t>《地下水环境质量标准》</w:t>
                  </w:r>
                  <w:r>
                    <w:rPr>
                      <w:rFonts w:hAnsi="宋体" w:cs="宋体"/>
                      <w:szCs w:val="21"/>
                    </w:rPr>
                    <w:t xml:space="preserve">GB/T14848—2017 </w:t>
                  </w:r>
                </w:p>
              </w:tc>
            </w:tr>
          </w:tbl>
          <w:p>
            <w:pPr>
              <w:pStyle w:val="18"/>
              <w:spacing w:line="360" w:lineRule="auto"/>
            </w:pPr>
            <w:r>
              <w:rPr>
                <w:rFonts w:hint="eastAsia"/>
              </w:rPr>
              <w:t>注：本项目废水经罐车外运，为间接排放口。</w:t>
            </w:r>
          </w:p>
          <w:p>
            <w:pPr>
              <w:pStyle w:val="18"/>
              <w:spacing w:line="360" w:lineRule="auto"/>
            </w:pPr>
            <w:r>
              <w:rPr>
                <w:rFonts w:hint="eastAsia"/>
              </w:rPr>
              <w:t xml:space="preserve">（4）污水处理设施的可行性分析 </w:t>
            </w:r>
          </w:p>
          <w:p>
            <w:pPr>
              <w:widowControl/>
              <w:spacing w:line="360" w:lineRule="auto"/>
              <w:ind w:firstLine="480" w:firstLineChars="200"/>
              <w:jc w:val="left"/>
              <w:rPr>
                <w:rFonts w:ascii="宋体" w:hAnsi="宋体" w:cs="宋体"/>
                <w:i/>
                <w:iCs/>
                <w:kern w:val="0"/>
                <w:sz w:val="24"/>
                <w:u w:val="single"/>
              </w:rPr>
            </w:pPr>
            <w:r>
              <w:rPr>
                <w:rFonts w:hint="eastAsia" w:ascii="宋体" w:hAnsi="宋体" w:cs="宋体"/>
                <w:i/>
                <w:iCs/>
                <w:kern w:val="0"/>
                <w:sz w:val="24"/>
                <w:u w:val="single"/>
              </w:rPr>
              <w:t>生活污水排入厂区防渗化粪池，定期由周边农户清掏作农肥，化粪池容积为20m</w:t>
            </w:r>
            <w:r>
              <w:rPr>
                <w:rFonts w:hint="eastAsia" w:ascii="宋体" w:hAnsi="宋体" w:cs="宋体"/>
                <w:i/>
                <w:iCs/>
                <w:kern w:val="0"/>
                <w:sz w:val="24"/>
                <w:u w:val="single"/>
                <w:vertAlign w:val="superscript"/>
              </w:rPr>
              <w:t>3</w:t>
            </w:r>
            <w:r>
              <w:rPr>
                <w:rFonts w:hint="eastAsia" w:ascii="宋体" w:hAnsi="宋体" w:cs="宋体"/>
                <w:i/>
                <w:iCs/>
                <w:kern w:val="0"/>
                <w:sz w:val="24"/>
                <w:u w:val="single"/>
              </w:rPr>
              <w:t>，年清运3次，防渗化粪池是一种利用沉淀和厌氧微生物发酵的原理，以去除粪便污水或其他生活污水中悬浮物、有机物和病原微生物为主要目的小型污水初级处理构筑物。污水通过化粪池的沉淀作用可去除大部分悬浮物（SS），通过微生物的厌氧发酵作用可降解部分有机物（COD、BOD</w:t>
            </w:r>
            <w:r>
              <w:rPr>
                <w:rFonts w:hint="eastAsia" w:ascii="宋体" w:hAnsi="宋体" w:cs="宋体"/>
                <w:i/>
                <w:iCs/>
                <w:kern w:val="0"/>
                <w:sz w:val="24"/>
                <w:u w:val="single"/>
                <w:vertAlign w:val="subscript"/>
              </w:rPr>
              <w:t>5</w:t>
            </w:r>
            <w:r>
              <w:rPr>
                <w:rFonts w:hint="eastAsia" w:ascii="宋体" w:hAnsi="宋体" w:cs="宋体"/>
                <w:i/>
                <w:iCs/>
                <w:kern w:val="0"/>
                <w:sz w:val="24"/>
                <w:u w:val="single"/>
              </w:rPr>
              <w:t>），底部沉积的污泥可用作有机肥。</w:t>
            </w:r>
          </w:p>
          <w:p>
            <w:pPr>
              <w:widowControl/>
              <w:spacing w:line="360" w:lineRule="auto"/>
              <w:ind w:firstLine="480" w:firstLineChars="200"/>
              <w:jc w:val="left"/>
            </w:pPr>
            <w:r>
              <w:rPr>
                <w:rFonts w:hint="eastAsia" w:ascii="宋体" w:hAnsi="宋体" w:cs="宋体"/>
                <w:i/>
                <w:iCs/>
                <w:kern w:val="0"/>
                <w:sz w:val="24"/>
                <w:u w:val="single"/>
              </w:rPr>
              <w:t>初期雨水收集池为混凝土防渗结构，容积不低于30m</w:t>
            </w:r>
            <w:r>
              <w:rPr>
                <w:rFonts w:hint="eastAsia" w:ascii="宋体" w:hAnsi="宋体" w:cs="宋体"/>
                <w:i/>
                <w:iCs/>
                <w:kern w:val="0"/>
                <w:sz w:val="24"/>
                <w:u w:val="single"/>
                <w:vertAlign w:val="superscript"/>
              </w:rPr>
              <w:t>3</w:t>
            </w:r>
            <w:r>
              <w:rPr>
                <w:rFonts w:hint="eastAsia" w:ascii="宋体" w:hAnsi="宋体" w:cs="宋体"/>
                <w:i/>
                <w:iCs/>
                <w:kern w:val="0"/>
                <w:sz w:val="24"/>
                <w:u w:val="single"/>
              </w:rPr>
              <w:t>。</w:t>
            </w:r>
            <w:r>
              <w:rPr>
                <w:rFonts w:ascii="宋体" w:hAnsi="宋体" w:cs="宋体"/>
                <w:i/>
                <w:iCs/>
                <w:kern w:val="0"/>
                <w:sz w:val="24"/>
                <w:u w:val="single"/>
              </w:rPr>
              <w:t>在场区雨水总汇集口、初期雨水收集池进水前端设置装配式隔油井，作为一级隔油</w:t>
            </w:r>
            <w:r>
              <w:rPr>
                <w:rFonts w:hint="eastAsia" w:ascii="宋体" w:hAnsi="宋体" w:cs="宋体"/>
                <w:i/>
                <w:iCs/>
                <w:kern w:val="0"/>
                <w:sz w:val="24"/>
                <w:u w:val="single"/>
              </w:rPr>
              <w:t>；</w:t>
            </w:r>
            <w:r>
              <w:rPr>
                <w:rFonts w:ascii="宋体" w:hAnsi="宋体" w:cs="宋体"/>
                <w:i/>
                <w:iCs/>
                <w:kern w:val="0"/>
                <w:sz w:val="24"/>
                <w:u w:val="single"/>
              </w:rPr>
              <w:t>进水设布水挡板，出水采用穿孔集水管出水</w:t>
            </w:r>
            <w:r>
              <w:rPr>
                <w:rFonts w:hint="eastAsia" w:ascii="宋体" w:hAnsi="宋体" w:cs="宋体"/>
                <w:i/>
                <w:iCs/>
                <w:kern w:val="0"/>
                <w:sz w:val="24"/>
                <w:u w:val="single"/>
              </w:rPr>
              <w:t>，</w:t>
            </w:r>
            <w:r>
              <w:rPr>
                <w:rFonts w:ascii="宋体" w:hAnsi="宋体" w:cs="宋体"/>
                <w:i/>
                <w:iCs/>
                <w:kern w:val="0"/>
                <w:sz w:val="24"/>
                <w:u w:val="single"/>
              </w:rPr>
              <w:t>初期雨水进入隔油井后流速放缓，利用密度差，矿物油上浮形成浮油层，</w:t>
            </w:r>
            <w:r>
              <w:rPr>
                <w:rFonts w:hint="eastAsia" w:ascii="宋体" w:hAnsi="宋体" w:cs="宋体"/>
                <w:i/>
                <w:iCs/>
                <w:kern w:val="0"/>
                <w:sz w:val="24"/>
                <w:u w:val="single"/>
              </w:rPr>
              <w:t>去除效率约为90%，</w:t>
            </w:r>
            <w:r>
              <w:rPr>
                <w:rFonts w:ascii="宋体" w:hAnsi="宋体" w:cs="宋体"/>
                <w:i/>
                <w:iCs/>
                <w:kern w:val="0"/>
                <w:sz w:val="24"/>
                <w:u w:val="single"/>
              </w:rPr>
              <w:t>泥沙沉降底部；清水从水体下部溢流进入初期雨水收集池；定期人工捞取表层浮油，底部淤泥定期清掏；收集的废油、含油污泥</w:t>
            </w:r>
            <w:r>
              <w:rPr>
                <w:rFonts w:hint="eastAsia" w:ascii="宋体" w:hAnsi="宋体" w:cs="宋体"/>
                <w:i/>
                <w:iCs/>
                <w:kern w:val="0"/>
                <w:sz w:val="24"/>
                <w:u w:val="single"/>
              </w:rPr>
              <w:t>按</w:t>
            </w:r>
            <w:r>
              <w:rPr>
                <w:rFonts w:ascii="宋体" w:hAnsi="宋体" w:cs="宋体"/>
                <w:i/>
                <w:iCs/>
                <w:kern w:val="0"/>
                <w:sz w:val="24"/>
                <w:u w:val="single"/>
              </w:rPr>
              <w:t>危险废物</w:t>
            </w:r>
            <w:r>
              <w:rPr>
                <w:rFonts w:hint="eastAsia" w:ascii="宋体" w:hAnsi="宋体" w:cs="宋体"/>
                <w:i/>
                <w:iCs/>
                <w:kern w:val="0"/>
                <w:sz w:val="24"/>
                <w:u w:val="single"/>
              </w:rPr>
              <w:t>管理，送入危废暂存间密闭袋装</w:t>
            </w:r>
            <w:r>
              <w:rPr>
                <w:rFonts w:ascii="宋体" w:hAnsi="宋体" w:cs="宋体"/>
                <w:i/>
                <w:iCs/>
                <w:kern w:val="0"/>
                <w:sz w:val="24"/>
                <w:u w:val="single"/>
              </w:rPr>
              <w:t>贮存，</w:t>
            </w:r>
            <w:r>
              <w:rPr>
                <w:rFonts w:hint="eastAsia" w:ascii="宋体" w:hAnsi="宋体" w:cs="宋体"/>
                <w:i/>
                <w:iCs/>
                <w:kern w:val="0"/>
                <w:sz w:val="24"/>
                <w:u w:val="single"/>
              </w:rPr>
              <w:t>定期</w:t>
            </w:r>
            <w:r>
              <w:rPr>
                <w:rFonts w:ascii="宋体" w:hAnsi="宋体" w:cs="宋体"/>
                <w:i/>
                <w:iCs/>
                <w:kern w:val="0"/>
                <w:sz w:val="24"/>
                <w:u w:val="single"/>
              </w:rPr>
              <w:t>委托资质单位处置。依据《含油污水处理工程技术规范》（HJ580-2010），重力隔油</w:t>
            </w:r>
            <w:r>
              <w:rPr>
                <w:rFonts w:hint="eastAsia" w:ascii="宋体" w:hAnsi="宋体" w:cs="宋体"/>
                <w:i/>
                <w:iCs/>
                <w:kern w:val="0"/>
                <w:sz w:val="24"/>
                <w:u w:val="single"/>
              </w:rPr>
              <w:t>(</w:t>
            </w:r>
            <w:r>
              <w:rPr>
                <w:rFonts w:ascii="宋体" w:hAnsi="宋体" w:cs="宋体"/>
                <w:i/>
                <w:iCs/>
                <w:kern w:val="0"/>
                <w:sz w:val="24"/>
                <w:u w:val="single"/>
              </w:rPr>
              <w:t>隔油井）为含油废水预处理可行技术，专门用于去除浮油与悬浮颗粒物，属于国家推荐成熟预处理工艺。隔油设施可去除雨水内绝大部分浮油，有效削减进入初期雨水收集池的石油类污染物，减少池内油污淤积、管道结油堵塞风险，降低后续废水处置负荷。游离态浮油（矿物油，非乳化）在隔油沉淀池中依重力上浮分离，按《给水排水设计手册》平流式隔油池设计参数及斯托克斯定律，对粒径 &gt;150 μm 的游离油去除率可达 90% 以上</w:t>
            </w:r>
            <w:r>
              <w:rPr>
                <w:rFonts w:hint="eastAsia" w:ascii="宋体" w:hAnsi="宋体" w:cs="宋体"/>
                <w:i/>
                <w:iCs/>
                <w:kern w:val="0"/>
                <w:sz w:val="24"/>
                <w:u w:val="single"/>
              </w:rPr>
              <w:t>，可认为</w:t>
            </w:r>
            <w:r>
              <w:rPr>
                <w:rFonts w:ascii="宋体" w:hAnsi="宋体" w:cs="宋体"/>
                <w:i/>
                <w:iCs/>
                <w:kern w:val="0"/>
                <w:sz w:val="24"/>
                <w:u w:val="single"/>
              </w:rPr>
              <w:t>重力隔油 90% 为行业常规水平。本项目初期雨水以游离态浮油为主、无乳化油，取 90% 合理且偏保守。</w:t>
            </w:r>
          </w:p>
          <w:p>
            <w:pPr>
              <w:spacing w:line="360" w:lineRule="auto"/>
              <w:ind w:firstLine="480" w:firstLineChars="200"/>
              <w:rPr>
                <w:rFonts w:ascii="宋体" w:hAnsi="宋体" w:cs="宋体"/>
                <w:bCs/>
                <w:sz w:val="24"/>
              </w:rPr>
            </w:pPr>
            <w:r>
              <w:rPr>
                <w:rFonts w:hint="eastAsia" w:ascii="宋体" w:hAnsi="宋体" w:cs="宋体"/>
                <w:bCs/>
                <w:sz w:val="24"/>
              </w:rPr>
              <w:t>柳河县污水处理厂（柳河县碧水污水处理有限公司）位于吉林柳河经济开发区东北部，该厂始建于2008年7月，于2010年9月试运行，处理规模为1.0万m</w:t>
            </w:r>
            <w:r>
              <w:rPr>
                <w:rFonts w:hint="eastAsia" w:ascii="宋体" w:hAnsi="宋体" w:cs="宋体"/>
                <w:bCs/>
                <w:sz w:val="24"/>
                <w:vertAlign w:val="superscript"/>
              </w:rPr>
              <w:t>3</w:t>
            </w:r>
            <w:r>
              <w:rPr>
                <w:rFonts w:hint="eastAsia" w:ascii="宋体" w:hAnsi="宋体" w:cs="宋体"/>
                <w:bCs/>
                <w:sz w:val="24"/>
              </w:rPr>
              <w:t>/d，污水处理采用水解+AICS处理工艺，处理达到《城镇污水处理厂污染物排放标准》（GB18918-2002）中一级A标准后排入一统河。该污水处理厂于2007年7月5日取得原吉林省环境保护局《关于柳河县城污水处理厂建设项目环境影响报告（表）的批复》（吉环建（表）字[2007]139号），并于2010年11月22日取得原吉林省环境保护厅关于柳河县城污水处理厂建设项目验收批复（吉环审验字[2010]129号）。</w:t>
            </w:r>
          </w:p>
          <w:p>
            <w:pPr>
              <w:pStyle w:val="61"/>
              <w:ind w:firstLine="480" w:firstLineChars="200"/>
              <w:rPr>
                <w:rFonts w:cs="宋体"/>
                <w:bCs/>
              </w:rPr>
            </w:pPr>
            <w:r>
              <w:rPr>
                <w:rFonts w:hint="eastAsia" w:cs="宋体"/>
                <w:bCs/>
              </w:rPr>
              <w:t>柳河县污水处理厂（柳河县碧水污水处理有限公司）于2013年进行扩建，在现有污水厂预留地内进行扩建，扩建规模为2.0万m</w:t>
            </w:r>
            <w:r>
              <w:rPr>
                <w:rFonts w:hint="eastAsia" w:cs="宋体"/>
                <w:bCs/>
                <w:vertAlign w:val="superscript"/>
              </w:rPr>
              <w:t>3</w:t>
            </w:r>
            <w:r>
              <w:rPr>
                <w:rFonts w:hint="eastAsia" w:cs="宋体"/>
                <w:bCs/>
              </w:rPr>
              <w:t>/d，敷设污水管线50410m，扩建工程采用水解+AICS+二级生化池（A</w:t>
            </w:r>
            <w:r>
              <w:rPr>
                <w:rFonts w:hint="eastAsia" w:cs="宋体"/>
                <w:bCs/>
                <w:vertAlign w:val="superscript"/>
              </w:rPr>
              <w:t>2</w:t>
            </w:r>
            <w:r>
              <w:rPr>
                <w:rFonts w:hint="eastAsia" w:cs="宋体"/>
                <w:bCs/>
              </w:rPr>
              <w:t>/O）+深度处理（微絮凝过滤）处理工艺，处理达到《城镇污水处理厂污染物排放标准》（GB18918-2002）中一级A标准后排入一统河。扩建工程于2012年8月3日取得原吉林省环境保护局《关于柳河县处理厂扩建工程环境影响报告（表）的批复》（吉环建（表）字[2012]388号），并于2015年9月29日取得原吉林省环境保护厅关于柳河县处理厂扩建工程验收批复（吉环审验字[2015]263号）。</w:t>
            </w:r>
          </w:p>
          <w:p>
            <w:pPr>
              <w:pStyle w:val="61"/>
              <w:ind w:firstLine="480" w:firstLineChars="200"/>
              <w:rPr>
                <w:rFonts w:cs="宋体"/>
              </w:rPr>
            </w:pPr>
            <w:r>
              <w:rPr>
                <w:rFonts w:hint="eastAsia" w:cs="宋体"/>
                <w:bCs/>
              </w:rPr>
              <w:t>本项目废水可以满足柳河县污水处理厂进水水质要求，且柳河县污水处理厂处理水量仍有余量，故本项目废水依托柳河县污水处理厂处理可行。</w:t>
            </w:r>
          </w:p>
          <w:p>
            <w:pPr>
              <w:widowControl/>
              <w:spacing w:line="360" w:lineRule="auto"/>
              <w:ind w:firstLine="480" w:firstLineChars="200"/>
              <w:jc w:val="left"/>
              <w:rPr>
                <w:rFonts w:ascii="宋体" w:hAnsi="宋体" w:cs="宋体"/>
                <w:kern w:val="0"/>
                <w:sz w:val="24"/>
              </w:rPr>
            </w:pPr>
            <w:r>
              <w:rPr>
                <w:rFonts w:hint="eastAsia" w:ascii="宋体" w:hAnsi="宋体" w:cs="宋体"/>
                <w:kern w:val="0"/>
                <w:sz w:val="24"/>
              </w:rPr>
              <w:t>（5）运输过程环境影响分析</w:t>
            </w:r>
          </w:p>
          <w:p>
            <w:pPr>
              <w:widowControl/>
              <w:spacing w:line="360" w:lineRule="auto"/>
              <w:ind w:firstLine="480" w:firstLineChars="200"/>
              <w:jc w:val="left"/>
              <w:rPr>
                <w:rFonts w:ascii="宋体" w:hAnsi="宋体" w:cs="宋体"/>
                <w:kern w:val="0"/>
                <w:sz w:val="24"/>
              </w:rPr>
            </w:pPr>
            <w:r>
              <w:rPr>
                <w:rFonts w:hint="eastAsia" w:ascii="宋体" w:hAnsi="宋体" w:cs="宋体"/>
                <w:kern w:val="0"/>
                <w:sz w:val="24"/>
              </w:rPr>
              <w:t>本项目不设置污水外排口，委托具有道路运输经营许可证的运输单位将污水运至</w:t>
            </w:r>
            <w:r>
              <w:rPr>
                <w:rFonts w:hint="eastAsia" w:ascii="宋体" w:hAnsi="宋体" w:cs="宋体"/>
                <w:bCs/>
                <w:sz w:val="24"/>
              </w:rPr>
              <w:t>柳河县</w:t>
            </w:r>
            <w:r>
              <w:rPr>
                <w:rFonts w:hint="eastAsia" w:ascii="宋体" w:hAnsi="宋体" w:cs="宋体"/>
                <w:kern w:val="0"/>
                <w:sz w:val="24"/>
              </w:rPr>
              <w:t>处理厂。</w:t>
            </w:r>
            <w:r>
              <w:rPr>
                <w:rFonts w:ascii="宋体" w:hAnsi="宋体" w:cs="宋体"/>
                <w:kern w:val="0"/>
                <w:sz w:val="24"/>
              </w:rPr>
              <w:t>采用密闭吸污罐车</w:t>
            </w:r>
            <w:r>
              <w:rPr>
                <w:rFonts w:hint="eastAsia" w:ascii="宋体" w:hAnsi="宋体" w:cs="宋体"/>
                <w:kern w:val="0"/>
                <w:sz w:val="24"/>
              </w:rPr>
              <w:t>形式，</w:t>
            </w:r>
            <w:r>
              <w:rPr>
                <w:rFonts w:ascii="宋体" w:hAnsi="宋体" w:cs="宋体"/>
                <w:kern w:val="0"/>
                <w:sz w:val="24"/>
              </w:rPr>
              <w:t>运输路线</w:t>
            </w:r>
            <w:r>
              <w:rPr>
                <w:rFonts w:hint="eastAsia" w:ascii="宋体" w:hAnsi="宋体" w:cs="宋体"/>
                <w:kern w:val="0"/>
                <w:sz w:val="24"/>
              </w:rPr>
              <w:t>利用</w:t>
            </w:r>
            <w:r>
              <w:rPr>
                <w:rFonts w:ascii="宋体" w:hAnsi="宋体" w:cs="宋体"/>
                <w:kern w:val="0"/>
                <w:sz w:val="24"/>
              </w:rPr>
              <w:t>县域市政道路，</w:t>
            </w:r>
            <w:r>
              <w:rPr>
                <w:rFonts w:hint="eastAsia" w:ascii="宋体" w:hAnsi="宋体" w:cs="宋体"/>
                <w:kern w:val="0"/>
                <w:sz w:val="24"/>
              </w:rPr>
              <w:t>尽量</w:t>
            </w:r>
            <w:r>
              <w:rPr>
                <w:rFonts w:ascii="宋体" w:hAnsi="宋体" w:cs="宋体"/>
                <w:kern w:val="0"/>
                <w:sz w:val="24"/>
              </w:rPr>
              <w:t>避开饮用水水源保护区、地表水体、集中居民区等环境敏感目标；采用全密闭吸污罐车运输，正常密封条件下恶臭（硫化氢、氨、臭气浓度）逸散量极低</w:t>
            </w:r>
            <w:r>
              <w:rPr>
                <w:rFonts w:hint="eastAsia" w:ascii="宋体" w:hAnsi="宋体" w:cs="宋体"/>
                <w:kern w:val="0"/>
                <w:sz w:val="24"/>
              </w:rPr>
              <w:t>；</w:t>
            </w:r>
            <w:r>
              <w:rPr>
                <w:rFonts w:ascii="宋体" w:hAnsi="宋体" w:cs="宋体"/>
                <w:kern w:val="0"/>
                <w:sz w:val="24"/>
              </w:rPr>
              <w:t>罐车行驶产生交通噪声，叠加车辆启停、水泵装卸噪声；沿现有市政道路行驶，噪声贡献值叠加区域现有交通噪声，不会造成声环境质量显著恶化</w:t>
            </w:r>
            <w:r>
              <w:rPr>
                <w:rFonts w:hint="eastAsia" w:ascii="宋体" w:hAnsi="宋体" w:cs="宋体"/>
                <w:kern w:val="0"/>
                <w:sz w:val="24"/>
              </w:rPr>
              <w:t>；</w:t>
            </w:r>
            <w:r>
              <w:rPr>
                <w:rFonts w:ascii="宋体" w:hAnsi="宋体" w:cs="宋体"/>
                <w:kern w:val="0"/>
                <w:sz w:val="24"/>
              </w:rPr>
              <w:t>车辆张贴污水转运标识，配套随车应急物资：防渗土工布、吸污毡、便携式抽水泵、密闭收集桶、警示锥、防护手套</w:t>
            </w:r>
            <w:r>
              <w:rPr>
                <w:rFonts w:hint="eastAsia" w:ascii="宋体" w:hAnsi="宋体" w:cs="宋体"/>
                <w:kern w:val="0"/>
                <w:sz w:val="24"/>
              </w:rPr>
              <w:t>；</w:t>
            </w:r>
            <w:r>
              <w:rPr>
                <w:rFonts w:ascii="宋体" w:hAnsi="宋体" w:cs="宋体"/>
                <w:kern w:val="0"/>
                <w:sz w:val="24"/>
              </w:rPr>
              <w:t>建立转运台账，记录转运时间、运量、车辆编号、进出污水处理厂时间，留存转移记录备查。存在交通事故引发污水泄漏的潜在环境风险，但污水为常规污水，无</w:t>
            </w:r>
            <w:r>
              <w:rPr>
                <w:rFonts w:hint="eastAsia" w:ascii="宋体" w:hAnsi="宋体" w:cs="宋体"/>
                <w:kern w:val="0"/>
                <w:sz w:val="24"/>
              </w:rPr>
              <w:t>有毒有害</w:t>
            </w:r>
            <w:r>
              <w:rPr>
                <w:rFonts w:ascii="宋体" w:hAnsi="宋体" w:cs="宋体"/>
                <w:kern w:val="0"/>
                <w:sz w:val="24"/>
              </w:rPr>
              <w:t>污染物。通过落实车辆密闭管控、优选运输线路、配齐应急物资、完善泄漏处置方案，可有效降低事故发生概率与污染后果，运输环节环境影响在可接受范围内。</w:t>
            </w:r>
          </w:p>
          <w:p>
            <w:pPr>
              <w:spacing w:line="360" w:lineRule="auto"/>
              <w:ind w:firstLine="482" w:firstLineChars="200"/>
              <w:rPr>
                <w:b/>
                <w:bCs/>
                <w:sz w:val="24"/>
              </w:rPr>
            </w:pPr>
            <w:r>
              <w:rPr>
                <w:rFonts w:hint="eastAsia"/>
                <w:b/>
                <w:bCs/>
                <w:sz w:val="24"/>
              </w:rPr>
              <w:t>3、噪声</w:t>
            </w:r>
          </w:p>
          <w:p>
            <w:pPr>
              <w:spacing w:line="360" w:lineRule="auto"/>
              <w:ind w:firstLine="480" w:firstLineChars="200"/>
              <w:rPr>
                <w:i/>
                <w:iCs/>
                <w:sz w:val="24"/>
                <w:u w:val="single"/>
              </w:rPr>
            </w:pPr>
            <w:r>
              <w:rPr>
                <w:rFonts w:hint="eastAsia"/>
                <w:i/>
                <w:iCs/>
                <w:sz w:val="24"/>
                <w:u w:val="single"/>
              </w:rPr>
              <w:t>（1）污染源分析</w:t>
            </w:r>
          </w:p>
          <w:p>
            <w:pPr>
              <w:spacing w:line="360" w:lineRule="auto"/>
              <w:ind w:firstLine="480" w:firstLineChars="200"/>
              <w:rPr>
                <w:bCs/>
                <w:i/>
                <w:iCs/>
                <w:szCs w:val="21"/>
                <w:u w:val="single"/>
              </w:rPr>
            </w:pPr>
            <w:r>
              <w:rPr>
                <w:rFonts w:hint="eastAsia"/>
                <w:i/>
                <w:iCs/>
                <w:sz w:val="24"/>
                <w:u w:val="single"/>
              </w:rPr>
              <w:t>本项目噪声源主要为设备噪声，包括液压剪挖机、鹰嘴剪、风机、泵类以及运输车辆，高噪声设备均安装在拆解车间内，噪声值在70-85dB（A）之间。本项目主要生产设备噪声值详见表4-9</w:t>
            </w:r>
            <w:r>
              <w:rPr>
                <w:rFonts w:hint="eastAsia" w:ascii="宋体" w:hAnsi="宋体" w:cs="宋体"/>
                <w:i/>
                <w:iCs/>
                <w:kern w:val="0"/>
                <w:sz w:val="24"/>
                <w:u w:val="single"/>
              </w:rPr>
              <w:t>。</w:t>
            </w:r>
          </w:p>
          <w:p>
            <w:pPr>
              <w:pStyle w:val="40"/>
              <w:adjustRightInd w:val="0"/>
              <w:snapToGrid w:val="0"/>
              <w:spacing w:line="240" w:lineRule="auto"/>
              <w:rPr>
                <w:bCs/>
                <w:i/>
                <w:iCs/>
                <w:szCs w:val="21"/>
                <w:u w:val="single"/>
              </w:rPr>
            </w:pPr>
            <w:r>
              <w:rPr>
                <w:rFonts w:hint="eastAsia" w:ascii="宋体" w:hAnsi="宋体" w:cs="宋体"/>
                <w:i/>
                <w:iCs/>
                <w:sz w:val="24"/>
                <w:szCs w:val="24"/>
                <w:u w:val="single"/>
              </w:rPr>
              <w:t xml:space="preserve"> 表4-9    项目室内噪声源一览表</w:t>
            </w:r>
            <w:r>
              <w:rPr>
                <w:rFonts w:hint="eastAsia"/>
                <w:bCs/>
                <w:i/>
                <w:iCs/>
                <w:szCs w:val="21"/>
                <w:u w:val="single"/>
              </w:rPr>
              <w:t xml:space="preserve">     dB（A）</w:t>
            </w:r>
          </w:p>
          <w:tbl>
            <w:tblPr>
              <w:tblW w:w="8395"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left w:w="108" w:type="dxa"/>
                <w:right w:w="108" w:type="dxa"/>
              </w:tblCellMar>
            </w:tblPr>
            <w:tblGrid>
              <w:gridCol w:w="481"/>
              <w:gridCol w:w="1442"/>
              <w:gridCol w:w="846"/>
              <w:gridCol w:w="750"/>
              <w:gridCol w:w="546"/>
              <w:gridCol w:w="544"/>
              <w:gridCol w:w="574"/>
              <w:gridCol w:w="722"/>
              <w:gridCol w:w="573"/>
              <w:gridCol w:w="735"/>
              <w:gridCol w:w="650"/>
              <w:gridCol w:w="532"/>
            </w:tblGrid>
            <w:tr>
              <w:trPr>
                <w:trHeight w:val="622" w:hRule="atLeast"/>
                <w:jc w:val="center"/>
              </w:trPr>
              <w:tc>
                <w:tcPr>
                  <w:tcW w:w="481" w:type="dxa"/>
                  <w:vMerge w:val="restart"/>
                  <w:tcBorders>
                    <w:tl2br w:val="nil"/>
                    <w:tr2bl w:val="nil"/>
                  </w:tcBorders>
                  <w:vAlign w:val="center"/>
                </w:tcPr>
                <w:p>
                  <w:pPr>
                    <w:jc w:val="center"/>
                    <w:rPr>
                      <w:i/>
                      <w:iCs/>
                      <w:sz w:val="18"/>
                      <w:szCs w:val="18"/>
                      <w:u w:val="single"/>
                    </w:rPr>
                  </w:pPr>
                  <w:r>
                    <w:rPr>
                      <w:i/>
                      <w:iCs/>
                      <w:sz w:val="18"/>
                      <w:szCs w:val="18"/>
                      <w:u w:val="single"/>
                    </w:rPr>
                    <w:t>建筑物名称</w:t>
                  </w:r>
                </w:p>
              </w:tc>
              <w:tc>
                <w:tcPr>
                  <w:tcW w:w="1442" w:type="dxa"/>
                  <w:vMerge w:val="restart"/>
                  <w:tcBorders>
                    <w:tl2br w:val="nil"/>
                    <w:tr2bl w:val="nil"/>
                  </w:tcBorders>
                  <w:vAlign w:val="center"/>
                </w:tcPr>
                <w:p>
                  <w:pPr>
                    <w:jc w:val="center"/>
                    <w:rPr>
                      <w:i/>
                      <w:iCs/>
                      <w:sz w:val="18"/>
                      <w:szCs w:val="18"/>
                      <w:u w:val="single"/>
                    </w:rPr>
                  </w:pPr>
                  <w:r>
                    <w:rPr>
                      <w:i/>
                      <w:iCs/>
                      <w:sz w:val="18"/>
                      <w:szCs w:val="18"/>
                      <w:u w:val="single"/>
                    </w:rPr>
                    <w:t>声源名称</w:t>
                  </w:r>
                </w:p>
              </w:tc>
              <w:tc>
                <w:tcPr>
                  <w:tcW w:w="846" w:type="dxa"/>
                  <w:vMerge w:val="restart"/>
                  <w:tcBorders>
                    <w:tl2br w:val="nil"/>
                    <w:tr2bl w:val="nil"/>
                  </w:tcBorders>
                  <w:vAlign w:val="center"/>
                </w:tcPr>
                <w:p>
                  <w:pPr>
                    <w:jc w:val="center"/>
                    <w:rPr>
                      <w:i/>
                      <w:iCs/>
                      <w:sz w:val="18"/>
                      <w:szCs w:val="18"/>
                      <w:u w:val="single"/>
                    </w:rPr>
                  </w:pPr>
                  <w:r>
                    <w:rPr>
                      <w:i/>
                      <w:iCs/>
                      <w:sz w:val="18"/>
                      <w:szCs w:val="18"/>
                      <w:u w:val="single"/>
                    </w:rPr>
                    <w:t>声源源强dB（A）</w:t>
                  </w:r>
                </w:p>
              </w:tc>
              <w:tc>
                <w:tcPr>
                  <w:tcW w:w="750" w:type="dxa"/>
                  <w:vMerge w:val="restart"/>
                  <w:tcBorders>
                    <w:tl2br w:val="nil"/>
                    <w:tr2bl w:val="nil"/>
                  </w:tcBorders>
                  <w:vAlign w:val="center"/>
                </w:tcPr>
                <w:p>
                  <w:pPr>
                    <w:jc w:val="center"/>
                    <w:rPr>
                      <w:i/>
                      <w:iCs/>
                      <w:sz w:val="18"/>
                      <w:szCs w:val="18"/>
                      <w:u w:val="single"/>
                    </w:rPr>
                  </w:pPr>
                  <w:r>
                    <w:rPr>
                      <w:i/>
                      <w:iCs/>
                      <w:sz w:val="18"/>
                      <w:szCs w:val="18"/>
                      <w:u w:val="single"/>
                    </w:rPr>
                    <w:t>声源控制措施</w:t>
                  </w:r>
                </w:p>
              </w:tc>
              <w:tc>
                <w:tcPr>
                  <w:tcW w:w="1664" w:type="dxa"/>
                  <w:gridSpan w:val="3"/>
                  <w:tcBorders>
                    <w:tl2br w:val="nil"/>
                    <w:tr2bl w:val="nil"/>
                  </w:tcBorders>
                  <w:vAlign w:val="center"/>
                </w:tcPr>
                <w:p>
                  <w:pPr>
                    <w:jc w:val="center"/>
                    <w:rPr>
                      <w:i/>
                      <w:iCs/>
                      <w:sz w:val="18"/>
                      <w:szCs w:val="18"/>
                      <w:u w:val="single"/>
                    </w:rPr>
                  </w:pPr>
                  <w:r>
                    <w:rPr>
                      <w:rFonts w:hint="eastAsia"/>
                      <w:i/>
                      <w:iCs/>
                      <w:sz w:val="18"/>
                      <w:szCs w:val="18"/>
                      <w:u w:val="single"/>
                    </w:rPr>
                    <w:t>空间相对位置</w:t>
                  </w:r>
                </w:p>
              </w:tc>
              <w:tc>
                <w:tcPr>
                  <w:tcW w:w="722" w:type="dxa"/>
                  <w:vMerge w:val="restart"/>
                  <w:tcBorders>
                    <w:tl2br w:val="nil"/>
                    <w:tr2bl w:val="nil"/>
                  </w:tcBorders>
                  <w:vAlign w:val="center"/>
                </w:tcPr>
                <w:p>
                  <w:pPr>
                    <w:jc w:val="center"/>
                    <w:rPr>
                      <w:i/>
                      <w:iCs/>
                      <w:sz w:val="18"/>
                      <w:szCs w:val="18"/>
                      <w:u w:val="single"/>
                    </w:rPr>
                  </w:pPr>
                  <w:r>
                    <w:rPr>
                      <w:i/>
                      <w:iCs/>
                      <w:sz w:val="18"/>
                      <w:szCs w:val="18"/>
                      <w:u w:val="single"/>
                    </w:rPr>
                    <w:t>室内边界声级/dB（A）</w:t>
                  </w:r>
                </w:p>
              </w:tc>
              <w:tc>
                <w:tcPr>
                  <w:tcW w:w="573" w:type="dxa"/>
                  <w:vMerge w:val="restart"/>
                  <w:tcBorders>
                    <w:tl2br w:val="nil"/>
                    <w:tr2bl w:val="nil"/>
                  </w:tcBorders>
                  <w:vAlign w:val="center"/>
                </w:tcPr>
                <w:p>
                  <w:pPr>
                    <w:jc w:val="center"/>
                    <w:rPr>
                      <w:i/>
                      <w:iCs/>
                      <w:sz w:val="18"/>
                      <w:szCs w:val="18"/>
                      <w:u w:val="single"/>
                    </w:rPr>
                  </w:pPr>
                  <w:r>
                    <w:rPr>
                      <w:i/>
                      <w:iCs/>
                      <w:sz w:val="18"/>
                      <w:szCs w:val="18"/>
                      <w:u w:val="single"/>
                    </w:rPr>
                    <w:t>运行时段</w:t>
                  </w:r>
                </w:p>
              </w:tc>
              <w:tc>
                <w:tcPr>
                  <w:tcW w:w="735" w:type="dxa"/>
                  <w:vMerge w:val="restart"/>
                  <w:tcBorders>
                    <w:tl2br w:val="nil"/>
                    <w:tr2bl w:val="nil"/>
                  </w:tcBorders>
                  <w:vAlign w:val="center"/>
                </w:tcPr>
                <w:p>
                  <w:pPr>
                    <w:jc w:val="center"/>
                    <w:rPr>
                      <w:i/>
                      <w:iCs/>
                      <w:sz w:val="18"/>
                      <w:szCs w:val="18"/>
                      <w:u w:val="single"/>
                    </w:rPr>
                  </w:pPr>
                  <w:r>
                    <w:rPr>
                      <w:i/>
                      <w:iCs/>
                      <w:sz w:val="18"/>
                      <w:szCs w:val="18"/>
                      <w:u w:val="single"/>
                    </w:rPr>
                    <w:t>建筑物插入损失/ dB（A）</w:t>
                  </w:r>
                </w:p>
              </w:tc>
              <w:tc>
                <w:tcPr>
                  <w:tcW w:w="1182" w:type="dxa"/>
                  <w:gridSpan w:val="2"/>
                  <w:tcBorders>
                    <w:tl2br w:val="nil"/>
                    <w:tr2bl w:val="nil"/>
                  </w:tcBorders>
                  <w:vAlign w:val="center"/>
                </w:tcPr>
                <w:p>
                  <w:pPr>
                    <w:jc w:val="center"/>
                    <w:rPr>
                      <w:i/>
                      <w:iCs/>
                      <w:sz w:val="18"/>
                      <w:szCs w:val="18"/>
                      <w:u w:val="single"/>
                    </w:rPr>
                  </w:pPr>
                  <w:r>
                    <w:rPr>
                      <w:i/>
                      <w:iCs/>
                      <w:sz w:val="18"/>
                      <w:szCs w:val="18"/>
                      <w:u w:val="single"/>
                    </w:rPr>
                    <w:t>建筑物外噪声</w:t>
                  </w:r>
                </w:p>
              </w:tc>
            </w:tr>
            <w:tr>
              <w:trPr>
                <w:trHeight w:val="2152" w:hRule="atLeast"/>
                <w:jc w:val="center"/>
              </w:trPr>
              <w:tc>
                <w:tcPr>
                  <w:tcW w:w="481" w:type="dxa"/>
                  <w:vMerge w:val="continue"/>
                  <w:tcBorders>
                    <w:tl2br w:val="nil"/>
                    <w:tr2bl w:val="nil"/>
                  </w:tcBorders>
                  <w:vAlign w:val="center"/>
                </w:tcPr>
                <w:p>
                  <w:pPr>
                    <w:jc w:val="center"/>
                    <w:rPr>
                      <w:i/>
                      <w:iCs/>
                      <w:sz w:val="18"/>
                      <w:szCs w:val="18"/>
                      <w:u w:val="single"/>
                    </w:rPr>
                  </w:pPr>
                </w:p>
              </w:tc>
              <w:tc>
                <w:tcPr>
                  <w:tcW w:w="1442" w:type="dxa"/>
                  <w:vMerge w:val="continue"/>
                  <w:tcBorders>
                    <w:tl2br w:val="nil"/>
                    <w:tr2bl w:val="nil"/>
                  </w:tcBorders>
                  <w:vAlign w:val="center"/>
                </w:tcPr>
                <w:p>
                  <w:pPr>
                    <w:jc w:val="center"/>
                    <w:rPr>
                      <w:i/>
                      <w:iCs/>
                      <w:sz w:val="18"/>
                      <w:szCs w:val="18"/>
                      <w:u w:val="single"/>
                    </w:rPr>
                  </w:pPr>
                </w:p>
              </w:tc>
              <w:tc>
                <w:tcPr>
                  <w:tcW w:w="846" w:type="dxa"/>
                  <w:vMerge w:val="continue"/>
                  <w:tcBorders>
                    <w:tl2br w:val="nil"/>
                    <w:tr2bl w:val="nil"/>
                  </w:tcBorders>
                  <w:vAlign w:val="center"/>
                </w:tcPr>
                <w:p>
                  <w:pPr>
                    <w:jc w:val="center"/>
                    <w:rPr>
                      <w:i/>
                      <w:iCs/>
                      <w:sz w:val="18"/>
                      <w:szCs w:val="18"/>
                      <w:u w:val="single"/>
                    </w:rPr>
                  </w:pPr>
                </w:p>
              </w:tc>
              <w:tc>
                <w:tcPr>
                  <w:tcW w:w="750" w:type="dxa"/>
                  <w:vMerge w:val="continue"/>
                  <w:tcBorders>
                    <w:tl2br w:val="nil"/>
                    <w:tr2bl w:val="nil"/>
                  </w:tcBorders>
                  <w:vAlign w:val="center"/>
                </w:tcPr>
                <w:p>
                  <w:pPr>
                    <w:jc w:val="center"/>
                    <w:rPr>
                      <w:i/>
                      <w:iCs/>
                      <w:sz w:val="18"/>
                      <w:szCs w:val="18"/>
                      <w:u w:val="single"/>
                    </w:rPr>
                  </w:pPr>
                </w:p>
              </w:tc>
              <w:tc>
                <w:tcPr>
                  <w:tcW w:w="546" w:type="dxa"/>
                  <w:tcBorders>
                    <w:tl2br w:val="nil"/>
                    <w:tr2bl w:val="nil"/>
                  </w:tcBorders>
                  <w:vAlign w:val="center"/>
                </w:tcPr>
                <w:p>
                  <w:pPr>
                    <w:jc w:val="center"/>
                    <w:rPr>
                      <w:i/>
                      <w:iCs/>
                      <w:sz w:val="18"/>
                      <w:szCs w:val="18"/>
                      <w:u w:val="single"/>
                    </w:rPr>
                  </w:pPr>
                  <w:r>
                    <w:rPr>
                      <w:rFonts w:hint="eastAsia"/>
                      <w:i/>
                      <w:iCs/>
                      <w:sz w:val="18"/>
                      <w:szCs w:val="18"/>
                      <w:u w:val="single"/>
                    </w:rPr>
                    <w:t>x</w:t>
                  </w:r>
                </w:p>
              </w:tc>
              <w:tc>
                <w:tcPr>
                  <w:tcW w:w="544" w:type="dxa"/>
                  <w:tcBorders>
                    <w:tl2br w:val="nil"/>
                    <w:tr2bl w:val="nil"/>
                  </w:tcBorders>
                  <w:vAlign w:val="center"/>
                </w:tcPr>
                <w:p>
                  <w:pPr>
                    <w:jc w:val="center"/>
                    <w:rPr>
                      <w:i/>
                      <w:iCs/>
                      <w:sz w:val="18"/>
                      <w:szCs w:val="18"/>
                      <w:u w:val="single"/>
                    </w:rPr>
                  </w:pPr>
                  <w:r>
                    <w:rPr>
                      <w:rFonts w:hint="eastAsia"/>
                      <w:i/>
                      <w:iCs/>
                      <w:sz w:val="18"/>
                      <w:szCs w:val="18"/>
                      <w:u w:val="single"/>
                    </w:rPr>
                    <w:t>y</w:t>
                  </w:r>
                </w:p>
              </w:tc>
              <w:tc>
                <w:tcPr>
                  <w:tcW w:w="574" w:type="dxa"/>
                  <w:tcBorders>
                    <w:tl2br w:val="nil"/>
                    <w:tr2bl w:val="nil"/>
                  </w:tcBorders>
                  <w:vAlign w:val="center"/>
                </w:tcPr>
                <w:p>
                  <w:pPr>
                    <w:jc w:val="center"/>
                    <w:rPr>
                      <w:i/>
                      <w:iCs/>
                      <w:sz w:val="18"/>
                      <w:szCs w:val="18"/>
                      <w:u w:val="single"/>
                    </w:rPr>
                  </w:pPr>
                  <w:r>
                    <w:rPr>
                      <w:rFonts w:hint="eastAsia"/>
                      <w:i/>
                      <w:iCs/>
                      <w:sz w:val="18"/>
                      <w:szCs w:val="18"/>
                      <w:u w:val="single"/>
                    </w:rPr>
                    <w:t>z</w:t>
                  </w:r>
                </w:p>
              </w:tc>
              <w:tc>
                <w:tcPr>
                  <w:tcW w:w="722" w:type="dxa"/>
                  <w:vMerge w:val="continue"/>
                  <w:tcBorders>
                    <w:tl2br w:val="nil"/>
                    <w:tr2bl w:val="nil"/>
                  </w:tcBorders>
                  <w:vAlign w:val="center"/>
                </w:tcPr>
                <w:p>
                  <w:pPr>
                    <w:jc w:val="center"/>
                    <w:rPr>
                      <w:i/>
                      <w:iCs/>
                      <w:sz w:val="18"/>
                      <w:szCs w:val="18"/>
                      <w:u w:val="single"/>
                    </w:rPr>
                  </w:pPr>
                </w:p>
              </w:tc>
              <w:tc>
                <w:tcPr>
                  <w:tcW w:w="573" w:type="dxa"/>
                  <w:vMerge w:val="continue"/>
                  <w:tcBorders>
                    <w:tl2br w:val="nil"/>
                    <w:tr2bl w:val="nil"/>
                  </w:tcBorders>
                  <w:vAlign w:val="center"/>
                </w:tcPr>
                <w:p>
                  <w:pPr>
                    <w:jc w:val="center"/>
                    <w:rPr>
                      <w:i/>
                      <w:iCs/>
                      <w:sz w:val="18"/>
                      <w:szCs w:val="18"/>
                      <w:u w:val="single"/>
                    </w:rPr>
                  </w:pPr>
                </w:p>
              </w:tc>
              <w:tc>
                <w:tcPr>
                  <w:tcW w:w="735" w:type="dxa"/>
                  <w:vMerge w:val="continue"/>
                  <w:tcBorders>
                    <w:tl2br w:val="nil"/>
                    <w:tr2bl w:val="nil"/>
                  </w:tcBorders>
                  <w:vAlign w:val="center"/>
                </w:tcPr>
                <w:p>
                  <w:pPr>
                    <w:jc w:val="center"/>
                    <w:rPr>
                      <w:i/>
                      <w:iCs/>
                      <w:sz w:val="18"/>
                      <w:szCs w:val="18"/>
                      <w:u w:val="single"/>
                    </w:rPr>
                  </w:pPr>
                </w:p>
              </w:tc>
              <w:tc>
                <w:tcPr>
                  <w:tcW w:w="650" w:type="dxa"/>
                  <w:tcBorders>
                    <w:tl2br w:val="nil"/>
                    <w:tr2bl w:val="nil"/>
                  </w:tcBorders>
                  <w:vAlign w:val="center"/>
                </w:tcPr>
                <w:p>
                  <w:pPr>
                    <w:jc w:val="center"/>
                    <w:rPr>
                      <w:i/>
                      <w:iCs/>
                      <w:sz w:val="18"/>
                      <w:szCs w:val="18"/>
                      <w:u w:val="single"/>
                    </w:rPr>
                  </w:pPr>
                  <w:r>
                    <w:rPr>
                      <w:i/>
                      <w:iCs/>
                      <w:sz w:val="18"/>
                      <w:szCs w:val="18"/>
                      <w:u w:val="single"/>
                    </w:rPr>
                    <w:t>声压级dB（A）</w:t>
                  </w:r>
                </w:p>
              </w:tc>
              <w:tc>
                <w:tcPr>
                  <w:tcW w:w="532" w:type="dxa"/>
                  <w:tcBorders>
                    <w:tl2br w:val="nil"/>
                    <w:tr2bl w:val="nil"/>
                  </w:tcBorders>
                  <w:vAlign w:val="center"/>
                </w:tcPr>
                <w:p>
                  <w:pPr>
                    <w:jc w:val="center"/>
                    <w:rPr>
                      <w:i/>
                      <w:iCs/>
                      <w:sz w:val="18"/>
                      <w:szCs w:val="18"/>
                      <w:u w:val="single"/>
                    </w:rPr>
                  </w:pPr>
                  <w:r>
                    <w:rPr>
                      <w:i/>
                      <w:iCs/>
                      <w:sz w:val="18"/>
                      <w:szCs w:val="18"/>
                      <w:u w:val="single"/>
                    </w:rPr>
                    <w:t>建筑物外距离/m</w:t>
                  </w:r>
                </w:p>
              </w:tc>
            </w:tr>
            <w:tr>
              <w:trPr>
                <w:trHeight w:val="110" w:hRule="atLeast"/>
                <w:jc w:val="center"/>
              </w:trPr>
              <w:tc>
                <w:tcPr>
                  <w:tcW w:w="481" w:type="dxa"/>
                  <w:vMerge w:val="restart"/>
                  <w:tcBorders>
                    <w:tl2br w:val="nil"/>
                    <w:tr2bl w:val="nil"/>
                  </w:tcBorders>
                  <w:vAlign w:val="center"/>
                </w:tcPr>
                <w:p>
                  <w:pPr>
                    <w:jc w:val="center"/>
                    <w:rPr>
                      <w:i/>
                      <w:iCs/>
                      <w:sz w:val="18"/>
                      <w:szCs w:val="18"/>
                      <w:u w:val="single"/>
                    </w:rPr>
                  </w:pPr>
                  <w:r>
                    <w:rPr>
                      <w:i/>
                      <w:iCs/>
                      <w:sz w:val="18"/>
                      <w:szCs w:val="18"/>
                      <w:u w:val="single"/>
                    </w:rPr>
                    <w:t>厂房</w:t>
                  </w:r>
                </w:p>
              </w:tc>
              <w:tc>
                <w:tcPr>
                  <w:tcW w:w="1442" w:type="dxa"/>
                  <w:tcBorders>
                    <w:tl2br w:val="nil"/>
                    <w:tr2bl w:val="nil"/>
                  </w:tcBorders>
                  <w:vAlign w:val="center"/>
                </w:tcPr>
                <w:p>
                  <w:pPr>
                    <w:jc w:val="center"/>
                    <w:rPr>
                      <w:i/>
                      <w:iCs/>
                      <w:sz w:val="18"/>
                      <w:szCs w:val="18"/>
                      <w:u w:val="single"/>
                    </w:rPr>
                  </w:pPr>
                  <w:r>
                    <w:rPr>
                      <w:rFonts w:hint="eastAsia"/>
                      <w:i/>
                      <w:iCs/>
                      <w:sz w:val="18"/>
                      <w:szCs w:val="18"/>
                      <w:u w:val="single"/>
                    </w:rPr>
                    <w:t>液压剪挖机</w:t>
                  </w:r>
                </w:p>
              </w:tc>
              <w:tc>
                <w:tcPr>
                  <w:tcW w:w="846" w:type="dxa"/>
                  <w:tcBorders>
                    <w:tl2br w:val="nil"/>
                    <w:tr2bl w:val="nil"/>
                  </w:tcBorders>
                  <w:vAlign w:val="center"/>
                </w:tcPr>
                <w:p>
                  <w:pPr>
                    <w:jc w:val="center"/>
                    <w:rPr>
                      <w:i/>
                      <w:iCs/>
                      <w:sz w:val="18"/>
                      <w:szCs w:val="18"/>
                      <w:u w:val="single"/>
                    </w:rPr>
                  </w:pPr>
                  <w:r>
                    <w:rPr>
                      <w:rFonts w:hint="eastAsia"/>
                      <w:i/>
                      <w:iCs/>
                      <w:sz w:val="18"/>
                      <w:szCs w:val="18"/>
                      <w:u w:val="single"/>
                    </w:rPr>
                    <w:t>75~80</w:t>
                  </w:r>
                </w:p>
              </w:tc>
              <w:tc>
                <w:tcPr>
                  <w:tcW w:w="750" w:type="dxa"/>
                  <w:vMerge w:val="restart"/>
                  <w:tcBorders>
                    <w:tl2br w:val="nil"/>
                    <w:tr2bl w:val="nil"/>
                  </w:tcBorders>
                  <w:vAlign w:val="center"/>
                </w:tcPr>
                <w:p>
                  <w:pPr>
                    <w:jc w:val="center"/>
                    <w:rPr>
                      <w:i/>
                      <w:iCs/>
                      <w:sz w:val="18"/>
                      <w:szCs w:val="18"/>
                      <w:u w:val="single"/>
                    </w:rPr>
                  </w:pPr>
                  <w:r>
                    <w:rPr>
                      <w:i/>
                      <w:iCs/>
                      <w:sz w:val="18"/>
                      <w:szCs w:val="18"/>
                      <w:u w:val="single"/>
                    </w:rPr>
                    <w:t>低噪声设备，基础减振</w:t>
                  </w:r>
                  <w:r>
                    <w:rPr>
                      <w:rFonts w:hint="eastAsia"/>
                      <w:i/>
                      <w:iCs/>
                      <w:sz w:val="18"/>
                      <w:szCs w:val="18"/>
                      <w:u w:val="single"/>
                    </w:rPr>
                    <w:t>，建筑隔声</w:t>
                  </w:r>
                </w:p>
              </w:tc>
              <w:tc>
                <w:tcPr>
                  <w:tcW w:w="546" w:type="dxa"/>
                  <w:tcBorders>
                    <w:tl2br w:val="nil"/>
                    <w:tr2bl w:val="nil"/>
                  </w:tcBorders>
                  <w:vAlign w:val="center"/>
                </w:tcPr>
                <w:p>
                  <w:pPr>
                    <w:jc w:val="center"/>
                    <w:rPr>
                      <w:i/>
                      <w:iCs/>
                      <w:sz w:val="18"/>
                      <w:szCs w:val="18"/>
                      <w:u w:val="single"/>
                    </w:rPr>
                  </w:pPr>
                  <w:r>
                    <w:rPr>
                      <w:rFonts w:hint="eastAsia"/>
                      <w:i/>
                      <w:iCs/>
                      <w:sz w:val="18"/>
                      <w:szCs w:val="18"/>
                      <w:u w:val="single"/>
                    </w:rPr>
                    <w:t>10</w:t>
                  </w:r>
                </w:p>
              </w:tc>
              <w:tc>
                <w:tcPr>
                  <w:tcW w:w="544" w:type="dxa"/>
                  <w:tcBorders>
                    <w:tl2br w:val="nil"/>
                    <w:tr2bl w:val="nil"/>
                  </w:tcBorders>
                  <w:vAlign w:val="center"/>
                </w:tcPr>
                <w:p>
                  <w:pPr>
                    <w:jc w:val="center"/>
                    <w:rPr>
                      <w:i/>
                      <w:iCs/>
                      <w:sz w:val="18"/>
                      <w:szCs w:val="18"/>
                      <w:u w:val="single"/>
                    </w:rPr>
                  </w:pPr>
                  <w:r>
                    <w:rPr>
                      <w:rFonts w:hint="eastAsia"/>
                      <w:i/>
                      <w:iCs/>
                      <w:sz w:val="18"/>
                      <w:szCs w:val="18"/>
                      <w:u w:val="single"/>
                    </w:rPr>
                    <w:t>5</w:t>
                  </w:r>
                </w:p>
              </w:tc>
              <w:tc>
                <w:tcPr>
                  <w:tcW w:w="574" w:type="dxa"/>
                  <w:tcBorders>
                    <w:tl2br w:val="nil"/>
                    <w:tr2bl w:val="nil"/>
                  </w:tcBorders>
                  <w:vAlign w:val="center"/>
                </w:tcPr>
                <w:p>
                  <w:pPr>
                    <w:jc w:val="center"/>
                    <w:rPr>
                      <w:i/>
                      <w:iCs/>
                      <w:sz w:val="18"/>
                      <w:szCs w:val="18"/>
                      <w:u w:val="single"/>
                    </w:rPr>
                  </w:pPr>
                  <w:r>
                    <w:rPr>
                      <w:rFonts w:hint="eastAsia"/>
                      <w:i/>
                      <w:iCs/>
                      <w:sz w:val="18"/>
                      <w:szCs w:val="18"/>
                      <w:u w:val="single"/>
                    </w:rPr>
                    <w:t>1</w:t>
                  </w:r>
                </w:p>
              </w:tc>
              <w:tc>
                <w:tcPr>
                  <w:tcW w:w="722" w:type="dxa"/>
                  <w:tcBorders>
                    <w:tl2br w:val="nil"/>
                    <w:tr2bl w:val="nil"/>
                  </w:tcBorders>
                  <w:vAlign w:val="center"/>
                </w:tcPr>
                <w:p>
                  <w:pPr>
                    <w:jc w:val="center"/>
                    <w:rPr>
                      <w:i/>
                      <w:iCs/>
                      <w:sz w:val="18"/>
                      <w:szCs w:val="18"/>
                      <w:u w:val="single"/>
                    </w:rPr>
                  </w:pPr>
                  <w:r>
                    <w:rPr>
                      <w:i/>
                      <w:iCs/>
                      <w:sz w:val="18"/>
                      <w:szCs w:val="18"/>
                      <w:u w:val="single"/>
                    </w:rPr>
                    <w:t>66.02</w:t>
                  </w:r>
                </w:p>
              </w:tc>
              <w:tc>
                <w:tcPr>
                  <w:tcW w:w="573" w:type="dxa"/>
                  <w:vMerge w:val="restart"/>
                  <w:tcBorders>
                    <w:tl2br w:val="nil"/>
                    <w:tr2bl w:val="nil"/>
                  </w:tcBorders>
                  <w:vAlign w:val="center"/>
                </w:tcPr>
                <w:p>
                  <w:pPr>
                    <w:jc w:val="center"/>
                    <w:rPr>
                      <w:i/>
                      <w:iCs/>
                      <w:sz w:val="18"/>
                      <w:szCs w:val="18"/>
                      <w:u w:val="single"/>
                    </w:rPr>
                  </w:pPr>
                  <w:r>
                    <w:rPr>
                      <w:rFonts w:hint="eastAsia"/>
                      <w:i/>
                      <w:iCs/>
                      <w:sz w:val="18"/>
                      <w:szCs w:val="18"/>
                      <w:u w:val="single"/>
                    </w:rPr>
                    <w:t>昼间</w:t>
                  </w:r>
                </w:p>
              </w:tc>
              <w:tc>
                <w:tcPr>
                  <w:tcW w:w="735" w:type="dxa"/>
                  <w:vMerge w:val="restart"/>
                  <w:tcBorders>
                    <w:tl2br w:val="nil"/>
                    <w:tr2bl w:val="nil"/>
                  </w:tcBorders>
                  <w:vAlign w:val="center"/>
                </w:tcPr>
                <w:p>
                  <w:pPr>
                    <w:jc w:val="center"/>
                    <w:rPr>
                      <w:i/>
                      <w:iCs/>
                      <w:sz w:val="18"/>
                      <w:szCs w:val="18"/>
                      <w:u w:val="single"/>
                    </w:rPr>
                  </w:pPr>
                  <w:r>
                    <w:rPr>
                      <w:rFonts w:hint="eastAsia"/>
                      <w:i/>
                      <w:iCs/>
                      <w:sz w:val="18"/>
                      <w:szCs w:val="18"/>
                      <w:u w:val="single"/>
                    </w:rPr>
                    <w:t>15</w:t>
                  </w:r>
                </w:p>
              </w:tc>
              <w:tc>
                <w:tcPr>
                  <w:tcW w:w="650" w:type="dxa"/>
                  <w:tcBorders>
                    <w:tl2br w:val="nil"/>
                    <w:tr2bl w:val="nil"/>
                  </w:tcBorders>
                  <w:vAlign w:val="center"/>
                </w:tcPr>
                <w:p>
                  <w:pPr>
                    <w:jc w:val="center"/>
                    <w:rPr>
                      <w:i/>
                      <w:iCs/>
                      <w:sz w:val="18"/>
                      <w:szCs w:val="18"/>
                      <w:u w:val="single"/>
                    </w:rPr>
                  </w:pPr>
                  <w:r>
                    <w:rPr>
                      <w:rFonts w:hint="eastAsia"/>
                      <w:i/>
                      <w:iCs/>
                      <w:sz w:val="18"/>
                      <w:szCs w:val="18"/>
                      <w:u w:val="single"/>
                    </w:rPr>
                    <w:t>51.02</w:t>
                  </w:r>
                </w:p>
              </w:tc>
              <w:tc>
                <w:tcPr>
                  <w:tcW w:w="532" w:type="dxa"/>
                  <w:tcBorders>
                    <w:tl2br w:val="nil"/>
                    <w:tr2bl w:val="nil"/>
                  </w:tcBorders>
                  <w:vAlign w:val="center"/>
                </w:tcPr>
                <w:p>
                  <w:pPr>
                    <w:jc w:val="center"/>
                    <w:rPr>
                      <w:i/>
                      <w:iCs/>
                      <w:sz w:val="18"/>
                      <w:szCs w:val="18"/>
                      <w:u w:val="single"/>
                    </w:rPr>
                  </w:pPr>
                  <w:r>
                    <w:rPr>
                      <w:i/>
                      <w:iCs/>
                      <w:sz w:val="18"/>
                      <w:szCs w:val="18"/>
                      <w:u w:val="single"/>
                    </w:rPr>
                    <w:t>1</w:t>
                  </w:r>
                </w:p>
              </w:tc>
            </w:tr>
            <w:tr>
              <w:trPr>
                <w:trHeight w:val="90" w:hRule="atLeast"/>
                <w:jc w:val="center"/>
              </w:trPr>
              <w:tc>
                <w:tcPr>
                  <w:tcW w:w="481" w:type="dxa"/>
                  <w:vMerge w:val="continue"/>
                  <w:tcBorders>
                    <w:tl2br w:val="nil"/>
                    <w:tr2bl w:val="nil"/>
                  </w:tcBorders>
                  <w:vAlign w:val="center"/>
                </w:tcPr>
                <w:p>
                  <w:pPr>
                    <w:jc w:val="center"/>
                    <w:rPr>
                      <w:i/>
                      <w:iCs/>
                      <w:sz w:val="18"/>
                      <w:szCs w:val="18"/>
                      <w:u w:val="single"/>
                    </w:rPr>
                  </w:pPr>
                </w:p>
              </w:tc>
              <w:tc>
                <w:tcPr>
                  <w:tcW w:w="1442" w:type="dxa"/>
                  <w:tcBorders>
                    <w:tl2br w:val="nil"/>
                    <w:tr2bl w:val="nil"/>
                  </w:tcBorders>
                  <w:vAlign w:val="center"/>
                </w:tcPr>
                <w:p>
                  <w:pPr>
                    <w:jc w:val="center"/>
                    <w:rPr>
                      <w:i/>
                      <w:iCs/>
                      <w:sz w:val="18"/>
                      <w:szCs w:val="18"/>
                      <w:u w:val="single"/>
                    </w:rPr>
                  </w:pPr>
                  <w:r>
                    <w:rPr>
                      <w:rFonts w:hint="eastAsia"/>
                      <w:i/>
                      <w:iCs/>
                      <w:sz w:val="18"/>
                      <w:szCs w:val="18"/>
                      <w:u w:val="single"/>
                    </w:rPr>
                    <w:t>重型鹰嘴剪</w:t>
                  </w:r>
                </w:p>
              </w:tc>
              <w:tc>
                <w:tcPr>
                  <w:tcW w:w="846" w:type="dxa"/>
                  <w:tcBorders>
                    <w:tl2br w:val="nil"/>
                    <w:tr2bl w:val="nil"/>
                  </w:tcBorders>
                  <w:vAlign w:val="center"/>
                </w:tcPr>
                <w:p>
                  <w:pPr>
                    <w:jc w:val="center"/>
                    <w:rPr>
                      <w:i/>
                      <w:iCs/>
                      <w:sz w:val="18"/>
                      <w:szCs w:val="18"/>
                      <w:u w:val="single"/>
                    </w:rPr>
                  </w:pPr>
                  <w:r>
                    <w:rPr>
                      <w:rFonts w:hint="eastAsia"/>
                      <w:i/>
                      <w:iCs/>
                      <w:sz w:val="18"/>
                      <w:szCs w:val="18"/>
                      <w:u w:val="single"/>
                    </w:rPr>
                    <w:t>75~80</w:t>
                  </w:r>
                </w:p>
              </w:tc>
              <w:tc>
                <w:tcPr>
                  <w:tcW w:w="750" w:type="dxa"/>
                  <w:vMerge w:val="continue"/>
                  <w:tcBorders>
                    <w:tl2br w:val="nil"/>
                    <w:tr2bl w:val="nil"/>
                  </w:tcBorders>
                  <w:vAlign w:val="center"/>
                </w:tcPr>
                <w:p>
                  <w:pPr>
                    <w:jc w:val="center"/>
                    <w:rPr>
                      <w:i/>
                      <w:iCs/>
                      <w:sz w:val="18"/>
                      <w:szCs w:val="18"/>
                      <w:u w:val="single"/>
                    </w:rPr>
                  </w:pPr>
                </w:p>
              </w:tc>
              <w:tc>
                <w:tcPr>
                  <w:tcW w:w="546" w:type="dxa"/>
                  <w:tcBorders>
                    <w:tl2br w:val="nil"/>
                    <w:tr2bl w:val="nil"/>
                  </w:tcBorders>
                  <w:vAlign w:val="center"/>
                </w:tcPr>
                <w:p>
                  <w:pPr>
                    <w:jc w:val="center"/>
                    <w:rPr>
                      <w:i/>
                      <w:iCs/>
                      <w:sz w:val="18"/>
                      <w:szCs w:val="18"/>
                      <w:u w:val="single"/>
                    </w:rPr>
                  </w:pPr>
                  <w:r>
                    <w:rPr>
                      <w:rFonts w:hint="eastAsia"/>
                      <w:i/>
                      <w:iCs/>
                      <w:sz w:val="18"/>
                      <w:szCs w:val="18"/>
                      <w:u w:val="single"/>
                    </w:rPr>
                    <w:t>10</w:t>
                  </w:r>
                </w:p>
              </w:tc>
              <w:tc>
                <w:tcPr>
                  <w:tcW w:w="544" w:type="dxa"/>
                  <w:tcBorders>
                    <w:tl2br w:val="nil"/>
                    <w:tr2bl w:val="nil"/>
                  </w:tcBorders>
                  <w:vAlign w:val="center"/>
                </w:tcPr>
                <w:p>
                  <w:pPr>
                    <w:jc w:val="center"/>
                    <w:rPr>
                      <w:i/>
                      <w:iCs/>
                      <w:sz w:val="18"/>
                      <w:szCs w:val="18"/>
                      <w:u w:val="single"/>
                    </w:rPr>
                  </w:pPr>
                  <w:r>
                    <w:rPr>
                      <w:rFonts w:hint="eastAsia"/>
                      <w:i/>
                      <w:iCs/>
                      <w:sz w:val="18"/>
                      <w:szCs w:val="18"/>
                      <w:u w:val="single"/>
                    </w:rPr>
                    <w:t>7</w:t>
                  </w:r>
                </w:p>
              </w:tc>
              <w:tc>
                <w:tcPr>
                  <w:tcW w:w="574" w:type="dxa"/>
                  <w:tcBorders>
                    <w:tl2br w:val="nil"/>
                    <w:tr2bl w:val="nil"/>
                  </w:tcBorders>
                  <w:vAlign w:val="center"/>
                </w:tcPr>
                <w:p>
                  <w:pPr>
                    <w:jc w:val="center"/>
                    <w:rPr>
                      <w:i/>
                      <w:iCs/>
                      <w:sz w:val="18"/>
                      <w:szCs w:val="18"/>
                      <w:u w:val="single"/>
                    </w:rPr>
                  </w:pPr>
                  <w:r>
                    <w:rPr>
                      <w:rFonts w:hint="eastAsia"/>
                      <w:i/>
                      <w:iCs/>
                      <w:sz w:val="18"/>
                      <w:szCs w:val="18"/>
                      <w:u w:val="single"/>
                    </w:rPr>
                    <w:t>1</w:t>
                  </w:r>
                </w:p>
              </w:tc>
              <w:tc>
                <w:tcPr>
                  <w:tcW w:w="722" w:type="dxa"/>
                  <w:tcBorders>
                    <w:tl2br w:val="nil"/>
                    <w:tr2bl w:val="nil"/>
                  </w:tcBorders>
                  <w:vAlign w:val="center"/>
                </w:tcPr>
                <w:p>
                  <w:pPr>
                    <w:jc w:val="center"/>
                    <w:rPr>
                      <w:i/>
                      <w:iCs/>
                      <w:sz w:val="18"/>
                      <w:szCs w:val="18"/>
                      <w:u w:val="single"/>
                    </w:rPr>
                  </w:pPr>
                  <w:r>
                    <w:rPr>
                      <w:rFonts w:hint="eastAsia"/>
                      <w:i/>
                      <w:iCs/>
                      <w:sz w:val="18"/>
                      <w:szCs w:val="18"/>
                      <w:u w:val="single"/>
                    </w:rPr>
                    <w:t>63.10</w:t>
                  </w:r>
                </w:p>
              </w:tc>
              <w:tc>
                <w:tcPr>
                  <w:tcW w:w="573" w:type="dxa"/>
                  <w:vMerge w:val="continue"/>
                  <w:tcBorders>
                    <w:tl2br w:val="nil"/>
                    <w:tr2bl w:val="nil"/>
                  </w:tcBorders>
                  <w:vAlign w:val="center"/>
                </w:tcPr>
                <w:p>
                  <w:pPr>
                    <w:jc w:val="center"/>
                    <w:rPr>
                      <w:i/>
                      <w:iCs/>
                      <w:sz w:val="18"/>
                      <w:szCs w:val="18"/>
                      <w:u w:val="single"/>
                    </w:rPr>
                  </w:pPr>
                </w:p>
              </w:tc>
              <w:tc>
                <w:tcPr>
                  <w:tcW w:w="735" w:type="dxa"/>
                  <w:vMerge w:val="continue"/>
                  <w:tcBorders>
                    <w:tl2br w:val="nil"/>
                    <w:tr2bl w:val="nil"/>
                  </w:tcBorders>
                  <w:vAlign w:val="center"/>
                </w:tcPr>
                <w:p>
                  <w:pPr>
                    <w:jc w:val="center"/>
                    <w:rPr>
                      <w:i/>
                      <w:iCs/>
                      <w:sz w:val="18"/>
                      <w:szCs w:val="18"/>
                      <w:u w:val="single"/>
                    </w:rPr>
                  </w:pPr>
                </w:p>
              </w:tc>
              <w:tc>
                <w:tcPr>
                  <w:tcW w:w="650" w:type="dxa"/>
                  <w:tcBorders>
                    <w:tl2br w:val="nil"/>
                    <w:tr2bl w:val="nil"/>
                  </w:tcBorders>
                  <w:vAlign w:val="center"/>
                </w:tcPr>
                <w:p>
                  <w:pPr>
                    <w:jc w:val="center"/>
                    <w:rPr>
                      <w:i/>
                      <w:iCs/>
                      <w:sz w:val="18"/>
                      <w:szCs w:val="18"/>
                      <w:u w:val="single"/>
                    </w:rPr>
                  </w:pPr>
                  <w:r>
                    <w:rPr>
                      <w:rFonts w:hint="eastAsia"/>
                      <w:i/>
                      <w:iCs/>
                      <w:sz w:val="18"/>
                      <w:szCs w:val="18"/>
                      <w:u w:val="single"/>
                    </w:rPr>
                    <w:t>48.10</w:t>
                  </w:r>
                </w:p>
              </w:tc>
              <w:tc>
                <w:tcPr>
                  <w:tcW w:w="532" w:type="dxa"/>
                  <w:tcBorders>
                    <w:tl2br w:val="nil"/>
                    <w:tr2bl w:val="nil"/>
                  </w:tcBorders>
                  <w:vAlign w:val="center"/>
                </w:tcPr>
                <w:p>
                  <w:pPr>
                    <w:jc w:val="center"/>
                    <w:rPr>
                      <w:i/>
                      <w:iCs/>
                      <w:sz w:val="18"/>
                      <w:szCs w:val="18"/>
                      <w:u w:val="single"/>
                    </w:rPr>
                  </w:pPr>
                  <w:r>
                    <w:rPr>
                      <w:rFonts w:hint="eastAsia"/>
                      <w:i/>
                      <w:iCs/>
                      <w:sz w:val="18"/>
                      <w:szCs w:val="18"/>
                      <w:u w:val="single"/>
                    </w:rPr>
                    <w:t>1</w:t>
                  </w:r>
                </w:p>
              </w:tc>
            </w:tr>
            <w:tr>
              <w:trPr>
                <w:trHeight w:val="94" w:hRule="atLeast"/>
                <w:jc w:val="center"/>
              </w:trPr>
              <w:tc>
                <w:tcPr>
                  <w:tcW w:w="481" w:type="dxa"/>
                  <w:vMerge w:val="continue"/>
                  <w:tcBorders>
                    <w:tl2br w:val="nil"/>
                    <w:tr2bl w:val="nil"/>
                  </w:tcBorders>
                  <w:vAlign w:val="center"/>
                </w:tcPr>
                <w:p>
                  <w:pPr>
                    <w:jc w:val="center"/>
                    <w:rPr>
                      <w:i/>
                      <w:iCs/>
                      <w:sz w:val="18"/>
                      <w:szCs w:val="18"/>
                      <w:u w:val="single"/>
                    </w:rPr>
                  </w:pPr>
                </w:p>
              </w:tc>
              <w:tc>
                <w:tcPr>
                  <w:tcW w:w="1442" w:type="dxa"/>
                  <w:tcBorders>
                    <w:tl2br w:val="nil"/>
                    <w:tr2bl w:val="nil"/>
                  </w:tcBorders>
                  <w:vAlign w:val="center"/>
                </w:tcPr>
                <w:p>
                  <w:pPr>
                    <w:jc w:val="center"/>
                    <w:rPr>
                      <w:i/>
                      <w:iCs/>
                      <w:sz w:val="18"/>
                      <w:szCs w:val="18"/>
                      <w:u w:val="single"/>
                    </w:rPr>
                  </w:pPr>
                  <w:r>
                    <w:rPr>
                      <w:rFonts w:hint="eastAsia"/>
                      <w:i/>
                      <w:iCs/>
                      <w:sz w:val="18"/>
                      <w:szCs w:val="18"/>
                      <w:u w:val="single"/>
                    </w:rPr>
                    <w:t>抽油机#1</w:t>
                  </w:r>
                </w:p>
              </w:tc>
              <w:tc>
                <w:tcPr>
                  <w:tcW w:w="846" w:type="dxa"/>
                  <w:tcBorders>
                    <w:tl2br w:val="nil"/>
                    <w:tr2bl w:val="nil"/>
                  </w:tcBorders>
                  <w:vAlign w:val="center"/>
                </w:tcPr>
                <w:p>
                  <w:pPr>
                    <w:jc w:val="center"/>
                    <w:rPr>
                      <w:i/>
                      <w:iCs/>
                      <w:sz w:val="18"/>
                      <w:szCs w:val="18"/>
                      <w:u w:val="single"/>
                    </w:rPr>
                  </w:pPr>
                  <w:r>
                    <w:rPr>
                      <w:rFonts w:hint="eastAsia"/>
                      <w:i/>
                      <w:iCs/>
                      <w:sz w:val="18"/>
                      <w:szCs w:val="18"/>
                      <w:u w:val="single"/>
                    </w:rPr>
                    <w:t>75~80</w:t>
                  </w:r>
                </w:p>
              </w:tc>
              <w:tc>
                <w:tcPr>
                  <w:tcW w:w="750" w:type="dxa"/>
                  <w:vMerge w:val="continue"/>
                  <w:tcBorders>
                    <w:tl2br w:val="nil"/>
                    <w:tr2bl w:val="nil"/>
                  </w:tcBorders>
                  <w:vAlign w:val="center"/>
                </w:tcPr>
                <w:p>
                  <w:pPr>
                    <w:jc w:val="center"/>
                    <w:rPr>
                      <w:i/>
                      <w:iCs/>
                      <w:sz w:val="18"/>
                      <w:szCs w:val="18"/>
                      <w:u w:val="single"/>
                    </w:rPr>
                  </w:pPr>
                </w:p>
              </w:tc>
              <w:tc>
                <w:tcPr>
                  <w:tcW w:w="546" w:type="dxa"/>
                  <w:tcBorders>
                    <w:tl2br w:val="nil"/>
                    <w:tr2bl w:val="nil"/>
                  </w:tcBorders>
                  <w:vAlign w:val="center"/>
                </w:tcPr>
                <w:p>
                  <w:pPr>
                    <w:jc w:val="center"/>
                    <w:rPr>
                      <w:i/>
                      <w:iCs/>
                      <w:sz w:val="18"/>
                      <w:szCs w:val="18"/>
                      <w:u w:val="single"/>
                    </w:rPr>
                  </w:pPr>
                  <w:r>
                    <w:rPr>
                      <w:rFonts w:hint="eastAsia"/>
                      <w:i/>
                      <w:iCs/>
                      <w:sz w:val="18"/>
                      <w:szCs w:val="18"/>
                      <w:u w:val="single"/>
                    </w:rPr>
                    <w:t>11</w:t>
                  </w:r>
                </w:p>
              </w:tc>
              <w:tc>
                <w:tcPr>
                  <w:tcW w:w="544" w:type="dxa"/>
                  <w:tcBorders>
                    <w:tl2br w:val="nil"/>
                    <w:tr2bl w:val="nil"/>
                  </w:tcBorders>
                  <w:vAlign w:val="center"/>
                </w:tcPr>
                <w:p>
                  <w:pPr>
                    <w:jc w:val="center"/>
                    <w:rPr>
                      <w:i/>
                      <w:iCs/>
                      <w:sz w:val="18"/>
                      <w:szCs w:val="18"/>
                      <w:u w:val="single"/>
                    </w:rPr>
                  </w:pPr>
                  <w:r>
                    <w:rPr>
                      <w:rFonts w:hint="eastAsia"/>
                      <w:i/>
                      <w:iCs/>
                      <w:sz w:val="18"/>
                      <w:szCs w:val="18"/>
                      <w:u w:val="single"/>
                    </w:rPr>
                    <w:t>5</w:t>
                  </w:r>
                </w:p>
              </w:tc>
              <w:tc>
                <w:tcPr>
                  <w:tcW w:w="574" w:type="dxa"/>
                  <w:tcBorders>
                    <w:tl2br w:val="nil"/>
                    <w:tr2bl w:val="nil"/>
                  </w:tcBorders>
                  <w:vAlign w:val="center"/>
                </w:tcPr>
                <w:p>
                  <w:pPr>
                    <w:jc w:val="center"/>
                    <w:rPr>
                      <w:i/>
                      <w:iCs/>
                      <w:sz w:val="18"/>
                      <w:szCs w:val="18"/>
                      <w:u w:val="single"/>
                    </w:rPr>
                  </w:pPr>
                  <w:r>
                    <w:rPr>
                      <w:rFonts w:hint="eastAsia"/>
                      <w:i/>
                      <w:iCs/>
                      <w:sz w:val="18"/>
                      <w:szCs w:val="18"/>
                      <w:u w:val="single"/>
                    </w:rPr>
                    <w:t>2</w:t>
                  </w:r>
                </w:p>
              </w:tc>
              <w:tc>
                <w:tcPr>
                  <w:tcW w:w="722" w:type="dxa"/>
                  <w:tcBorders>
                    <w:tl2br w:val="nil"/>
                    <w:tr2bl w:val="nil"/>
                  </w:tcBorders>
                  <w:vAlign w:val="center"/>
                </w:tcPr>
                <w:p>
                  <w:pPr>
                    <w:jc w:val="center"/>
                    <w:rPr>
                      <w:i/>
                      <w:iCs/>
                      <w:sz w:val="18"/>
                      <w:szCs w:val="18"/>
                      <w:u w:val="single"/>
                    </w:rPr>
                  </w:pPr>
                  <w:r>
                    <w:rPr>
                      <w:rFonts w:hint="eastAsia"/>
                      <w:i/>
                      <w:iCs/>
                      <w:sz w:val="18"/>
                      <w:szCs w:val="18"/>
                      <w:u w:val="single"/>
                    </w:rPr>
                    <w:t>66.02</w:t>
                  </w:r>
                </w:p>
              </w:tc>
              <w:tc>
                <w:tcPr>
                  <w:tcW w:w="573" w:type="dxa"/>
                  <w:vMerge w:val="continue"/>
                  <w:tcBorders>
                    <w:tl2br w:val="nil"/>
                    <w:tr2bl w:val="nil"/>
                  </w:tcBorders>
                  <w:vAlign w:val="center"/>
                </w:tcPr>
                <w:p>
                  <w:pPr>
                    <w:jc w:val="center"/>
                    <w:rPr>
                      <w:i/>
                      <w:iCs/>
                      <w:sz w:val="18"/>
                      <w:szCs w:val="18"/>
                      <w:u w:val="single"/>
                    </w:rPr>
                  </w:pPr>
                </w:p>
              </w:tc>
              <w:tc>
                <w:tcPr>
                  <w:tcW w:w="735" w:type="dxa"/>
                  <w:vMerge w:val="continue"/>
                  <w:tcBorders>
                    <w:tl2br w:val="nil"/>
                    <w:tr2bl w:val="nil"/>
                  </w:tcBorders>
                  <w:vAlign w:val="center"/>
                </w:tcPr>
                <w:p>
                  <w:pPr>
                    <w:jc w:val="center"/>
                    <w:rPr>
                      <w:i/>
                      <w:iCs/>
                      <w:sz w:val="18"/>
                      <w:szCs w:val="18"/>
                      <w:u w:val="single"/>
                    </w:rPr>
                  </w:pPr>
                </w:p>
              </w:tc>
              <w:tc>
                <w:tcPr>
                  <w:tcW w:w="650" w:type="dxa"/>
                  <w:tcBorders>
                    <w:tl2br w:val="nil"/>
                    <w:tr2bl w:val="nil"/>
                  </w:tcBorders>
                  <w:vAlign w:val="center"/>
                </w:tcPr>
                <w:p>
                  <w:pPr>
                    <w:jc w:val="center"/>
                    <w:rPr>
                      <w:i/>
                      <w:iCs/>
                      <w:sz w:val="18"/>
                      <w:szCs w:val="18"/>
                      <w:u w:val="single"/>
                    </w:rPr>
                  </w:pPr>
                  <w:r>
                    <w:rPr>
                      <w:rFonts w:hint="eastAsia"/>
                      <w:i/>
                      <w:iCs/>
                      <w:sz w:val="18"/>
                      <w:szCs w:val="18"/>
                      <w:u w:val="single"/>
                    </w:rPr>
                    <w:t>51.02</w:t>
                  </w:r>
                </w:p>
              </w:tc>
              <w:tc>
                <w:tcPr>
                  <w:tcW w:w="532" w:type="dxa"/>
                  <w:tcBorders>
                    <w:tl2br w:val="nil"/>
                    <w:tr2bl w:val="nil"/>
                  </w:tcBorders>
                  <w:vAlign w:val="center"/>
                </w:tcPr>
                <w:p>
                  <w:pPr>
                    <w:jc w:val="center"/>
                    <w:rPr>
                      <w:i/>
                      <w:iCs/>
                      <w:sz w:val="18"/>
                      <w:szCs w:val="18"/>
                      <w:u w:val="single"/>
                    </w:rPr>
                  </w:pPr>
                  <w:r>
                    <w:rPr>
                      <w:i/>
                      <w:iCs/>
                      <w:sz w:val="18"/>
                      <w:szCs w:val="18"/>
                      <w:u w:val="single"/>
                    </w:rPr>
                    <w:t>1</w:t>
                  </w:r>
                </w:p>
              </w:tc>
            </w:tr>
            <w:tr>
              <w:trPr>
                <w:trHeight w:val="90" w:hRule="atLeast"/>
                <w:jc w:val="center"/>
              </w:trPr>
              <w:tc>
                <w:tcPr>
                  <w:tcW w:w="481" w:type="dxa"/>
                  <w:vMerge w:val="continue"/>
                  <w:tcBorders>
                    <w:tl2br w:val="nil"/>
                    <w:tr2bl w:val="nil"/>
                  </w:tcBorders>
                  <w:vAlign w:val="center"/>
                </w:tcPr>
                <w:p>
                  <w:pPr>
                    <w:jc w:val="center"/>
                    <w:rPr>
                      <w:i/>
                      <w:iCs/>
                      <w:sz w:val="18"/>
                      <w:szCs w:val="18"/>
                      <w:u w:val="single"/>
                    </w:rPr>
                  </w:pPr>
                </w:p>
              </w:tc>
              <w:tc>
                <w:tcPr>
                  <w:tcW w:w="1442" w:type="dxa"/>
                  <w:tcBorders>
                    <w:tl2br w:val="nil"/>
                    <w:tr2bl w:val="nil"/>
                  </w:tcBorders>
                  <w:vAlign w:val="center"/>
                </w:tcPr>
                <w:p>
                  <w:pPr>
                    <w:jc w:val="center"/>
                    <w:rPr>
                      <w:i/>
                      <w:iCs/>
                      <w:sz w:val="18"/>
                      <w:szCs w:val="18"/>
                      <w:u w:val="single"/>
                    </w:rPr>
                  </w:pPr>
                  <w:r>
                    <w:rPr>
                      <w:rFonts w:hint="eastAsia"/>
                      <w:i/>
                      <w:iCs/>
                      <w:sz w:val="18"/>
                      <w:szCs w:val="18"/>
                      <w:u w:val="single"/>
                    </w:rPr>
                    <w:t>抽油机#2</w:t>
                  </w:r>
                </w:p>
              </w:tc>
              <w:tc>
                <w:tcPr>
                  <w:tcW w:w="846" w:type="dxa"/>
                  <w:tcBorders>
                    <w:tl2br w:val="nil"/>
                    <w:tr2bl w:val="nil"/>
                  </w:tcBorders>
                  <w:vAlign w:val="center"/>
                </w:tcPr>
                <w:p>
                  <w:pPr>
                    <w:jc w:val="center"/>
                    <w:rPr>
                      <w:i/>
                      <w:iCs/>
                      <w:sz w:val="18"/>
                      <w:szCs w:val="18"/>
                      <w:u w:val="single"/>
                    </w:rPr>
                  </w:pPr>
                  <w:r>
                    <w:rPr>
                      <w:rFonts w:hint="eastAsia"/>
                      <w:i/>
                      <w:iCs/>
                      <w:sz w:val="18"/>
                      <w:szCs w:val="18"/>
                      <w:u w:val="single"/>
                    </w:rPr>
                    <w:t>75~80</w:t>
                  </w:r>
                </w:p>
              </w:tc>
              <w:tc>
                <w:tcPr>
                  <w:tcW w:w="750" w:type="dxa"/>
                  <w:vMerge w:val="continue"/>
                  <w:tcBorders>
                    <w:tl2br w:val="nil"/>
                    <w:tr2bl w:val="nil"/>
                  </w:tcBorders>
                  <w:vAlign w:val="center"/>
                </w:tcPr>
                <w:p>
                  <w:pPr>
                    <w:jc w:val="center"/>
                    <w:rPr>
                      <w:i/>
                      <w:iCs/>
                      <w:sz w:val="18"/>
                      <w:szCs w:val="18"/>
                      <w:u w:val="single"/>
                    </w:rPr>
                  </w:pPr>
                </w:p>
              </w:tc>
              <w:tc>
                <w:tcPr>
                  <w:tcW w:w="546" w:type="dxa"/>
                  <w:tcBorders>
                    <w:tl2br w:val="nil"/>
                    <w:tr2bl w:val="nil"/>
                  </w:tcBorders>
                  <w:vAlign w:val="center"/>
                </w:tcPr>
                <w:p>
                  <w:pPr>
                    <w:jc w:val="center"/>
                    <w:rPr>
                      <w:i/>
                      <w:iCs/>
                      <w:sz w:val="18"/>
                      <w:szCs w:val="18"/>
                      <w:u w:val="single"/>
                    </w:rPr>
                  </w:pPr>
                  <w:r>
                    <w:rPr>
                      <w:rFonts w:hint="eastAsia"/>
                      <w:i/>
                      <w:iCs/>
                      <w:sz w:val="18"/>
                      <w:szCs w:val="18"/>
                      <w:u w:val="single"/>
                    </w:rPr>
                    <w:t>12</w:t>
                  </w:r>
                </w:p>
              </w:tc>
              <w:tc>
                <w:tcPr>
                  <w:tcW w:w="544" w:type="dxa"/>
                  <w:tcBorders>
                    <w:tl2br w:val="nil"/>
                    <w:tr2bl w:val="nil"/>
                  </w:tcBorders>
                  <w:vAlign w:val="center"/>
                </w:tcPr>
                <w:p>
                  <w:pPr>
                    <w:jc w:val="center"/>
                    <w:rPr>
                      <w:i/>
                      <w:iCs/>
                      <w:sz w:val="18"/>
                      <w:szCs w:val="18"/>
                      <w:u w:val="single"/>
                    </w:rPr>
                  </w:pPr>
                  <w:r>
                    <w:rPr>
                      <w:rFonts w:hint="eastAsia"/>
                      <w:i/>
                      <w:iCs/>
                      <w:sz w:val="18"/>
                      <w:szCs w:val="18"/>
                      <w:u w:val="single"/>
                    </w:rPr>
                    <w:t>5</w:t>
                  </w:r>
                </w:p>
              </w:tc>
              <w:tc>
                <w:tcPr>
                  <w:tcW w:w="574" w:type="dxa"/>
                  <w:tcBorders>
                    <w:tl2br w:val="nil"/>
                    <w:tr2bl w:val="nil"/>
                  </w:tcBorders>
                  <w:vAlign w:val="center"/>
                </w:tcPr>
                <w:p>
                  <w:pPr>
                    <w:jc w:val="center"/>
                    <w:rPr>
                      <w:i/>
                      <w:iCs/>
                      <w:sz w:val="18"/>
                      <w:szCs w:val="18"/>
                      <w:u w:val="single"/>
                    </w:rPr>
                  </w:pPr>
                  <w:r>
                    <w:rPr>
                      <w:rFonts w:hint="eastAsia"/>
                      <w:i/>
                      <w:iCs/>
                      <w:sz w:val="18"/>
                      <w:szCs w:val="18"/>
                      <w:u w:val="single"/>
                    </w:rPr>
                    <w:t>2</w:t>
                  </w:r>
                </w:p>
              </w:tc>
              <w:tc>
                <w:tcPr>
                  <w:tcW w:w="722" w:type="dxa"/>
                  <w:tcBorders>
                    <w:tl2br w:val="nil"/>
                    <w:tr2bl w:val="nil"/>
                  </w:tcBorders>
                  <w:vAlign w:val="center"/>
                </w:tcPr>
                <w:p>
                  <w:pPr>
                    <w:jc w:val="center"/>
                    <w:rPr>
                      <w:i/>
                      <w:iCs/>
                      <w:sz w:val="18"/>
                      <w:szCs w:val="18"/>
                      <w:u w:val="single"/>
                    </w:rPr>
                  </w:pPr>
                  <w:r>
                    <w:rPr>
                      <w:i/>
                      <w:iCs/>
                      <w:sz w:val="18"/>
                      <w:szCs w:val="18"/>
                      <w:u w:val="single"/>
                    </w:rPr>
                    <w:t>66.02</w:t>
                  </w:r>
                </w:p>
              </w:tc>
              <w:tc>
                <w:tcPr>
                  <w:tcW w:w="573" w:type="dxa"/>
                  <w:vMerge w:val="continue"/>
                  <w:tcBorders>
                    <w:tl2br w:val="nil"/>
                    <w:tr2bl w:val="nil"/>
                  </w:tcBorders>
                  <w:vAlign w:val="center"/>
                </w:tcPr>
                <w:p>
                  <w:pPr>
                    <w:jc w:val="center"/>
                    <w:rPr>
                      <w:i/>
                      <w:iCs/>
                      <w:sz w:val="18"/>
                      <w:szCs w:val="18"/>
                      <w:u w:val="single"/>
                    </w:rPr>
                  </w:pPr>
                </w:p>
              </w:tc>
              <w:tc>
                <w:tcPr>
                  <w:tcW w:w="735" w:type="dxa"/>
                  <w:vMerge w:val="continue"/>
                  <w:tcBorders>
                    <w:tl2br w:val="nil"/>
                    <w:tr2bl w:val="nil"/>
                  </w:tcBorders>
                  <w:vAlign w:val="center"/>
                </w:tcPr>
                <w:p>
                  <w:pPr>
                    <w:jc w:val="center"/>
                    <w:rPr>
                      <w:i/>
                      <w:iCs/>
                      <w:sz w:val="18"/>
                      <w:szCs w:val="18"/>
                      <w:u w:val="single"/>
                    </w:rPr>
                  </w:pPr>
                </w:p>
              </w:tc>
              <w:tc>
                <w:tcPr>
                  <w:tcW w:w="650" w:type="dxa"/>
                  <w:tcBorders>
                    <w:tl2br w:val="nil"/>
                    <w:tr2bl w:val="nil"/>
                  </w:tcBorders>
                  <w:vAlign w:val="center"/>
                </w:tcPr>
                <w:p>
                  <w:pPr>
                    <w:jc w:val="center"/>
                    <w:rPr>
                      <w:i/>
                      <w:iCs/>
                      <w:sz w:val="18"/>
                      <w:szCs w:val="18"/>
                      <w:u w:val="single"/>
                    </w:rPr>
                  </w:pPr>
                  <w:r>
                    <w:rPr>
                      <w:rFonts w:hint="eastAsia"/>
                      <w:i/>
                      <w:iCs/>
                      <w:sz w:val="18"/>
                      <w:szCs w:val="18"/>
                      <w:u w:val="single"/>
                    </w:rPr>
                    <w:t>51.02</w:t>
                  </w:r>
                </w:p>
              </w:tc>
              <w:tc>
                <w:tcPr>
                  <w:tcW w:w="532" w:type="dxa"/>
                  <w:tcBorders>
                    <w:tl2br w:val="nil"/>
                    <w:tr2bl w:val="nil"/>
                  </w:tcBorders>
                  <w:vAlign w:val="center"/>
                </w:tcPr>
                <w:p>
                  <w:pPr>
                    <w:jc w:val="center"/>
                    <w:rPr>
                      <w:i/>
                      <w:iCs/>
                      <w:sz w:val="18"/>
                      <w:szCs w:val="18"/>
                      <w:u w:val="single"/>
                    </w:rPr>
                  </w:pPr>
                  <w:r>
                    <w:rPr>
                      <w:i/>
                      <w:iCs/>
                      <w:sz w:val="18"/>
                      <w:szCs w:val="18"/>
                      <w:u w:val="single"/>
                    </w:rPr>
                    <w:t>1</w:t>
                  </w:r>
                </w:p>
              </w:tc>
            </w:tr>
            <w:tr>
              <w:trPr>
                <w:trHeight w:val="90" w:hRule="atLeast"/>
                <w:jc w:val="center"/>
              </w:trPr>
              <w:tc>
                <w:tcPr>
                  <w:tcW w:w="481" w:type="dxa"/>
                  <w:vMerge w:val="continue"/>
                  <w:tcBorders>
                    <w:tl2br w:val="nil"/>
                    <w:tr2bl w:val="nil"/>
                  </w:tcBorders>
                  <w:vAlign w:val="center"/>
                </w:tcPr>
                <w:p>
                  <w:pPr>
                    <w:jc w:val="center"/>
                    <w:rPr>
                      <w:i/>
                      <w:iCs/>
                      <w:sz w:val="18"/>
                      <w:szCs w:val="18"/>
                      <w:u w:val="single"/>
                    </w:rPr>
                  </w:pPr>
                </w:p>
              </w:tc>
              <w:tc>
                <w:tcPr>
                  <w:tcW w:w="1442" w:type="dxa"/>
                  <w:tcBorders>
                    <w:tl2br w:val="nil"/>
                    <w:tr2bl w:val="nil"/>
                  </w:tcBorders>
                  <w:vAlign w:val="center"/>
                </w:tcPr>
                <w:p>
                  <w:pPr>
                    <w:jc w:val="center"/>
                    <w:rPr>
                      <w:i/>
                      <w:iCs/>
                      <w:sz w:val="18"/>
                      <w:szCs w:val="18"/>
                      <w:u w:val="single"/>
                    </w:rPr>
                  </w:pPr>
                  <w:r>
                    <w:rPr>
                      <w:rFonts w:hint="eastAsia"/>
                      <w:i/>
                      <w:iCs/>
                      <w:sz w:val="18"/>
                      <w:szCs w:val="18"/>
                      <w:u w:val="single"/>
                    </w:rPr>
                    <w:t>抽油机#3</w:t>
                  </w:r>
                </w:p>
              </w:tc>
              <w:tc>
                <w:tcPr>
                  <w:tcW w:w="846" w:type="dxa"/>
                  <w:tcBorders>
                    <w:tl2br w:val="nil"/>
                    <w:tr2bl w:val="nil"/>
                  </w:tcBorders>
                  <w:vAlign w:val="center"/>
                </w:tcPr>
                <w:p>
                  <w:pPr>
                    <w:jc w:val="center"/>
                    <w:rPr>
                      <w:i/>
                      <w:iCs/>
                      <w:sz w:val="18"/>
                      <w:szCs w:val="18"/>
                      <w:u w:val="single"/>
                    </w:rPr>
                  </w:pPr>
                  <w:r>
                    <w:rPr>
                      <w:rFonts w:hint="eastAsia"/>
                      <w:i/>
                      <w:iCs/>
                      <w:sz w:val="18"/>
                      <w:szCs w:val="18"/>
                      <w:u w:val="single"/>
                    </w:rPr>
                    <w:t>75~80</w:t>
                  </w:r>
                </w:p>
              </w:tc>
              <w:tc>
                <w:tcPr>
                  <w:tcW w:w="750" w:type="dxa"/>
                  <w:vMerge w:val="continue"/>
                  <w:tcBorders>
                    <w:tl2br w:val="nil"/>
                    <w:tr2bl w:val="nil"/>
                  </w:tcBorders>
                  <w:vAlign w:val="center"/>
                </w:tcPr>
                <w:p>
                  <w:pPr>
                    <w:jc w:val="center"/>
                    <w:rPr>
                      <w:i/>
                      <w:iCs/>
                      <w:sz w:val="18"/>
                      <w:szCs w:val="18"/>
                      <w:u w:val="single"/>
                    </w:rPr>
                  </w:pPr>
                </w:p>
              </w:tc>
              <w:tc>
                <w:tcPr>
                  <w:tcW w:w="546" w:type="dxa"/>
                  <w:tcBorders>
                    <w:tl2br w:val="nil"/>
                    <w:tr2bl w:val="nil"/>
                  </w:tcBorders>
                  <w:vAlign w:val="center"/>
                </w:tcPr>
                <w:p>
                  <w:pPr>
                    <w:jc w:val="center"/>
                    <w:rPr>
                      <w:i/>
                      <w:iCs/>
                      <w:sz w:val="18"/>
                      <w:szCs w:val="18"/>
                      <w:u w:val="single"/>
                    </w:rPr>
                  </w:pPr>
                  <w:r>
                    <w:rPr>
                      <w:rFonts w:hint="eastAsia"/>
                      <w:i/>
                      <w:iCs/>
                      <w:sz w:val="18"/>
                      <w:szCs w:val="18"/>
                      <w:u w:val="single"/>
                    </w:rPr>
                    <w:t>13</w:t>
                  </w:r>
                </w:p>
              </w:tc>
              <w:tc>
                <w:tcPr>
                  <w:tcW w:w="544" w:type="dxa"/>
                  <w:tcBorders>
                    <w:tl2br w:val="nil"/>
                    <w:tr2bl w:val="nil"/>
                  </w:tcBorders>
                  <w:vAlign w:val="center"/>
                </w:tcPr>
                <w:p>
                  <w:pPr>
                    <w:jc w:val="center"/>
                    <w:rPr>
                      <w:i/>
                      <w:iCs/>
                      <w:sz w:val="18"/>
                      <w:szCs w:val="18"/>
                      <w:u w:val="single"/>
                    </w:rPr>
                  </w:pPr>
                  <w:r>
                    <w:rPr>
                      <w:rFonts w:hint="eastAsia"/>
                      <w:i/>
                      <w:iCs/>
                      <w:sz w:val="18"/>
                      <w:szCs w:val="18"/>
                      <w:u w:val="single"/>
                    </w:rPr>
                    <w:t>5</w:t>
                  </w:r>
                </w:p>
              </w:tc>
              <w:tc>
                <w:tcPr>
                  <w:tcW w:w="574" w:type="dxa"/>
                  <w:tcBorders>
                    <w:tl2br w:val="nil"/>
                    <w:tr2bl w:val="nil"/>
                  </w:tcBorders>
                  <w:vAlign w:val="center"/>
                </w:tcPr>
                <w:p>
                  <w:pPr>
                    <w:jc w:val="center"/>
                    <w:rPr>
                      <w:i/>
                      <w:iCs/>
                      <w:sz w:val="18"/>
                      <w:szCs w:val="18"/>
                      <w:u w:val="single"/>
                    </w:rPr>
                  </w:pPr>
                  <w:r>
                    <w:rPr>
                      <w:rFonts w:hint="eastAsia"/>
                      <w:i/>
                      <w:iCs/>
                      <w:sz w:val="18"/>
                      <w:szCs w:val="18"/>
                      <w:u w:val="single"/>
                    </w:rPr>
                    <w:t>1</w:t>
                  </w:r>
                </w:p>
              </w:tc>
              <w:tc>
                <w:tcPr>
                  <w:tcW w:w="722" w:type="dxa"/>
                  <w:tcBorders>
                    <w:tl2br w:val="nil"/>
                    <w:tr2bl w:val="nil"/>
                  </w:tcBorders>
                  <w:vAlign w:val="center"/>
                </w:tcPr>
                <w:p>
                  <w:pPr>
                    <w:jc w:val="center"/>
                    <w:rPr>
                      <w:i/>
                      <w:iCs/>
                      <w:sz w:val="18"/>
                      <w:szCs w:val="18"/>
                      <w:u w:val="single"/>
                    </w:rPr>
                  </w:pPr>
                  <w:r>
                    <w:rPr>
                      <w:i/>
                      <w:iCs/>
                      <w:sz w:val="18"/>
                      <w:szCs w:val="18"/>
                      <w:u w:val="single"/>
                    </w:rPr>
                    <w:t>66.02</w:t>
                  </w:r>
                </w:p>
              </w:tc>
              <w:tc>
                <w:tcPr>
                  <w:tcW w:w="573" w:type="dxa"/>
                  <w:vMerge w:val="continue"/>
                  <w:tcBorders>
                    <w:tl2br w:val="nil"/>
                    <w:tr2bl w:val="nil"/>
                  </w:tcBorders>
                  <w:vAlign w:val="center"/>
                </w:tcPr>
                <w:p>
                  <w:pPr>
                    <w:jc w:val="center"/>
                    <w:rPr>
                      <w:i/>
                      <w:iCs/>
                      <w:sz w:val="18"/>
                      <w:szCs w:val="18"/>
                      <w:u w:val="single"/>
                    </w:rPr>
                  </w:pPr>
                </w:p>
              </w:tc>
              <w:tc>
                <w:tcPr>
                  <w:tcW w:w="735" w:type="dxa"/>
                  <w:vMerge w:val="continue"/>
                  <w:tcBorders>
                    <w:tl2br w:val="nil"/>
                    <w:tr2bl w:val="nil"/>
                  </w:tcBorders>
                  <w:vAlign w:val="center"/>
                </w:tcPr>
                <w:p>
                  <w:pPr>
                    <w:jc w:val="center"/>
                    <w:rPr>
                      <w:i/>
                      <w:iCs/>
                      <w:sz w:val="18"/>
                      <w:szCs w:val="18"/>
                      <w:u w:val="single"/>
                    </w:rPr>
                  </w:pPr>
                </w:p>
              </w:tc>
              <w:tc>
                <w:tcPr>
                  <w:tcW w:w="650" w:type="dxa"/>
                  <w:tcBorders>
                    <w:tl2br w:val="nil"/>
                    <w:tr2bl w:val="nil"/>
                  </w:tcBorders>
                  <w:vAlign w:val="center"/>
                </w:tcPr>
                <w:p>
                  <w:pPr>
                    <w:jc w:val="center"/>
                    <w:rPr>
                      <w:i/>
                      <w:iCs/>
                      <w:sz w:val="18"/>
                      <w:szCs w:val="18"/>
                      <w:u w:val="single"/>
                    </w:rPr>
                  </w:pPr>
                  <w:r>
                    <w:rPr>
                      <w:rFonts w:hint="eastAsia"/>
                      <w:i/>
                      <w:iCs/>
                      <w:sz w:val="18"/>
                      <w:szCs w:val="18"/>
                      <w:u w:val="single"/>
                    </w:rPr>
                    <w:t>51.02</w:t>
                  </w:r>
                </w:p>
              </w:tc>
              <w:tc>
                <w:tcPr>
                  <w:tcW w:w="532" w:type="dxa"/>
                  <w:tcBorders>
                    <w:tl2br w:val="nil"/>
                    <w:tr2bl w:val="nil"/>
                  </w:tcBorders>
                  <w:vAlign w:val="center"/>
                </w:tcPr>
                <w:p>
                  <w:pPr>
                    <w:jc w:val="center"/>
                    <w:rPr>
                      <w:i/>
                      <w:iCs/>
                      <w:sz w:val="18"/>
                      <w:szCs w:val="18"/>
                      <w:u w:val="single"/>
                    </w:rPr>
                  </w:pPr>
                  <w:r>
                    <w:rPr>
                      <w:i/>
                      <w:iCs/>
                      <w:sz w:val="18"/>
                      <w:szCs w:val="18"/>
                      <w:u w:val="single"/>
                    </w:rPr>
                    <w:t>1</w:t>
                  </w:r>
                </w:p>
              </w:tc>
            </w:tr>
            <w:tr>
              <w:trPr>
                <w:trHeight w:val="90" w:hRule="atLeast"/>
                <w:jc w:val="center"/>
              </w:trPr>
              <w:tc>
                <w:tcPr>
                  <w:tcW w:w="481" w:type="dxa"/>
                  <w:vMerge w:val="continue"/>
                  <w:tcBorders>
                    <w:tl2br w:val="nil"/>
                    <w:tr2bl w:val="nil"/>
                  </w:tcBorders>
                  <w:vAlign w:val="center"/>
                </w:tcPr>
                <w:p>
                  <w:pPr>
                    <w:jc w:val="center"/>
                    <w:rPr>
                      <w:i/>
                      <w:iCs/>
                      <w:sz w:val="18"/>
                      <w:szCs w:val="18"/>
                      <w:u w:val="single"/>
                    </w:rPr>
                  </w:pPr>
                </w:p>
              </w:tc>
              <w:tc>
                <w:tcPr>
                  <w:tcW w:w="1442" w:type="dxa"/>
                  <w:tcBorders>
                    <w:tl2br w:val="nil"/>
                    <w:tr2bl w:val="nil"/>
                  </w:tcBorders>
                  <w:vAlign w:val="center"/>
                </w:tcPr>
                <w:p>
                  <w:pPr>
                    <w:jc w:val="center"/>
                    <w:rPr>
                      <w:i/>
                      <w:iCs/>
                      <w:sz w:val="18"/>
                      <w:szCs w:val="18"/>
                      <w:u w:val="single"/>
                    </w:rPr>
                  </w:pPr>
                  <w:r>
                    <w:rPr>
                      <w:rFonts w:hint="eastAsia"/>
                      <w:i/>
                      <w:iCs/>
                      <w:sz w:val="18"/>
                      <w:szCs w:val="18"/>
                      <w:u w:val="single"/>
                    </w:rPr>
                    <w:t>叉车</w:t>
                  </w:r>
                </w:p>
              </w:tc>
              <w:tc>
                <w:tcPr>
                  <w:tcW w:w="846" w:type="dxa"/>
                  <w:tcBorders>
                    <w:tl2br w:val="nil"/>
                    <w:tr2bl w:val="nil"/>
                  </w:tcBorders>
                  <w:vAlign w:val="center"/>
                </w:tcPr>
                <w:p>
                  <w:pPr>
                    <w:jc w:val="center"/>
                    <w:rPr>
                      <w:i/>
                      <w:iCs/>
                      <w:sz w:val="18"/>
                      <w:szCs w:val="18"/>
                      <w:u w:val="single"/>
                    </w:rPr>
                  </w:pPr>
                  <w:r>
                    <w:rPr>
                      <w:rFonts w:hint="eastAsia"/>
                      <w:i/>
                      <w:iCs/>
                      <w:sz w:val="18"/>
                      <w:szCs w:val="18"/>
                      <w:u w:val="single"/>
                    </w:rPr>
                    <w:t>80~85</w:t>
                  </w:r>
                </w:p>
              </w:tc>
              <w:tc>
                <w:tcPr>
                  <w:tcW w:w="750" w:type="dxa"/>
                  <w:vMerge w:val="continue"/>
                  <w:tcBorders>
                    <w:tl2br w:val="nil"/>
                    <w:tr2bl w:val="nil"/>
                  </w:tcBorders>
                  <w:vAlign w:val="center"/>
                </w:tcPr>
                <w:p>
                  <w:pPr>
                    <w:jc w:val="center"/>
                    <w:rPr>
                      <w:i/>
                      <w:iCs/>
                      <w:sz w:val="18"/>
                      <w:szCs w:val="18"/>
                      <w:u w:val="single"/>
                    </w:rPr>
                  </w:pPr>
                </w:p>
              </w:tc>
              <w:tc>
                <w:tcPr>
                  <w:tcW w:w="546" w:type="dxa"/>
                  <w:tcBorders>
                    <w:tl2br w:val="nil"/>
                    <w:tr2bl w:val="nil"/>
                  </w:tcBorders>
                  <w:vAlign w:val="center"/>
                </w:tcPr>
                <w:p>
                  <w:pPr>
                    <w:jc w:val="center"/>
                    <w:rPr>
                      <w:i/>
                      <w:iCs/>
                      <w:sz w:val="18"/>
                      <w:szCs w:val="18"/>
                      <w:u w:val="single"/>
                    </w:rPr>
                  </w:pPr>
                  <w:r>
                    <w:rPr>
                      <w:rFonts w:hint="eastAsia"/>
                      <w:i/>
                      <w:iCs/>
                      <w:sz w:val="18"/>
                      <w:szCs w:val="18"/>
                      <w:u w:val="single"/>
                    </w:rPr>
                    <w:t>14</w:t>
                  </w:r>
                </w:p>
              </w:tc>
              <w:tc>
                <w:tcPr>
                  <w:tcW w:w="544" w:type="dxa"/>
                  <w:tcBorders>
                    <w:tl2br w:val="nil"/>
                    <w:tr2bl w:val="nil"/>
                  </w:tcBorders>
                  <w:vAlign w:val="center"/>
                </w:tcPr>
                <w:p>
                  <w:pPr>
                    <w:jc w:val="center"/>
                    <w:rPr>
                      <w:i/>
                      <w:iCs/>
                      <w:sz w:val="18"/>
                      <w:szCs w:val="18"/>
                      <w:u w:val="single"/>
                    </w:rPr>
                  </w:pPr>
                  <w:r>
                    <w:rPr>
                      <w:rFonts w:hint="eastAsia"/>
                      <w:i/>
                      <w:iCs/>
                      <w:sz w:val="18"/>
                      <w:szCs w:val="18"/>
                      <w:u w:val="single"/>
                    </w:rPr>
                    <w:t>7</w:t>
                  </w:r>
                </w:p>
              </w:tc>
              <w:tc>
                <w:tcPr>
                  <w:tcW w:w="574" w:type="dxa"/>
                  <w:tcBorders>
                    <w:tl2br w:val="nil"/>
                    <w:tr2bl w:val="nil"/>
                  </w:tcBorders>
                  <w:vAlign w:val="center"/>
                </w:tcPr>
                <w:p>
                  <w:pPr>
                    <w:jc w:val="center"/>
                    <w:rPr>
                      <w:i/>
                      <w:iCs/>
                      <w:sz w:val="18"/>
                      <w:szCs w:val="18"/>
                      <w:u w:val="single"/>
                    </w:rPr>
                  </w:pPr>
                  <w:r>
                    <w:rPr>
                      <w:rFonts w:hint="eastAsia"/>
                      <w:i/>
                      <w:iCs/>
                      <w:sz w:val="18"/>
                      <w:szCs w:val="18"/>
                      <w:u w:val="single"/>
                    </w:rPr>
                    <w:t>2</w:t>
                  </w:r>
                </w:p>
              </w:tc>
              <w:tc>
                <w:tcPr>
                  <w:tcW w:w="722" w:type="dxa"/>
                  <w:tcBorders>
                    <w:tl2br w:val="nil"/>
                    <w:tr2bl w:val="nil"/>
                  </w:tcBorders>
                  <w:vAlign w:val="center"/>
                </w:tcPr>
                <w:p>
                  <w:pPr>
                    <w:jc w:val="center"/>
                    <w:rPr>
                      <w:i/>
                      <w:iCs/>
                      <w:sz w:val="18"/>
                      <w:szCs w:val="18"/>
                      <w:u w:val="single"/>
                    </w:rPr>
                  </w:pPr>
                  <w:r>
                    <w:rPr>
                      <w:rFonts w:hint="eastAsia"/>
                      <w:i/>
                      <w:iCs/>
                      <w:sz w:val="18"/>
                      <w:szCs w:val="18"/>
                      <w:u w:val="single"/>
                    </w:rPr>
                    <w:t>68</w:t>
                  </w:r>
                  <w:r>
                    <w:rPr>
                      <w:i/>
                      <w:iCs/>
                      <w:sz w:val="18"/>
                      <w:szCs w:val="18"/>
                      <w:u w:val="single"/>
                    </w:rPr>
                    <w:t>.</w:t>
                  </w:r>
                  <w:r>
                    <w:rPr>
                      <w:rFonts w:hint="eastAsia"/>
                      <w:i/>
                      <w:iCs/>
                      <w:sz w:val="18"/>
                      <w:szCs w:val="18"/>
                      <w:u w:val="single"/>
                    </w:rPr>
                    <w:t>10</w:t>
                  </w:r>
                </w:p>
              </w:tc>
              <w:tc>
                <w:tcPr>
                  <w:tcW w:w="573" w:type="dxa"/>
                  <w:vMerge w:val="continue"/>
                  <w:tcBorders>
                    <w:tl2br w:val="nil"/>
                    <w:tr2bl w:val="nil"/>
                  </w:tcBorders>
                  <w:vAlign w:val="center"/>
                </w:tcPr>
                <w:p>
                  <w:pPr>
                    <w:jc w:val="center"/>
                    <w:rPr>
                      <w:i/>
                      <w:iCs/>
                      <w:sz w:val="18"/>
                      <w:szCs w:val="18"/>
                      <w:u w:val="single"/>
                    </w:rPr>
                  </w:pPr>
                </w:p>
              </w:tc>
              <w:tc>
                <w:tcPr>
                  <w:tcW w:w="735" w:type="dxa"/>
                  <w:vMerge w:val="continue"/>
                  <w:tcBorders>
                    <w:tl2br w:val="nil"/>
                    <w:tr2bl w:val="nil"/>
                  </w:tcBorders>
                  <w:vAlign w:val="center"/>
                </w:tcPr>
                <w:p>
                  <w:pPr>
                    <w:jc w:val="center"/>
                    <w:rPr>
                      <w:i/>
                      <w:iCs/>
                      <w:sz w:val="18"/>
                      <w:szCs w:val="18"/>
                      <w:u w:val="single"/>
                    </w:rPr>
                  </w:pPr>
                </w:p>
              </w:tc>
              <w:tc>
                <w:tcPr>
                  <w:tcW w:w="650" w:type="dxa"/>
                  <w:tcBorders>
                    <w:tl2br w:val="nil"/>
                    <w:tr2bl w:val="nil"/>
                  </w:tcBorders>
                  <w:vAlign w:val="center"/>
                </w:tcPr>
                <w:p>
                  <w:pPr>
                    <w:jc w:val="center"/>
                    <w:rPr>
                      <w:i/>
                      <w:iCs/>
                      <w:sz w:val="18"/>
                      <w:szCs w:val="18"/>
                      <w:u w:val="single"/>
                    </w:rPr>
                  </w:pPr>
                  <w:r>
                    <w:rPr>
                      <w:rFonts w:hint="eastAsia"/>
                      <w:i/>
                      <w:iCs/>
                      <w:sz w:val="18"/>
                      <w:szCs w:val="18"/>
                      <w:u w:val="single"/>
                    </w:rPr>
                    <w:t>53.10</w:t>
                  </w:r>
                </w:p>
              </w:tc>
              <w:tc>
                <w:tcPr>
                  <w:tcW w:w="532" w:type="dxa"/>
                  <w:tcBorders>
                    <w:tl2br w:val="nil"/>
                    <w:tr2bl w:val="nil"/>
                  </w:tcBorders>
                  <w:vAlign w:val="center"/>
                </w:tcPr>
                <w:p>
                  <w:pPr>
                    <w:jc w:val="center"/>
                    <w:rPr>
                      <w:i/>
                      <w:iCs/>
                      <w:sz w:val="18"/>
                      <w:szCs w:val="18"/>
                      <w:u w:val="single"/>
                    </w:rPr>
                  </w:pPr>
                  <w:r>
                    <w:rPr>
                      <w:i/>
                      <w:iCs/>
                      <w:sz w:val="18"/>
                      <w:szCs w:val="18"/>
                      <w:u w:val="single"/>
                    </w:rPr>
                    <w:t>1</w:t>
                  </w:r>
                </w:p>
              </w:tc>
            </w:tr>
            <w:tr>
              <w:trPr>
                <w:trHeight w:val="90" w:hRule="atLeast"/>
                <w:jc w:val="center"/>
              </w:trPr>
              <w:tc>
                <w:tcPr>
                  <w:tcW w:w="481" w:type="dxa"/>
                  <w:vMerge w:val="continue"/>
                  <w:tcBorders>
                    <w:tl2br w:val="nil"/>
                    <w:tr2bl w:val="nil"/>
                  </w:tcBorders>
                  <w:vAlign w:val="center"/>
                </w:tcPr>
                <w:p>
                  <w:pPr>
                    <w:jc w:val="center"/>
                    <w:rPr>
                      <w:i/>
                      <w:iCs/>
                      <w:sz w:val="18"/>
                      <w:szCs w:val="18"/>
                      <w:u w:val="single"/>
                    </w:rPr>
                  </w:pPr>
                </w:p>
              </w:tc>
              <w:tc>
                <w:tcPr>
                  <w:tcW w:w="1442" w:type="dxa"/>
                  <w:tcBorders>
                    <w:tl2br w:val="nil"/>
                    <w:tr2bl w:val="nil"/>
                  </w:tcBorders>
                  <w:vAlign w:val="center"/>
                </w:tcPr>
                <w:p>
                  <w:pPr>
                    <w:jc w:val="center"/>
                    <w:rPr>
                      <w:i/>
                      <w:iCs/>
                      <w:sz w:val="18"/>
                      <w:szCs w:val="18"/>
                      <w:u w:val="single"/>
                    </w:rPr>
                  </w:pPr>
                  <w:r>
                    <w:rPr>
                      <w:rFonts w:hint="eastAsia"/>
                      <w:i/>
                      <w:iCs/>
                      <w:sz w:val="18"/>
                      <w:szCs w:val="18"/>
                      <w:u w:val="single"/>
                    </w:rPr>
                    <w:t>风机</w:t>
                  </w:r>
                </w:p>
              </w:tc>
              <w:tc>
                <w:tcPr>
                  <w:tcW w:w="846" w:type="dxa"/>
                  <w:tcBorders>
                    <w:tl2br w:val="nil"/>
                    <w:tr2bl w:val="nil"/>
                  </w:tcBorders>
                  <w:vAlign w:val="center"/>
                </w:tcPr>
                <w:p>
                  <w:pPr>
                    <w:jc w:val="center"/>
                    <w:rPr>
                      <w:i/>
                      <w:iCs/>
                      <w:sz w:val="18"/>
                      <w:szCs w:val="18"/>
                      <w:u w:val="single"/>
                    </w:rPr>
                  </w:pPr>
                  <w:r>
                    <w:rPr>
                      <w:rFonts w:hint="eastAsia"/>
                      <w:i/>
                      <w:iCs/>
                      <w:sz w:val="18"/>
                      <w:szCs w:val="18"/>
                      <w:u w:val="single"/>
                    </w:rPr>
                    <w:t>80~85</w:t>
                  </w:r>
                </w:p>
              </w:tc>
              <w:tc>
                <w:tcPr>
                  <w:tcW w:w="750" w:type="dxa"/>
                  <w:vMerge w:val="continue"/>
                  <w:tcBorders>
                    <w:tl2br w:val="nil"/>
                    <w:tr2bl w:val="nil"/>
                  </w:tcBorders>
                  <w:vAlign w:val="center"/>
                </w:tcPr>
                <w:p>
                  <w:pPr>
                    <w:jc w:val="center"/>
                    <w:rPr>
                      <w:i/>
                      <w:iCs/>
                      <w:sz w:val="18"/>
                      <w:szCs w:val="18"/>
                      <w:u w:val="single"/>
                    </w:rPr>
                  </w:pPr>
                </w:p>
              </w:tc>
              <w:tc>
                <w:tcPr>
                  <w:tcW w:w="546" w:type="dxa"/>
                  <w:tcBorders>
                    <w:tl2br w:val="nil"/>
                    <w:tr2bl w:val="nil"/>
                  </w:tcBorders>
                  <w:vAlign w:val="center"/>
                </w:tcPr>
                <w:p>
                  <w:pPr>
                    <w:jc w:val="center"/>
                    <w:rPr>
                      <w:i/>
                      <w:iCs/>
                      <w:sz w:val="18"/>
                      <w:szCs w:val="18"/>
                      <w:u w:val="single"/>
                    </w:rPr>
                  </w:pPr>
                  <w:r>
                    <w:rPr>
                      <w:rFonts w:hint="eastAsia"/>
                      <w:i/>
                      <w:iCs/>
                      <w:sz w:val="18"/>
                      <w:szCs w:val="18"/>
                      <w:u w:val="single"/>
                    </w:rPr>
                    <w:t>15</w:t>
                  </w:r>
                </w:p>
              </w:tc>
              <w:tc>
                <w:tcPr>
                  <w:tcW w:w="544" w:type="dxa"/>
                  <w:tcBorders>
                    <w:tl2br w:val="nil"/>
                    <w:tr2bl w:val="nil"/>
                  </w:tcBorders>
                  <w:vAlign w:val="center"/>
                </w:tcPr>
                <w:p>
                  <w:pPr>
                    <w:jc w:val="center"/>
                    <w:rPr>
                      <w:i/>
                      <w:iCs/>
                      <w:sz w:val="18"/>
                      <w:szCs w:val="18"/>
                      <w:u w:val="single"/>
                    </w:rPr>
                  </w:pPr>
                  <w:r>
                    <w:rPr>
                      <w:rFonts w:hint="eastAsia"/>
                      <w:i/>
                      <w:iCs/>
                      <w:sz w:val="18"/>
                      <w:szCs w:val="18"/>
                      <w:u w:val="single"/>
                    </w:rPr>
                    <w:t>7</w:t>
                  </w:r>
                </w:p>
              </w:tc>
              <w:tc>
                <w:tcPr>
                  <w:tcW w:w="574" w:type="dxa"/>
                  <w:tcBorders>
                    <w:tl2br w:val="nil"/>
                    <w:tr2bl w:val="nil"/>
                  </w:tcBorders>
                  <w:vAlign w:val="center"/>
                </w:tcPr>
                <w:p>
                  <w:pPr>
                    <w:jc w:val="center"/>
                    <w:rPr>
                      <w:i/>
                      <w:iCs/>
                      <w:sz w:val="18"/>
                      <w:szCs w:val="18"/>
                      <w:u w:val="single"/>
                    </w:rPr>
                  </w:pPr>
                  <w:r>
                    <w:rPr>
                      <w:rFonts w:hint="eastAsia"/>
                      <w:i/>
                      <w:iCs/>
                      <w:sz w:val="18"/>
                      <w:szCs w:val="18"/>
                      <w:u w:val="single"/>
                    </w:rPr>
                    <w:t>1</w:t>
                  </w:r>
                </w:p>
              </w:tc>
              <w:tc>
                <w:tcPr>
                  <w:tcW w:w="722" w:type="dxa"/>
                  <w:tcBorders>
                    <w:tl2br w:val="nil"/>
                    <w:tr2bl w:val="nil"/>
                  </w:tcBorders>
                  <w:vAlign w:val="center"/>
                </w:tcPr>
                <w:p>
                  <w:pPr>
                    <w:jc w:val="center"/>
                    <w:rPr>
                      <w:i/>
                      <w:iCs/>
                      <w:sz w:val="18"/>
                      <w:szCs w:val="18"/>
                      <w:u w:val="single"/>
                    </w:rPr>
                  </w:pPr>
                  <w:r>
                    <w:rPr>
                      <w:rFonts w:hint="eastAsia"/>
                      <w:i/>
                      <w:iCs/>
                      <w:sz w:val="18"/>
                      <w:szCs w:val="18"/>
                      <w:u w:val="single"/>
                    </w:rPr>
                    <w:t>68</w:t>
                  </w:r>
                  <w:r>
                    <w:rPr>
                      <w:i/>
                      <w:iCs/>
                      <w:sz w:val="18"/>
                      <w:szCs w:val="18"/>
                      <w:u w:val="single"/>
                    </w:rPr>
                    <w:t>.</w:t>
                  </w:r>
                  <w:r>
                    <w:rPr>
                      <w:rFonts w:hint="eastAsia"/>
                      <w:i/>
                      <w:iCs/>
                      <w:sz w:val="18"/>
                      <w:szCs w:val="18"/>
                      <w:u w:val="single"/>
                    </w:rPr>
                    <w:t>10</w:t>
                  </w:r>
                </w:p>
              </w:tc>
              <w:tc>
                <w:tcPr>
                  <w:tcW w:w="573" w:type="dxa"/>
                  <w:vMerge w:val="continue"/>
                  <w:tcBorders>
                    <w:tl2br w:val="nil"/>
                    <w:tr2bl w:val="nil"/>
                  </w:tcBorders>
                  <w:vAlign w:val="center"/>
                </w:tcPr>
                <w:p>
                  <w:pPr>
                    <w:jc w:val="center"/>
                    <w:rPr>
                      <w:i/>
                      <w:iCs/>
                      <w:sz w:val="18"/>
                      <w:szCs w:val="18"/>
                      <w:u w:val="single"/>
                    </w:rPr>
                  </w:pPr>
                </w:p>
              </w:tc>
              <w:tc>
                <w:tcPr>
                  <w:tcW w:w="735" w:type="dxa"/>
                  <w:vMerge w:val="continue"/>
                  <w:tcBorders>
                    <w:tl2br w:val="nil"/>
                    <w:tr2bl w:val="nil"/>
                  </w:tcBorders>
                  <w:vAlign w:val="center"/>
                </w:tcPr>
                <w:p>
                  <w:pPr>
                    <w:jc w:val="center"/>
                    <w:rPr>
                      <w:i/>
                      <w:iCs/>
                      <w:sz w:val="18"/>
                      <w:szCs w:val="18"/>
                      <w:u w:val="single"/>
                    </w:rPr>
                  </w:pPr>
                </w:p>
              </w:tc>
              <w:tc>
                <w:tcPr>
                  <w:tcW w:w="650" w:type="dxa"/>
                  <w:tcBorders>
                    <w:tl2br w:val="nil"/>
                    <w:tr2bl w:val="nil"/>
                  </w:tcBorders>
                  <w:vAlign w:val="center"/>
                </w:tcPr>
                <w:p>
                  <w:pPr>
                    <w:jc w:val="center"/>
                    <w:rPr>
                      <w:i/>
                      <w:iCs/>
                      <w:sz w:val="18"/>
                      <w:szCs w:val="18"/>
                      <w:u w:val="single"/>
                    </w:rPr>
                  </w:pPr>
                  <w:r>
                    <w:rPr>
                      <w:rFonts w:hint="eastAsia"/>
                      <w:i/>
                      <w:iCs/>
                      <w:sz w:val="18"/>
                      <w:szCs w:val="18"/>
                      <w:u w:val="single"/>
                    </w:rPr>
                    <w:t>53.10</w:t>
                  </w:r>
                </w:p>
              </w:tc>
              <w:tc>
                <w:tcPr>
                  <w:tcW w:w="532" w:type="dxa"/>
                  <w:tcBorders>
                    <w:tl2br w:val="nil"/>
                    <w:tr2bl w:val="nil"/>
                  </w:tcBorders>
                  <w:vAlign w:val="center"/>
                </w:tcPr>
                <w:p>
                  <w:pPr>
                    <w:jc w:val="center"/>
                    <w:rPr>
                      <w:i/>
                      <w:iCs/>
                      <w:sz w:val="18"/>
                      <w:szCs w:val="18"/>
                      <w:u w:val="single"/>
                    </w:rPr>
                  </w:pPr>
                  <w:r>
                    <w:rPr>
                      <w:i/>
                      <w:iCs/>
                      <w:sz w:val="18"/>
                      <w:szCs w:val="18"/>
                      <w:u w:val="single"/>
                    </w:rPr>
                    <w:t>1</w:t>
                  </w:r>
                </w:p>
              </w:tc>
            </w:tr>
            <w:tr>
              <w:trPr>
                <w:trHeight w:val="90" w:hRule="atLeast"/>
                <w:jc w:val="center"/>
              </w:trPr>
              <w:tc>
                <w:tcPr>
                  <w:tcW w:w="481" w:type="dxa"/>
                  <w:vMerge w:val="continue"/>
                  <w:tcBorders>
                    <w:tl2br w:val="nil"/>
                    <w:tr2bl w:val="nil"/>
                  </w:tcBorders>
                  <w:vAlign w:val="center"/>
                </w:tcPr>
                <w:p>
                  <w:pPr>
                    <w:jc w:val="center"/>
                    <w:rPr>
                      <w:i/>
                      <w:iCs/>
                      <w:sz w:val="18"/>
                      <w:szCs w:val="18"/>
                      <w:u w:val="single"/>
                    </w:rPr>
                  </w:pPr>
                </w:p>
              </w:tc>
              <w:tc>
                <w:tcPr>
                  <w:tcW w:w="1442" w:type="dxa"/>
                  <w:tcBorders>
                    <w:tl2br w:val="nil"/>
                    <w:tr2bl w:val="nil"/>
                  </w:tcBorders>
                  <w:vAlign w:val="center"/>
                </w:tcPr>
                <w:p>
                  <w:pPr>
                    <w:jc w:val="center"/>
                    <w:rPr>
                      <w:i/>
                      <w:iCs/>
                      <w:sz w:val="18"/>
                      <w:szCs w:val="18"/>
                      <w:u w:val="single"/>
                    </w:rPr>
                  </w:pPr>
                  <w:r>
                    <w:rPr>
                      <w:rFonts w:hint="eastAsia"/>
                      <w:i/>
                      <w:iCs/>
                      <w:sz w:val="18"/>
                      <w:szCs w:val="18"/>
                      <w:u w:val="single"/>
                    </w:rPr>
                    <w:t>风机</w:t>
                  </w:r>
                </w:p>
              </w:tc>
              <w:tc>
                <w:tcPr>
                  <w:tcW w:w="846" w:type="dxa"/>
                  <w:tcBorders>
                    <w:tl2br w:val="nil"/>
                    <w:tr2bl w:val="nil"/>
                  </w:tcBorders>
                  <w:vAlign w:val="center"/>
                </w:tcPr>
                <w:p>
                  <w:pPr>
                    <w:jc w:val="center"/>
                    <w:rPr>
                      <w:i/>
                      <w:iCs/>
                      <w:sz w:val="18"/>
                      <w:szCs w:val="18"/>
                      <w:u w:val="single"/>
                    </w:rPr>
                  </w:pPr>
                  <w:r>
                    <w:rPr>
                      <w:rFonts w:hint="eastAsia"/>
                      <w:i/>
                      <w:iCs/>
                      <w:sz w:val="18"/>
                      <w:szCs w:val="18"/>
                      <w:u w:val="single"/>
                    </w:rPr>
                    <w:t>80~85</w:t>
                  </w:r>
                </w:p>
              </w:tc>
              <w:tc>
                <w:tcPr>
                  <w:tcW w:w="750" w:type="dxa"/>
                  <w:vMerge w:val="continue"/>
                  <w:tcBorders>
                    <w:tl2br w:val="nil"/>
                    <w:tr2bl w:val="nil"/>
                  </w:tcBorders>
                  <w:vAlign w:val="center"/>
                </w:tcPr>
                <w:p>
                  <w:pPr>
                    <w:jc w:val="center"/>
                    <w:rPr>
                      <w:i/>
                      <w:iCs/>
                      <w:sz w:val="18"/>
                      <w:szCs w:val="18"/>
                      <w:u w:val="single"/>
                    </w:rPr>
                  </w:pPr>
                </w:p>
              </w:tc>
              <w:tc>
                <w:tcPr>
                  <w:tcW w:w="546" w:type="dxa"/>
                  <w:tcBorders>
                    <w:tl2br w:val="nil"/>
                    <w:tr2bl w:val="nil"/>
                  </w:tcBorders>
                  <w:vAlign w:val="center"/>
                </w:tcPr>
                <w:p>
                  <w:pPr>
                    <w:jc w:val="center"/>
                    <w:rPr>
                      <w:i/>
                      <w:iCs/>
                      <w:sz w:val="18"/>
                      <w:szCs w:val="18"/>
                      <w:u w:val="single"/>
                    </w:rPr>
                  </w:pPr>
                  <w:r>
                    <w:rPr>
                      <w:rFonts w:hint="eastAsia"/>
                      <w:i/>
                      <w:iCs/>
                      <w:sz w:val="18"/>
                      <w:szCs w:val="18"/>
                      <w:u w:val="single"/>
                    </w:rPr>
                    <w:t>16</w:t>
                  </w:r>
                </w:p>
              </w:tc>
              <w:tc>
                <w:tcPr>
                  <w:tcW w:w="544" w:type="dxa"/>
                  <w:tcBorders>
                    <w:tl2br w:val="nil"/>
                    <w:tr2bl w:val="nil"/>
                  </w:tcBorders>
                  <w:vAlign w:val="center"/>
                </w:tcPr>
                <w:p>
                  <w:pPr>
                    <w:jc w:val="center"/>
                    <w:rPr>
                      <w:i/>
                      <w:iCs/>
                      <w:sz w:val="18"/>
                      <w:szCs w:val="18"/>
                      <w:u w:val="single"/>
                    </w:rPr>
                  </w:pPr>
                  <w:r>
                    <w:rPr>
                      <w:rFonts w:hint="eastAsia"/>
                      <w:i/>
                      <w:iCs/>
                      <w:sz w:val="18"/>
                      <w:szCs w:val="18"/>
                      <w:u w:val="single"/>
                    </w:rPr>
                    <w:t>7</w:t>
                  </w:r>
                </w:p>
              </w:tc>
              <w:tc>
                <w:tcPr>
                  <w:tcW w:w="574" w:type="dxa"/>
                  <w:tcBorders>
                    <w:tl2br w:val="nil"/>
                    <w:tr2bl w:val="nil"/>
                  </w:tcBorders>
                  <w:vAlign w:val="center"/>
                </w:tcPr>
                <w:p>
                  <w:pPr>
                    <w:jc w:val="center"/>
                    <w:rPr>
                      <w:i/>
                      <w:iCs/>
                      <w:sz w:val="18"/>
                      <w:szCs w:val="18"/>
                      <w:u w:val="single"/>
                    </w:rPr>
                  </w:pPr>
                  <w:r>
                    <w:rPr>
                      <w:rFonts w:hint="eastAsia"/>
                      <w:i/>
                      <w:iCs/>
                      <w:sz w:val="18"/>
                      <w:szCs w:val="18"/>
                      <w:u w:val="single"/>
                    </w:rPr>
                    <w:t>1</w:t>
                  </w:r>
                </w:p>
              </w:tc>
              <w:tc>
                <w:tcPr>
                  <w:tcW w:w="722" w:type="dxa"/>
                  <w:tcBorders>
                    <w:tl2br w:val="nil"/>
                    <w:tr2bl w:val="nil"/>
                  </w:tcBorders>
                  <w:vAlign w:val="center"/>
                </w:tcPr>
                <w:p>
                  <w:pPr>
                    <w:jc w:val="center"/>
                    <w:rPr>
                      <w:i/>
                      <w:iCs/>
                      <w:sz w:val="18"/>
                      <w:szCs w:val="18"/>
                      <w:u w:val="single"/>
                    </w:rPr>
                  </w:pPr>
                  <w:r>
                    <w:rPr>
                      <w:rFonts w:hint="eastAsia"/>
                      <w:i/>
                      <w:iCs/>
                      <w:sz w:val="18"/>
                      <w:szCs w:val="18"/>
                      <w:u w:val="single"/>
                    </w:rPr>
                    <w:t>68</w:t>
                  </w:r>
                  <w:r>
                    <w:rPr>
                      <w:i/>
                      <w:iCs/>
                      <w:sz w:val="18"/>
                      <w:szCs w:val="18"/>
                      <w:u w:val="single"/>
                    </w:rPr>
                    <w:t>.</w:t>
                  </w:r>
                  <w:r>
                    <w:rPr>
                      <w:rFonts w:hint="eastAsia"/>
                      <w:i/>
                      <w:iCs/>
                      <w:sz w:val="18"/>
                      <w:szCs w:val="18"/>
                      <w:u w:val="single"/>
                    </w:rPr>
                    <w:t>10</w:t>
                  </w:r>
                </w:p>
              </w:tc>
              <w:tc>
                <w:tcPr>
                  <w:tcW w:w="573" w:type="dxa"/>
                  <w:vMerge w:val="continue"/>
                  <w:tcBorders>
                    <w:tl2br w:val="nil"/>
                    <w:tr2bl w:val="nil"/>
                  </w:tcBorders>
                  <w:vAlign w:val="center"/>
                </w:tcPr>
                <w:p>
                  <w:pPr>
                    <w:jc w:val="center"/>
                    <w:rPr>
                      <w:i/>
                      <w:iCs/>
                      <w:sz w:val="18"/>
                      <w:szCs w:val="18"/>
                      <w:u w:val="single"/>
                    </w:rPr>
                  </w:pPr>
                </w:p>
              </w:tc>
              <w:tc>
                <w:tcPr>
                  <w:tcW w:w="735" w:type="dxa"/>
                  <w:vMerge w:val="continue"/>
                  <w:tcBorders>
                    <w:tl2br w:val="nil"/>
                    <w:tr2bl w:val="nil"/>
                  </w:tcBorders>
                  <w:vAlign w:val="center"/>
                </w:tcPr>
                <w:p>
                  <w:pPr>
                    <w:jc w:val="center"/>
                    <w:rPr>
                      <w:i/>
                      <w:iCs/>
                      <w:sz w:val="18"/>
                      <w:szCs w:val="18"/>
                      <w:u w:val="single"/>
                    </w:rPr>
                  </w:pPr>
                </w:p>
              </w:tc>
              <w:tc>
                <w:tcPr>
                  <w:tcW w:w="650" w:type="dxa"/>
                  <w:tcBorders>
                    <w:tl2br w:val="nil"/>
                    <w:tr2bl w:val="nil"/>
                  </w:tcBorders>
                  <w:vAlign w:val="center"/>
                </w:tcPr>
                <w:p>
                  <w:pPr>
                    <w:jc w:val="center"/>
                    <w:rPr>
                      <w:i/>
                      <w:iCs/>
                      <w:sz w:val="18"/>
                      <w:szCs w:val="18"/>
                      <w:u w:val="single"/>
                    </w:rPr>
                  </w:pPr>
                  <w:r>
                    <w:rPr>
                      <w:rFonts w:hint="eastAsia"/>
                      <w:i/>
                      <w:iCs/>
                      <w:sz w:val="18"/>
                      <w:szCs w:val="18"/>
                      <w:u w:val="single"/>
                    </w:rPr>
                    <w:t>53.10</w:t>
                  </w:r>
                </w:p>
              </w:tc>
              <w:tc>
                <w:tcPr>
                  <w:tcW w:w="532" w:type="dxa"/>
                  <w:tcBorders>
                    <w:tl2br w:val="nil"/>
                    <w:tr2bl w:val="nil"/>
                  </w:tcBorders>
                  <w:vAlign w:val="center"/>
                </w:tcPr>
                <w:p>
                  <w:pPr>
                    <w:jc w:val="center"/>
                    <w:rPr>
                      <w:i/>
                      <w:iCs/>
                      <w:sz w:val="18"/>
                      <w:szCs w:val="18"/>
                      <w:u w:val="single"/>
                    </w:rPr>
                  </w:pPr>
                  <w:r>
                    <w:rPr>
                      <w:rFonts w:hint="eastAsia"/>
                      <w:i/>
                      <w:iCs/>
                      <w:sz w:val="18"/>
                      <w:szCs w:val="18"/>
                      <w:u w:val="single"/>
                    </w:rPr>
                    <w:t>1</w:t>
                  </w:r>
                </w:p>
              </w:tc>
            </w:tr>
            <w:tr>
              <w:trPr>
                <w:trHeight w:val="90" w:hRule="atLeast"/>
                <w:jc w:val="center"/>
              </w:trPr>
              <w:tc>
                <w:tcPr>
                  <w:tcW w:w="481" w:type="dxa"/>
                  <w:vMerge w:val="continue"/>
                  <w:tcBorders>
                    <w:tl2br w:val="nil"/>
                    <w:tr2bl w:val="nil"/>
                  </w:tcBorders>
                  <w:vAlign w:val="center"/>
                </w:tcPr>
                <w:p>
                  <w:pPr>
                    <w:jc w:val="center"/>
                    <w:rPr>
                      <w:i/>
                      <w:iCs/>
                      <w:sz w:val="18"/>
                      <w:szCs w:val="18"/>
                      <w:u w:val="single"/>
                    </w:rPr>
                  </w:pPr>
                </w:p>
              </w:tc>
              <w:tc>
                <w:tcPr>
                  <w:tcW w:w="1442" w:type="dxa"/>
                  <w:tcBorders>
                    <w:tl2br w:val="nil"/>
                    <w:tr2bl w:val="nil"/>
                  </w:tcBorders>
                  <w:vAlign w:val="center"/>
                </w:tcPr>
                <w:p>
                  <w:pPr>
                    <w:jc w:val="center"/>
                    <w:rPr>
                      <w:i/>
                      <w:iCs/>
                      <w:sz w:val="18"/>
                      <w:szCs w:val="18"/>
                      <w:u w:val="single"/>
                    </w:rPr>
                  </w:pPr>
                  <w:r>
                    <w:rPr>
                      <w:rFonts w:hint="eastAsia"/>
                      <w:i/>
                      <w:iCs/>
                      <w:sz w:val="18"/>
                      <w:szCs w:val="18"/>
                      <w:u w:val="single"/>
                    </w:rPr>
                    <w:t>空压机</w:t>
                  </w:r>
                </w:p>
              </w:tc>
              <w:tc>
                <w:tcPr>
                  <w:tcW w:w="846" w:type="dxa"/>
                  <w:tcBorders>
                    <w:tl2br w:val="nil"/>
                    <w:tr2bl w:val="nil"/>
                  </w:tcBorders>
                  <w:vAlign w:val="center"/>
                </w:tcPr>
                <w:p>
                  <w:pPr>
                    <w:jc w:val="center"/>
                    <w:rPr>
                      <w:i/>
                      <w:iCs/>
                      <w:sz w:val="18"/>
                      <w:szCs w:val="18"/>
                      <w:u w:val="single"/>
                    </w:rPr>
                  </w:pPr>
                  <w:r>
                    <w:rPr>
                      <w:rFonts w:hint="eastAsia"/>
                      <w:i/>
                      <w:iCs/>
                      <w:sz w:val="18"/>
                      <w:szCs w:val="18"/>
                      <w:u w:val="single"/>
                    </w:rPr>
                    <w:t>75~80</w:t>
                  </w:r>
                </w:p>
              </w:tc>
              <w:tc>
                <w:tcPr>
                  <w:tcW w:w="750" w:type="dxa"/>
                  <w:vMerge w:val="continue"/>
                  <w:tcBorders>
                    <w:tl2br w:val="nil"/>
                    <w:tr2bl w:val="nil"/>
                  </w:tcBorders>
                  <w:vAlign w:val="center"/>
                </w:tcPr>
                <w:p>
                  <w:pPr>
                    <w:jc w:val="center"/>
                    <w:rPr>
                      <w:i/>
                      <w:iCs/>
                      <w:sz w:val="18"/>
                      <w:szCs w:val="18"/>
                      <w:u w:val="single"/>
                    </w:rPr>
                  </w:pPr>
                </w:p>
              </w:tc>
              <w:tc>
                <w:tcPr>
                  <w:tcW w:w="546" w:type="dxa"/>
                  <w:tcBorders>
                    <w:tl2br w:val="nil"/>
                    <w:tr2bl w:val="nil"/>
                  </w:tcBorders>
                  <w:vAlign w:val="center"/>
                </w:tcPr>
                <w:p>
                  <w:pPr>
                    <w:jc w:val="center"/>
                    <w:rPr>
                      <w:i/>
                      <w:iCs/>
                      <w:sz w:val="18"/>
                      <w:szCs w:val="18"/>
                      <w:u w:val="single"/>
                    </w:rPr>
                  </w:pPr>
                  <w:r>
                    <w:rPr>
                      <w:rFonts w:hint="eastAsia"/>
                      <w:i/>
                      <w:iCs/>
                      <w:sz w:val="18"/>
                      <w:szCs w:val="18"/>
                      <w:u w:val="single"/>
                    </w:rPr>
                    <w:t>17</w:t>
                  </w:r>
                </w:p>
              </w:tc>
              <w:tc>
                <w:tcPr>
                  <w:tcW w:w="544" w:type="dxa"/>
                  <w:tcBorders>
                    <w:tl2br w:val="nil"/>
                    <w:tr2bl w:val="nil"/>
                  </w:tcBorders>
                  <w:vAlign w:val="center"/>
                </w:tcPr>
                <w:p>
                  <w:pPr>
                    <w:jc w:val="center"/>
                    <w:rPr>
                      <w:i/>
                      <w:iCs/>
                      <w:sz w:val="18"/>
                      <w:szCs w:val="18"/>
                      <w:u w:val="single"/>
                    </w:rPr>
                  </w:pPr>
                  <w:r>
                    <w:rPr>
                      <w:rFonts w:hint="eastAsia"/>
                      <w:i/>
                      <w:iCs/>
                      <w:sz w:val="18"/>
                      <w:szCs w:val="18"/>
                      <w:u w:val="single"/>
                    </w:rPr>
                    <w:t>5</w:t>
                  </w:r>
                </w:p>
              </w:tc>
              <w:tc>
                <w:tcPr>
                  <w:tcW w:w="574" w:type="dxa"/>
                  <w:tcBorders>
                    <w:tl2br w:val="nil"/>
                    <w:tr2bl w:val="nil"/>
                  </w:tcBorders>
                  <w:vAlign w:val="center"/>
                </w:tcPr>
                <w:p>
                  <w:pPr>
                    <w:jc w:val="center"/>
                    <w:rPr>
                      <w:i/>
                      <w:iCs/>
                      <w:sz w:val="18"/>
                      <w:szCs w:val="18"/>
                      <w:u w:val="single"/>
                    </w:rPr>
                  </w:pPr>
                  <w:r>
                    <w:rPr>
                      <w:rFonts w:hint="eastAsia"/>
                      <w:i/>
                      <w:iCs/>
                      <w:sz w:val="18"/>
                      <w:szCs w:val="18"/>
                      <w:u w:val="single"/>
                    </w:rPr>
                    <w:t>1</w:t>
                  </w:r>
                </w:p>
              </w:tc>
              <w:tc>
                <w:tcPr>
                  <w:tcW w:w="722" w:type="dxa"/>
                  <w:tcBorders>
                    <w:tl2br w:val="nil"/>
                    <w:tr2bl w:val="nil"/>
                  </w:tcBorders>
                  <w:vAlign w:val="center"/>
                </w:tcPr>
                <w:p>
                  <w:pPr>
                    <w:jc w:val="center"/>
                    <w:rPr>
                      <w:i/>
                      <w:iCs/>
                      <w:sz w:val="18"/>
                      <w:szCs w:val="18"/>
                      <w:u w:val="single"/>
                    </w:rPr>
                  </w:pPr>
                  <w:r>
                    <w:rPr>
                      <w:i/>
                      <w:iCs/>
                      <w:sz w:val="18"/>
                      <w:szCs w:val="18"/>
                      <w:u w:val="single"/>
                    </w:rPr>
                    <w:t>66.02</w:t>
                  </w:r>
                </w:p>
              </w:tc>
              <w:tc>
                <w:tcPr>
                  <w:tcW w:w="573" w:type="dxa"/>
                  <w:vMerge w:val="continue"/>
                  <w:tcBorders>
                    <w:tl2br w:val="nil"/>
                    <w:tr2bl w:val="nil"/>
                  </w:tcBorders>
                  <w:vAlign w:val="center"/>
                </w:tcPr>
                <w:p>
                  <w:pPr>
                    <w:jc w:val="center"/>
                    <w:rPr>
                      <w:i/>
                      <w:iCs/>
                      <w:sz w:val="18"/>
                      <w:szCs w:val="18"/>
                      <w:u w:val="single"/>
                    </w:rPr>
                  </w:pPr>
                </w:p>
              </w:tc>
              <w:tc>
                <w:tcPr>
                  <w:tcW w:w="735" w:type="dxa"/>
                  <w:vMerge w:val="continue"/>
                  <w:tcBorders>
                    <w:tl2br w:val="nil"/>
                    <w:tr2bl w:val="nil"/>
                  </w:tcBorders>
                  <w:vAlign w:val="center"/>
                </w:tcPr>
                <w:p>
                  <w:pPr>
                    <w:jc w:val="center"/>
                    <w:rPr>
                      <w:i/>
                      <w:iCs/>
                      <w:sz w:val="18"/>
                      <w:szCs w:val="18"/>
                      <w:u w:val="single"/>
                    </w:rPr>
                  </w:pPr>
                </w:p>
              </w:tc>
              <w:tc>
                <w:tcPr>
                  <w:tcW w:w="650" w:type="dxa"/>
                  <w:tcBorders>
                    <w:tl2br w:val="nil"/>
                    <w:tr2bl w:val="nil"/>
                  </w:tcBorders>
                  <w:vAlign w:val="center"/>
                </w:tcPr>
                <w:p>
                  <w:pPr>
                    <w:jc w:val="center"/>
                    <w:rPr>
                      <w:i/>
                      <w:iCs/>
                      <w:sz w:val="18"/>
                      <w:szCs w:val="18"/>
                      <w:u w:val="single"/>
                    </w:rPr>
                  </w:pPr>
                  <w:r>
                    <w:rPr>
                      <w:rFonts w:hint="eastAsia"/>
                      <w:i/>
                      <w:iCs/>
                      <w:sz w:val="18"/>
                      <w:szCs w:val="18"/>
                      <w:u w:val="single"/>
                    </w:rPr>
                    <w:t>51.02</w:t>
                  </w:r>
                </w:p>
              </w:tc>
              <w:tc>
                <w:tcPr>
                  <w:tcW w:w="532" w:type="dxa"/>
                  <w:tcBorders>
                    <w:tl2br w:val="nil"/>
                    <w:tr2bl w:val="nil"/>
                  </w:tcBorders>
                  <w:vAlign w:val="center"/>
                </w:tcPr>
                <w:p>
                  <w:pPr>
                    <w:jc w:val="center"/>
                    <w:rPr>
                      <w:i/>
                      <w:iCs/>
                      <w:sz w:val="18"/>
                      <w:szCs w:val="18"/>
                      <w:u w:val="single"/>
                    </w:rPr>
                  </w:pPr>
                  <w:r>
                    <w:rPr>
                      <w:rFonts w:hint="eastAsia"/>
                      <w:i/>
                      <w:iCs/>
                      <w:sz w:val="18"/>
                      <w:szCs w:val="18"/>
                      <w:u w:val="single"/>
                    </w:rPr>
                    <w:t>1</w:t>
                  </w:r>
                </w:p>
              </w:tc>
            </w:tr>
          </w:tbl>
          <w:p>
            <w:pPr>
              <w:pStyle w:val="33"/>
              <w:ind w:firstLine="360" w:firstLineChars="150"/>
              <w:jc w:val="both"/>
              <w:rPr>
                <w:i/>
                <w:iCs/>
                <w:u w:val="single"/>
              </w:rPr>
            </w:pPr>
            <w:r>
              <w:rPr>
                <w:i/>
                <w:iCs/>
                <w:u w:val="single"/>
              </w:rPr>
              <w:t>（</w:t>
            </w:r>
            <w:r>
              <w:rPr>
                <w:rFonts w:hint="eastAsia"/>
                <w:i/>
                <w:iCs/>
                <w:u w:val="single"/>
              </w:rPr>
              <w:t>2</w:t>
            </w:r>
            <w:r>
              <w:rPr>
                <w:i/>
                <w:iCs/>
                <w:u w:val="single"/>
              </w:rPr>
              <w:t>）预测</w:t>
            </w:r>
            <w:r>
              <w:rPr>
                <w:rFonts w:hint="eastAsia"/>
                <w:i/>
                <w:iCs/>
                <w:u w:val="single"/>
              </w:rPr>
              <w:t>模式</w:t>
            </w:r>
          </w:p>
          <w:p>
            <w:pPr>
              <w:pStyle w:val="2"/>
              <w:widowControl/>
              <w:tabs>
                <w:tab w:val="left" w:pos="0"/>
                <w:tab w:val="left" w:pos="1260"/>
              </w:tabs>
              <w:spacing w:line="360" w:lineRule="auto"/>
              <w:ind w:firstLine="480" w:firstLineChars="200"/>
              <w:rPr>
                <w:i/>
                <w:iCs/>
                <w:sz w:val="24"/>
                <w:u w:val="single"/>
              </w:rPr>
            </w:pPr>
            <w:r>
              <w:rPr>
                <w:rFonts w:hint="eastAsia"/>
                <w:i/>
                <w:iCs/>
                <w:sz w:val="24"/>
                <w:u w:val="single"/>
              </w:rPr>
              <w:t>噪声预测方法采用《环境影响评价技术导则-声环境》（HJ2.4-2021）推荐的模式，根据已获得的声源源强的数据和各声源到预测点的传播条件资料，计算出噪声从各声源传播到预测点声衰减量，由此计算出各声源单独作用在预测点时产生的等效声级。</w:t>
            </w:r>
          </w:p>
          <w:p>
            <w:pPr>
              <w:ind w:firstLine="480" w:firstLineChars="200"/>
              <w:rPr>
                <w:i/>
                <w:iCs/>
                <w:sz w:val="24"/>
                <w:u w:val="single"/>
              </w:rPr>
            </w:pPr>
            <w:r>
              <w:rPr>
                <w:i/>
                <w:iCs/>
                <w:sz w:val="24"/>
                <w:u w:val="single"/>
              </w:rPr>
              <w:t>点声源几何发散衰减公式</w:t>
            </w:r>
          </w:p>
          <w:p>
            <w:pPr>
              <w:ind w:firstLine="960" w:firstLineChars="400"/>
              <w:rPr>
                <w:i/>
                <w:iCs/>
                <w:sz w:val="24"/>
                <w:u w:val="single"/>
              </w:rPr>
            </w:pPr>
            <w:r>
              <w:rPr>
                <w:i/>
                <w:iCs/>
                <w:sz w:val="24"/>
                <w:u w:val="single"/>
              </w:rPr>
              <w:t>；封闭厂房围护隔声；近距离忽略大气吸收、地面衰减。</w:t>
            </w:r>
            <w:r>
              <w:rPr>
                <w:i/>
                <w:iCs/>
                <w:sz w:val="24"/>
                <w:u w:val="single"/>
              </w:rPr>
              <w:br/>
            </w:r>
            <w:r>
              <w:rPr>
                <w:rFonts w:hint="eastAsia"/>
                <w:i/>
                <w:iCs/>
                <w:sz w:val="24"/>
                <w:u w:val="single"/>
              </w:rPr>
              <w:t xml:space="preserve">  </w:t>
            </w:r>
            <w:r>
              <w:rPr>
                <w:i/>
                <w:iCs/>
                <w:sz w:val="24"/>
                <w:u w:val="single"/>
              </w:rPr>
              <w:t>多声源叠加公式：</w:t>
            </w:r>
          </w:p>
          <w:p>
            <w:pPr>
              <w:ind w:firstLine="960" w:firstLineChars="400"/>
              <w:rPr>
                <w:i/>
                <w:iCs/>
                <w:sz w:val="24"/>
                <w:u w:val="single"/>
              </w:rPr>
            </w:pPr>
            <w:r>
              <w:rPr>
                <w:rFonts w:hint="eastAsia" w:hAnsi="Arial" w:eastAsia="等线" w:cs="Arial"/>
                <w:i/>
                <w:iCs/>
                <w:sz w:val="22"/>
                <w:u w:val="single"/>
              </w:rPr>
              <w:t xml:space="preserve">   </w:t>
            </w:r>
            <w:r>
              <w:rPr>
                <w:i/>
                <w:iCs/>
                <w:sz w:val="24"/>
                <w:u w:val="single"/>
              </w:rPr>
              <w:t>（</w:t>
            </w:r>
            <w:r>
              <w:rPr>
                <w:rFonts w:hint="eastAsia"/>
                <w:i/>
                <w:iCs/>
                <w:sz w:val="24"/>
                <w:u w:val="single"/>
              </w:rPr>
              <w:t>3</w:t>
            </w:r>
            <w:r>
              <w:rPr>
                <w:i/>
                <w:iCs/>
                <w:sz w:val="24"/>
                <w:u w:val="single"/>
              </w:rPr>
              <w:t>）预测结果</w:t>
            </w:r>
          </w:p>
          <w:p>
            <w:pPr>
              <w:spacing w:line="360" w:lineRule="auto"/>
              <w:ind w:firstLine="480" w:firstLineChars="200"/>
              <w:rPr>
                <w:bCs/>
                <w:i/>
                <w:iCs/>
                <w:snapToGrid w:val="0"/>
                <w:kern w:val="0"/>
                <w:sz w:val="24"/>
                <w:u w:val="single"/>
              </w:rPr>
            </w:pPr>
            <w:r>
              <w:rPr>
                <w:rFonts w:hint="eastAsia"/>
                <w:bCs/>
                <w:i/>
                <w:iCs/>
                <w:snapToGrid w:val="0"/>
                <w:kern w:val="0"/>
                <w:sz w:val="24"/>
                <w:u w:val="single"/>
              </w:rPr>
              <w:t>本项目噪声来源主要产生于各种生产设备，预测计算中只考虑主要噪声源所在车间围护效应和声源至受声点的距离衰减等主要衰减因子。根据经验估算，建筑隔声量一般在10～25dB(A)间，本项目取15dB(A)作为建筑墙壁实际隔声量，噪声源经消声、减振等措施后可降低10dB(A)，为了计算简单化，将主要噪声源看作点声源，点声源噪声值取53.9dB(A)，然后计算点声源经过衰减之后的贡献值。各噪声源距离厂界距离如下表。</w:t>
            </w:r>
          </w:p>
          <w:p>
            <w:pPr>
              <w:pStyle w:val="40"/>
              <w:adjustRightInd w:val="0"/>
              <w:snapToGrid w:val="0"/>
              <w:spacing w:line="240" w:lineRule="auto"/>
              <w:rPr>
                <w:bCs/>
                <w:i/>
                <w:iCs/>
                <w:szCs w:val="21"/>
                <w:u w:val="single"/>
              </w:rPr>
            </w:pPr>
          </w:p>
          <w:p>
            <w:pPr>
              <w:pStyle w:val="40"/>
              <w:adjustRightInd w:val="0"/>
              <w:snapToGrid w:val="0"/>
              <w:spacing w:line="240" w:lineRule="auto"/>
              <w:rPr>
                <w:bCs/>
                <w:i/>
                <w:iCs/>
                <w:szCs w:val="21"/>
                <w:u w:val="single"/>
              </w:rPr>
            </w:pPr>
            <w:r>
              <w:rPr>
                <w:rFonts w:hint="eastAsia" w:ascii="宋体" w:hAnsi="宋体" w:cs="宋体"/>
                <w:i/>
                <w:iCs/>
                <w:sz w:val="24"/>
                <w:szCs w:val="24"/>
                <w:u w:val="single"/>
              </w:rPr>
              <w:t xml:space="preserve">表4-10   各设备距离厂界距离一览表 </w:t>
            </w:r>
            <w:r>
              <w:rPr>
                <w:rFonts w:hint="eastAsia"/>
                <w:bCs/>
                <w:i/>
                <w:iCs/>
                <w:szCs w:val="21"/>
                <w:u w:val="single"/>
              </w:rPr>
              <w:t xml:space="preserve">    dB（A）</w:t>
            </w:r>
          </w:p>
          <w:tbl>
            <w:tblPr>
              <w:tblW w:w="8198"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517"/>
              <w:gridCol w:w="1618"/>
              <w:gridCol w:w="1212"/>
              <w:gridCol w:w="1212"/>
              <w:gridCol w:w="1213"/>
              <w:gridCol w:w="1213"/>
              <w:gridCol w:w="1213"/>
            </w:tblGrid>
            <w:tr>
              <w:tc>
                <w:tcPr>
                  <w:tcW w:w="517" w:type="dxa"/>
                  <w:vAlign w:val="top"/>
                </w:tcPr>
                <w:p>
                  <w:pPr>
                    <w:widowControl/>
                    <w:adjustRightInd w:val="0"/>
                    <w:snapToGrid w:val="0"/>
                    <w:spacing w:line="276" w:lineRule="auto"/>
                    <w:rPr>
                      <w:rFonts w:ascii="宋体" w:hAnsi="宋体" w:cs="宋体"/>
                      <w:b/>
                      <w:bCs/>
                      <w:i/>
                      <w:iCs/>
                      <w:kern w:val="0"/>
                      <w:sz w:val="21"/>
                      <w:szCs w:val="21"/>
                      <w:u w:val="single"/>
                    </w:rPr>
                  </w:pPr>
                  <w:r>
                    <w:rPr>
                      <w:rFonts w:hint="eastAsia" w:ascii="宋体" w:hAnsi="宋体"/>
                      <w:i/>
                      <w:iCs/>
                      <w:sz w:val="21"/>
                      <w:szCs w:val="21"/>
                      <w:u w:val="single"/>
                    </w:rPr>
                    <w:t>序号</w:t>
                  </w:r>
                </w:p>
              </w:tc>
              <w:tc>
                <w:tcPr>
                  <w:tcW w:w="1618" w:type="dxa"/>
                  <w:vAlign w:val="top"/>
                </w:tcPr>
                <w:p>
                  <w:pPr>
                    <w:widowControl/>
                    <w:adjustRightInd w:val="0"/>
                    <w:snapToGrid w:val="0"/>
                    <w:spacing w:line="276" w:lineRule="auto"/>
                    <w:rPr>
                      <w:rFonts w:ascii="宋体" w:hAnsi="宋体" w:cs="宋体"/>
                      <w:b/>
                      <w:bCs/>
                      <w:i/>
                      <w:iCs/>
                      <w:kern w:val="0"/>
                      <w:sz w:val="21"/>
                      <w:szCs w:val="21"/>
                      <w:u w:val="single"/>
                    </w:rPr>
                  </w:pPr>
                  <w:r>
                    <w:rPr>
                      <w:rFonts w:hint="eastAsia" w:ascii="宋体" w:hAnsi="宋体"/>
                      <w:i/>
                      <w:iCs/>
                      <w:sz w:val="21"/>
                      <w:szCs w:val="21"/>
                      <w:u w:val="single"/>
                    </w:rPr>
                    <w:t>噪声源名称</w:t>
                  </w:r>
                </w:p>
              </w:tc>
              <w:tc>
                <w:tcPr>
                  <w:tcW w:w="1212" w:type="dxa"/>
                  <w:vAlign w:val="top"/>
                </w:tcPr>
                <w:p>
                  <w:pPr>
                    <w:widowControl/>
                    <w:adjustRightInd w:val="0"/>
                    <w:snapToGrid w:val="0"/>
                    <w:spacing w:line="276" w:lineRule="auto"/>
                    <w:rPr>
                      <w:rFonts w:ascii="宋体" w:hAnsi="宋体" w:cs="宋体"/>
                      <w:b/>
                      <w:bCs/>
                      <w:i/>
                      <w:iCs/>
                      <w:kern w:val="0"/>
                      <w:sz w:val="21"/>
                      <w:szCs w:val="21"/>
                      <w:u w:val="single"/>
                    </w:rPr>
                  </w:pPr>
                  <w:r>
                    <w:rPr>
                      <w:rFonts w:hint="eastAsia" w:ascii="宋体" w:hAnsi="宋体"/>
                      <w:i/>
                      <w:iCs/>
                      <w:sz w:val="21"/>
                      <w:szCs w:val="21"/>
                      <w:u w:val="single"/>
                    </w:rPr>
                    <w:t>1m 处源强 dB (A)</w:t>
                  </w:r>
                </w:p>
              </w:tc>
              <w:tc>
                <w:tcPr>
                  <w:tcW w:w="1212" w:type="dxa"/>
                  <w:vAlign w:val="top"/>
                </w:tcPr>
                <w:p>
                  <w:pPr>
                    <w:widowControl/>
                    <w:adjustRightInd w:val="0"/>
                    <w:snapToGrid w:val="0"/>
                    <w:spacing w:line="276" w:lineRule="auto"/>
                    <w:rPr>
                      <w:rFonts w:ascii="宋体" w:hAnsi="宋体" w:cs="宋体"/>
                      <w:b/>
                      <w:bCs/>
                      <w:i/>
                      <w:iCs/>
                      <w:kern w:val="0"/>
                      <w:sz w:val="21"/>
                      <w:szCs w:val="21"/>
                      <w:u w:val="single"/>
                    </w:rPr>
                  </w:pPr>
                  <w:r>
                    <w:rPr>
                      <w:rFonts w:hint="eastAsia" w:ascii="宋体" w:hAnsi="宋体"/>
                      <w:i/>
                      <w:iCs/>
                      <w:sz w:val="21"/>
                      <w:szCs w:val="21"/>
                      <w:u w:val="single"/>
                    </w:rPr>
                    <w:t>距东侧厂界距离 (m)</w:t>
                  </w:r>
                </w:p>
              </w:tc>
              <w:tc>
                <w:tcPr>
                  <w:tcW w:w="1213" w:type="dxa"/>
                  <w:vAlign w:val="top"/>
                </w:tcPr>
                <w:p>
                  <w:pPr>
                    <w:widowControl/>
                    <w:adjustRightInd w:val="0"/>
                    <w:snapToGrid w:val="0"/>
                    <w:spacing w:line="276" w:lineRule="auto"/>
                    <w:rPr>
                      <w:rFonts w:ascii="宋体" w:hAnsi="宋体" w:cs="宋体"/>
                      <w:b/>
                      <w:bCs/>
                      <w:i/>
                      <w:iCs/>
                      <w:kern w:val="0"/>
                      <w:sz w:val="21"/>
                      <w:szCs w:val="21"/>
                      <w:u w:val="single"/>
                    </w:rPr>
                  </w:pPr>
                  <w:r>
                    <w:rPr>
                      <w:rFonts w:hint="eastAsia" w:ascii="宋体" w:hAnsi="宋体"/>
                      <w:i/>
                      <w:iCs/>
                      <w:sz w:val="21"/>
                      <w:szCs w:val="21"/>
                      <w:u w:val="single"/>
                    </w:rPr>
                    <w:t>距南侧厂界距离 (m)</w:t>
                  </w:r>
                </w:p>
              </w:tc>
              <w:tc>
                <w:tcPr>
                  <w:tcW w:w="1213" w:type="dxa"/>
                  <w:vAlign w:val="top"/>
                </w:tcPr>
                <w:p>
                  <w:pPr>
                    <w:widowControl/>
                    <w:adjustRightInd w:val="0"/>
                    <w:snapToGrid w:val="0"/>
                    <w:spacing w:line="276" w:lineRule="auto"/>
                    <w:rPr>
                      <w:rFonts w:ascii="宋体" w:hAnsi="宋体" w:cs="宋体"/>
                      <w:b/>
                      <w:bCs/>
                      <w:i/>
                      <w:iCs/>
                      <w:kern w:val="0"/>
                      <w:sz w:val="21"/>
                      <w:szCs w:val="21"/>
                      <w:u w:val="single"/>
                    </w:rPr>
                  </w:pPr>
                  <w:r>
                    <w:rPr>
                      <w:rFonts w:hint="eastAsia" w:ascii="宋体" w:hAnsi="宋体"/>
                      <w:i/>
                      <w:iCs/>
                      <w:sz w:val="21"/>
                      <w:szCs w:val="21"/>
                      <w:u w:val="single"/>
                    </w:rPr>
                    <w:t>距西侧厂界距离 (m)</w:t>
                  </w:r>
                </w:p>
              </w:tc>
              <w:tc>
                <w:tcPr>
                  <w:tcW w:w="1213" w:type="dxa"/>
                  <w:vAlign w:val="top"/>
                </w:tcPr>
                <w:p>
                  <w:pPr>
                    <w:widowControl/>
                    <w:adjustRightInd w:val="0"/>
                    <w:snapToGrid w:val="0"/>
                    <w:spacing w:line="276" w:lineRule="auto"/>
                    <w:rPr>
                      <w:rFonts w:ascii="宋体" w:hAnsi="宋体" w:cs="宋体"/>
                      <w:b/>
                      <w:bCs/>
                      <w:i/>
                      <w:iCs/>
                      <w:kern w:val="0"/>
                      <w:sz w:val="21"/>
                      <w:szCs w:val="21"/>
                      <w:u w:val="single"/>
                    </w:rPr>
                  </w:pPr>
                  <w:r>
                    <w:rPr>
                      <w:rFonts w:hint="eastAsia" w:ascii="宋体" w:hAnsi="宋体"/>
                      <w:i/>
                      <w:iCs/>
                      <w:sz w:val="21"/>
                      <w:szCs w:val="21"/>
                      <w:u w:val="single"/>
                    </w:rPr>
                    <w:t>距北侧厂界距离 (m)</w:t>
                  </w:r>
                </w:p>
              </w:tc>
            </w:tr>
            <w:tr>
              <w:tc>
                <w:tcPr>
                  <w:tcW w:w="517" w:type="dxa"/>
                  <w:vAlign w:val="top"/>
                </w:tcPr>
                <w:p>
                  <w:pPr>
                    <w:widowControl/>
                    <w:adjustRightInd w:val="0"/>
                    <w:snapToGrid w:val="0"/>
                    <w:spacing w:line="276" w:lineRule="auto"/>
                    <w:rPr>
                      <w:rFonts w:ascii="宋体" w:hAnsi="宋体" w:cs="宋体"/>
                      <w:i/>
                      <w:iCs/>
                      <w:kern w:val="0"/>
                      <w:sz w:val="21"/>
                      <w:szCs w:val="21"/>
                      <w:u w:val="single"/>
                    </w:rPr>
                  </w:pPr>
                  <w:r>
                    <w:rPr>
                      <w:rFonts w:hint="eastAsia" w:ascii="宋体" w:hAnsi="宋体"/>
                      <w:i/>
                      <w:iCs/>
                      <w:sz w:val="21"/>
                      <w:szCs w:val="21"/>
                      <w:u w:val="single"/>
                    </w:rPr>
                    <w:t>1</w:t>
                  </w:r>
                </w:p>
              </w:tc>
              <w:tc>
                <w:tcPr>
                  <w:tcW w:w="1618" w:type="dxa"/>
                  <w:vAlign w:val="top"/>
                </w:tcPr>
                <w:p>
                  <w:pPr>
                    <w:widowControl/>
                    <w:adjustRightInd w:val="0"/>
                    <w:snapToGrid w:val="0"/>
                    <w:spacing w:line="276" w:lineRule="auto"/>
                    <w:rPr>
                      <w:rFonts w:ascii="宋体" w:hAnsi="宋体" w:cs="宋体"/>
                      <w:i/>
                      <w:iCs/>
                      <w:kern w:val="0"/>
                      <w:sz w:val="21"/>
                      <w:szCs w:val="21"/>
                      <w:u w:val="single"/>
                    </w:rPr>
                  </w:pPr>
                  <w:r>
                    <w:rPr>
                      <w:rFonts w:hint="eastAsia" w:ascii="宋体" w:hAnsi="宋体"/>
                      <w:i/>
                      <w:iCs/>
                      <w:sz w:val="21"/>
                      <w:szCs w:val="21"/>
                      <w:u w:val="single"/>
                    </w:rPr>
                    <w:t>液压剪挖机</w:t>
                  </w:r>
                </w:p>
              </w:tc>
              <w:tc>
                <w:tcPr>
                  <w:tcW w:w="1212" w:type="dxa"/>
                  <w:vAlign w:val="top"/>
                </w:tcPr>
                <w:p>
                  <w:pPr>
                    <w:widowControl/>
                    <w:adjustRightInd w:val="0"/>
                    <w:snapToGrid w:val="0"/>
                    <w:spacing w:line="276" w:lineRule="auto"/>
                    <w:rPr>
                      <w:rFonts w:ascii="宋体" w:hAnsi="宋体" w:cs="宋体"/>
                      <w:i/>
                      <w:iCs/>
                      <w:kern w:val="0"/>
                      <w:sz w:val="21"/>
                      <w:szCs w:val="21"/>
                      <w:u w:val="single"/>
                    </w:rPr>
                  </w:pPr>
                  <w:r>
                    <w:rPr>
                      <w:rFonts w:hint="eastAsia" w:ascii="宋体" w:hAnsi="宋体"/>
                      <w:i/>
                      <w:iCs/>
                      <w:sz w:val="21"/>
                      <w:szCs w:val="21"/>
                      <w:u w:val="single"/>
                    </w:rPr>
                    <w:t>85</w:t>
                  </w:r>
                </w:p>
              </w:tc>
              <w:tc>
                <w:tcPr>
                  <w:tcW w:w="1212" w:type="dxa"/>
                  <w:vAlign w:val="top"/>
                </w:tcPr>
                <w:p>
                  <w:pPr>
                    <w:widowControl/>
                    <w:adjustRightInd w:val="0"/>
                    <w:snapToGrid w:val="0"/>
                    <w:spacing w:line="276" w:lineRule="auto"/>
                    <w:rPr>
                      <w:rFonts w:ascii="宋体" w:hAnsi="宋体" w:cs="宋体"/>
                      <w:i/>
                      <w:iCs/>
                      <w:kern w:val="0"/>
                      <w:sz w:val="21"/>
                      <w:szCs w:val="21"/>
                      <w:u w:val="single"/>
                    </w:rPr>
                  </w:pPr>
                  <w:r>
                    <w:rPr>
                      <w:rFonts w:hint="eastAsia" w:ascii="宋体" w:hAnsi="宋体"/>
                      <w:i/>
                      <w:iCs/>
                      <w:sz w:val="21"/>
                      <w:szCs w:val="21"/>
                      <w:u w:val="single"/>
                    </w:rPr>
                    <w:t>21</w:t>
                  </w:r>
                </w:p>
              </w:tc>
              <w:tc>
                <w:tcPr>
                  <w:tcW w:w="1213" w:type="dxa"/>
                  <w:vAlign w:val="top"/>
                </w:tcPr>
                <w:p>
                  <w:pPr>
                    <w:widowControl/>
                    <w:adjustRightInd w:val="0"/>
                    <w:snapToGrid w:val="0"/>
                    <w:spacing w:line="276" w:lineRule="auto"/>
                    <w:rPr>
                      <w:rFonts w:ascii="宋体" w:hAnsi="宋体" w:cs="宋体"/>
                      <w:i/>
                      <w:iCs/>
                      <w:kern w:val="0"/>
                      <w:sz w:val="21"/>
                      <w:szCs w:val="21"/>
                      <w:u w:val="single"/>
                    </w:rPr>
                  </w:pPr>
                  <w:r>
                    <w:rPr>
                      <w:rFonts w:hint="eastAsia" w:ascii="宋体" w:hAnsi="宋体"/>
                      <w:i/>
                      <w:iCs/>
                      <w:sz w:val="21"/>
                      <w:szCs w:val="21"/>
                      <w:u w:val="single"/>
                    </w:rPr>
                    <w:t>19</w:t>
                  </w:r>
                </w:p>
              </w:tc>
              <w:tc>
                <w:tcPr>
                  <w:tcW w:w="1213" w:type="dxa"/>
                  <w:vAlign w:val="top"/>
                </w:tcPr>
                <w:p>
                  <w:pPr>
                    <w:widowControl/>
                    <w:adjustRightInd w:val="0"/>
                    <w:snapToGrid w:val="0"/>
                    <w:spacing w:line="276" w:lineRule="auto"/>
                    <w:rPr>
                      <w:rFonts w:ascii="宋体" w:hAnsi="宋体" w:cs="宋体"/>
                      <w:i/>
                      <w:iCs/>
                      <w:kern w:val="0"/>
                      <w:sz w:val="21"/>
                      <w:szCs w:val="21"/>
                      <w:u w:val="single"/>
                    </w:rPr>
                  </w:pPr>
                  <w:r>
                    <w:rPr>
                      <w:rFonts w:hint="eastAsia" w:ascii="宋体" w:hAnsi="宋体"/>
                      <w:i/>
                      <w:iCs/>
                      <w:sz w:val="21"/>
                      <w:szCs w:val="21"/>
                      <w:u w:val="single"/>
                    </w:rPr>
                    <w:t>62</w:t>
                  </w:r>
                </w:p>
              </w:tc>
              <w:tc>
                <w:tcPr>
                  <w:tcW w:w="1213" w:type="dxa"/>
                  <w:vAlign w:val="top"/>
                </w:tcPr>
                <w:p>
                  <w:pPr>
                    <w:widowControl/>
                    <w:adjustRightInd w:val="0"/>
                    <w:snapToGrid w:val="0"/>
                    <w:spacing w:line="276" w:lineRule="auto"/>
                    <w:rPr>
                      <w:rFonts w:ascii="宋体" w:hAnsi="宋体" w:cs="宋体"/>
                      <w:i/>
                      <w:iCs/>
                      <w:kern w:val="0"/>
                      <w:sz w:val="21"/>
                      <w:szCs w:val="21"/>
                      <w:u w:val="single"/>
                    </w:rPr>
                  </w:pPr>
                  <w:r>
                    <w:rPr>
                      <w:rFonts w:hint="eastAsia" w:ascii="宋体" w:hAnsi="宋体"/>
                      <w:i/>
                      <w:iCs/>
                      <w:sz w:val="21"/>
                      <w:szCs w:val="21"/>
                      <w:u w:val="single"/>
                    </w:rPr>
                    <w:t>54</w:t>
                  </w:r>
                </w:p>
              </w:tc>
            </w:tr>
            <w:tr>
              <w:tc>
                <w:tcPr>
                  <w:tcW w:w="517" w:type="dxa"/>
                  <w:vAlign w:val="top"/>
                </w:tcPr>
                <w:p>
                  <w:pPr>
                    <w:widowControl/>
                    <w:adjustRightInd w:val="0"/>
                    <w:snapToGrid w:val="0"/>
                    <w:spacing w:line="276" w:lineRule="auto"/>
                    <w:rPr>
                      <w:rFonts w:ascii="宋体" w:hAnsi="宋体" w:cs="宋体"/>
                      <w:i/>
                      <w:iCs/>
                      <w:kern w:val="0"/>
                      <w:sz w:val="21"/>
                      <w:szCs w:val="21"/>
                      <w:u w:val="single"/>
                    </w:rPr>
                  </w:pPr>
                  <w:r>
                    <w:rPr>
                      <w:rFonts w:hint="eastAsia" w:ascii="宋体" w:hAnsi="宋体"/>
                      <w:i/>
                      <w:iCs/>
                      <w:sz w:val="21"/>
                      <w:szCs w:val="21"/>
                      <w:u w:val="single"/>
                    </w:rPr>
                    <w:t>2</w:t>
                  </w:r>
                </w:p>
              </w:tc>
              <w:tc>
                <w:tcPr>
                  <w:tcW w:w="1618" w:type="dxa"/>
                  <w:vAlign w:val="top"/>
                </w:tcPr>
                <w:p>
                  <w:pPr>
                    <w:widowControl/>
                    <w:adjustRightInd w:val="0"/>
                    <w:snapToGrid w:val="0"/>
                    <w:spacing w:line="276" w:lineRule="auto"/>
                    <w:rPr>
                      <w:rFonts w:ascii="宋体" w:hAnsi="宋体" w:cs="宋体"/>
                      <w:i/>
                      <w:iCs/>
                      <w:kern w:val="0"/>
                      <w:sz w:val="21"/>
                      <w:szCs w:val="21"/>
                      <w:u w:val="single"/>
                    </w:rPr>
                  </w:pPr>
                  <w:r>
                    <w:rPr>
                      <w:rFonts w:hint="eastAsia" w:ascii="宋体" w:hAnsi="宋体"/>
                      <w:i/>
                      <w:iCs/>
                      <w:sz w:val="21"/>
                      <w:szCs w:val="21"/>
                      <w:u w:val="single"/>
                    </w:rPr>
                    <w:t>重型鹰嘴剪</w:t>
                  </w:r>
                </w:p>
              </w:tc>
              <w:tc>
                <w:tcPr>
                  <w:tcW w:w="1212" w:type="dxa"/>
                  <w:vAlign w:val="top"/>
                </w:tcPr>
                <w:p>
                  <w:pPr>
                    <w:widowControl/>
                    <w:adjustRightInd w:val="0"/>
                    <w:snapToGrid w:val="0"/>
                    <w:spacing w:line="276" w:lineRule="auto"/>
                    <w:rPr>
                      <w:rFonts w:ascii="宋体" w:hAnsi="宋体" w:cs="宋体"/>
                      <w:i/>
                      <w:iCs/>
                      <w:kern w:val="0"/>
                      <w:sz w:val="21"/>
                      <w:szCs w:val="21"/>
                      <w:u w:val="single"/>
                    </w:rPr>
                  </w:pPr>
                  <w:r>
                    <w:rPr>
                      <w:rFonts w:hint="eastAsia" w:ascii="宋体" w:hAnsi="宋体"/>
                      <w:i/>
                      <w:iCs/>
                      <w:sz w:val="21"/>
                      <w:szCs w:val="21"/>
                      <w:u w:val="single"/>
                    </w:rPr>
                    <w:t>70</w:t>
                  </w:r>
                </w:p>
              </w:tc>
              <w:tc>
                <w:tcPr>
                  <w:tcW w:w="1212" w:type="dxa"/>
                  <w:vAlign w:val="top"/>
                </w:tcPr>
                <w:p>
                  <w:pPr>
                    <w:widowControl/>
                    <w:adjustRightInd w:val="0"/>
                    <w:snapToGrid w:val="0"/>
                    <w:spacing w:line="276" w:lineRule="auto"/>
                    <w:rPr>
                      <w:rFonts w:ascii="宋体" w:hAnsi="宋体" w:cs="宋体"/>
                      <w:i/>
                      <w:iCs/>
                      <w:kern w:val="0"/>
                      <w:sz w:val="21"/>
                      <w:szCs w:val="21"/>
                      <w:u w:val="single"/>
                    </w:rPr>
                  </w:pPr>
                  <w:r>
                    <w:rPr>
                      <w:rFonts w:hint="eastAsia" w:ascii="宋体" w:hAnsi="宋体"/>
                      <w:i/>
                      <w:iCs/>
                      <w:sz w:val="21"/>
                      <w:szCs w:val="21"/>
                      <w:u w:val="single"/>
                    </w:rPr>
                    <w:t>33</w:t>
                  </w:r>
                </w:p>
              </w:tc>
              <w:tc>
                <w:tcPr>
                  <w:tcW w:w="1213" w:type="dxa"/>
                  <w:vAlign w:val="top"/>
                </w:tcPr>
                <w:p>
                  <w:pPr>
                    <w:widowControl/>
                    <w:adjustRightInd w:val="0"/>
                    <w:snapToGrid w:val="0"/>
                    <w:spacing w:line="276" w:lineRule="auto"/>
                    <w:rPr>
                      <w:rFonts w:ascii="宋体" w:hAnsi="宋体" w:cs="宋体"/>
                      <w:i/>
                      <w:iCs/>
                      <w:kern w:val="0"/>
                      <w:sz w:val="21"/>
                      <w:szCs w:val="21"/>
                      <w:u w:val="single"/>
                    </w:rPr>
                  </w:pPr>
                  <w:r>
                    <w:rPr>
                      <w:rFonts w:hint="eastAsia" w:ascii="宋体" w:hAnsi="宋体"/>
                      <w:i/>
                      <w:iCs/>
                      <w:sz w:val="21"/>
                      <w:szCs w:val="21"/>
                      <w:u w:val="single"/>
                    </w:rPr>
                    <w:t>14</w:t>
                  </w:r>
                </w:p>
              </w:tc>
              <w:tc>
                <w:tcPr>
                  <w:tcW w:w="1213" w:type="dxa"/>
                  <w:vAlign w:val="top"/>
                </w:tcPr>
                <w:p>
                  <w:pPr>
                    <w:widowControl/>
                    <w:adjustRightInd w:val="0"/>
                    <w:snapToGrid w:val="0"/>
                    <w:spacing w:line="276" w:lineRule="auto"/>
                    <w:rPr>
                      <w:rFonts w:ascii="宋体" w:hAnsi="宋体" w:cs="宋体"/>
                      <w:i/>
                      <w:iCs/>
                      <w:kern w:val="0"/>
                      <w:sz w:val="21"/>
                      <w:szCs w:val="21"/>
                      <w:u w:val="single"/>
                    </w:rPr>
                  </w:pPr>
                  <w:r>
                    <w:rPr>
                      <w:rFonts w:hint="eastAsia" w:ascii="宋体" w:hAnsi="宋体"/>
                      <w:i/>
                      <w:iCs/>
                      <w:sz w:val="21"/>
                      <w:szCs w:val="21"/>
                      <w:u w:val="single"/>
                    </w:rPr>
                    <w:t>50</w:t>
                  </w:r>
                </w:p>
              </w:tc>
              <w:tc>
                <w:tcPr>
                  <w:tcW w:w="1213" w:type="dxa"/>
                  <w:vAlign w:val="top"/>
                </w:tcPr>
                <w:p>
                  <w:pPr>
                    <w:widowControl/>
                    <w:adjustRightInd w:val="0"/>
                    <w:snapToGrid w:val="0"/>
                    <w:spacing w:line="276" w:lineRule="auto"/>
                    <w:rPr>
                      <w:rFonts w:ascii="宋体" w:hAnsi="宋体" w:cs="宋体"/>
                      <w:i/>
                      <w:iCs/>
                      <w:kern w:val="0"/>
                      <w:sz w:val="21"/>
                      <w:szCs w:val="21"/>
                      <w:u w:val="single"/>
                    </w:rPr>
                  </w:pPr>
                  <w:r>
                    <w:rPr>
                      <w:rFonts w:hint="eastAsia" w:ascii="宋体" w:hAnsi="宋体"/>
                      <w:i/>
                      <w:iCs/>
                      <w:sz w:val="21"/>
                      <w:szCs w:val="21"/>
                      <w:u w:val="single"/>
                    </w:rPr>
                    <w:t>58</w:t>
                  </w:r>
                </w:p>
              </w:tc>
            </w:tr>
            <w:tr>
              <w:tc>
                <w:tcPr>
                  <w:tcW w:w="517" w:type="dxa"/>
                  <w:vAlign w:val="top"/>
                </w:tcPr>
                <w:p>
                  <w:pPr>
                    <w:widowControl/>
                    <w:adjustRightInd w:val="0"/>
                    <w:snapToGrid w:val="0"/>
                    <w:spacing w:line="276" w:lineRule="auto"/>
                    <w:rPr>
                      <w:rFonts w:ascii="宋体" w:hAnsi="宋体" w:cs="宋体"/>
                      <w:i/>
                      <w:iCs/>
                      <w:kern w:val="0"/>
                      <w:sz w:val="21"/>
                      <w:szCs w:val="21"/>
                      <w:u w:val="single"/>
                    </w:rPr>
                  </w:pPr>
                  <w:r>
                    <w:rPr>
                      <w:rFonts w:hint="eastAsia" w:ascii="宋体" w:hAnsi="宋体"/>
                      <w:i/>
                      <w:iCs/>
                      <w:sz w:val="21"/>
                      <w:szCs w:val="21"/>
                      <w:u w:val="single"/>
                    </w:rPr>
                    <w:t>3</w:t>
                  </w:r>
                </w:p>
              </w:tc>
              <w:tc>
                <w:tcPr>
                  <w:tcW w:w="1618" w:type="dxa"/>
                  <w:vAlign w:val="top"/>
                </w:tcPr>
                <w:p>
                  <w:pPr>
                    <w:widowControl/>
                    <w:adjustRightInd w:val="0"/>
                    <w:snapToGrid w:val="0"/>
                    <w:spacing w:line="276" w:lineRule="auto"/>
                    <w:rPr>
                      <w:rFonts w:ascii="宋体" w:hAnsi="宋体" w:cs="宋体"/>
                      <w:i/>
                      <w:iCs/>
                      <w:kern w:val="0"/>
                      <w:sz w:val="21"/>
                      <w:szCs w:val="21"/>
                      <w:u w:val="single"/>
                    </w:rPr>
                  </w:pPr>
                  <w:r>
                    <w:rPr>
                      <w:rFonts w:hint="eastAsia" w:ascii="宋体" w:hAnsi="宋体"/>
                      <w:i/>
                      <w:iCs/>
                      <w:sz w:val="21"/>
                      <w:szCs w:val="21"/>
                      <w:u w:val="single"/>
                    </w:rPr>
                    <w:t>抽油机 1#</w:t>
                  </w:r>
                </w:p>
              </w:tc>
              <w:tc>
                <w:tcPr>
                  <w:tcW w:w="1212" w:type="dxa"/>
                  <w:vAlign w:val="top"/>
                </w:tcPr>
                <w:p>
                  <w:pPr>
                    <w:widowControl/>
                    <w:adjustRightInd w:val="0"/>
                    <w:snapToGrid w:val="0"/>
                    <w:spacing w:line="276" w:lineRule="auto"/>
                    <w:rPr>
                      <w:rFonts w:ascii="宋体" w:hAnsi="宋体" w:cs="宋体"/>
                      <w:i/>
                      <w:iCs/>
                      <w:kern w:val="0"/>
                      <w:sz w:val="21"/>
                      <w:szCs w:val="21"/>
                      <w:u w:val="single"/>
                    </w:rPr>
                  </w:pPr>
                  <w:r>
                    <w:rPr>
                      <w:rFonts w:hint="eastAsia" w:ascii="宋体" w:hAnsi="宋体"/>
                      <w:i/>
                      <w:iCs/>
                      <w:sz w:val="21"/>
                      <w:szCs w:val="21"/>
                      <w:u w:val="single"/>
                    </w:rPr>
                    <w:t>80</w:t>
                  </w:r>
                </w:p>
              </w:tc>
              <w:tc>
                <w:tcPr>
                  <w:tcW w:w="1212" w:type="dxa"/>
                  <w:vAlign w:val="top"/>
                </w:tcPr>
                <w:p>
                  <w:pPr>
                    <w:widowControl/>
                    <w:adjustRightInd w:val="0"/>
                    <w:snapToGrid w:val="0"/>
                    <w:spacing w:line="276" w:lineRule="auto"/>
                    <w:rPr>
                      <w:rFonts w:ascii="宋体" w:hAnsi="宋体" w:cs="宋体"/>
                      <w:i/>
                      <w:iCs/>
                      <w:kern w:val="0"/>
                      <w:sz w:val="21"/>
                      <w:szCs w:val="21"/>
                      <w:u w:val="single"/>
                    </w:rPr>
                  </w:pPr>
                  <w:r>
                    <w:rPr>
                      <w:rFonts w:hint="eastAsia" w:ascii="宋体" w:hAnsi="宋体"/>
                      <w:i/>
                      <w:iCs/>
                      <w:sz w:val="21"/>
                      <w:szCs w:val="21"/>
                      <w:u w:val="single"/>
                    </w:rPr>
                    <w:t>57</w:t>
                  </w:r>
                </w:p>
              </w:tc>
              <w:tc>
                <w:tcPr>
                  <w:tcW w:w="1213" w:type="dxa"/>
                  <w:vAlign w:val="top"/>
                </w:tcPr>
                <w:p>
                  <w:pPr>
                    <w:widowControl/>
                    <w:adjustRightInd w:val="0"/>
                    <w:snapToGrid w:val="0"/>
                    <w:spacing w:line="276" w:lineRule="auto"/>
                    <w:rPr>
                      <w:rFonts w:ascii="宋体" w:hAnsi="宋体" w:cs="宋体"/>
                      <w:i/>
                      <w:iCs/>
                      <w:kern w:val="0"/>
                      <w:sz w:val="21"/>
                      <w:szCs w:val="21"/>
                      <w:u w:val="single"/>
                    </w:rPr>
                  </w:pPr>
                  <w:r>
                    <w:rPr>
                      <w:rFonts w:hint="eastAsia" w:ascii="宋体" w:hAnsi="宋体"/>
                      <w:i/>
                      <w:iCs/>
                      <w:sz w:val="21"/>
                      <w:szCs w:val="21"/>
                      <w:u w:val="single"/>
                    </w:rPr>
                    <w:t>12</w:t>
                  </w:r>
                </w:p>
              </w:tc>
              <w:tc>
                <w:tcPr>
                  <w:tcW w:w="1213" w:type="dxa"/>
                  <w:vAlign w:val="top"/>
                </w:tcPr>
                <w:p>
                  <w:pPr>
                    <w:widowControl/>
                    <w:adjustRightInd w:val="0"/>
                    <w:snapToGrid w:val="0"/>
                    <w:spacing w:line="276" w:lineRule="auto"/>
                    <w:rPr>
                      <w:rFonts w:ascii="宋体" w:hAnsi="宋体" w:cs="宋体"/>
                      <w:i/>
                      <w:iCs/>
                      <w:kern w:val="0"/>
                      <w:sz w:val="21"/>
                      <w:szCs w:val="21"/>
                      <w:u w:val="single"/>
                    </w:rPr>
                  </w:pPr>
                  <w:r>
                    <w:rPr>
                      <w:rFonts w:hint="eastAsia" w:ascii="宋体" w:hAnsi="宋体"/>
                      <w:i/>
                      <w:iCs/>
                      <w:sz w:val="21"/>
                      <w:szCs w:val="21"/>
                      <w:u w:val="single"/>
                    </w:rPr>
                    <w:t>43</w:t>
                  </w:r>
                </w:p>
              </w:tc>
              <w:tc>
                <w:tcPr>
                  <w:tcW w:w="1213" w:type="dxa"/>
                  <w:vAlign w:val="top"/>
                </w:tcPr>
                <w:p>
                  <w:pPr>
                    <w:widowControl/>
                    <w:adjustRightInd w:val="0"/>
                    <w:snapToGrid w:val="0"/>
                    <w:spacing w:line="276" w:lineRule="auto"/>
                    <w:rPr>
                      <w:rFonts w:ascii="宋体" w:hAnsi="宋体" w:cs="宋体"/>
                      <w:i/>
                      <w:iCs/>
                      <w:kern w:val="0"/>
                      <w:sz w:val="21"/>
                      <w:szCs w:val="21"/>
                      <w:u w:val="single"/>
                    </w:rPr>
                  </w:pPr>
                  <w:r>
                    <w:rPr>
                      <w:rFonts w:hint="eastAsia" w:ascii="宋体" w:hAnsi="宋体" w:cs="宋体"/>
                      <w:i/>
                      <w:iCs/>
                      <w:kern w:val="0"/>
                      <w:sz w:val="21"/>
                      <w:szCs w:val="21"/>
                      <w:u w:val="single"/>
                    </w:rPr>
                    <w:t>55</w:t>
                  </w:r>
                </w:p>
              </w:tc>
            </w:tr>
            <w:tr>
              <w:tc>
                <w:tcPr>
                  <w:tcW w:w="517" w:type="dxa"/>
                  <w:vAlign w:val="top"/>
                </w:tcPr>
                <w:p>
                  <w:pPr>
                    <w:widowControl/>
                    <w:adjustRightInd w:val="0"/>
                    <w:snapToGrid w:val="0"/>
                    <w:spacing w:line="276" w:lineRule="auto"/>
                    <w:rPr>
                      <w:rFonts w:ascii="宋体" w:hAnsi="宋体" w:cs="宋体"/>
                      <w:i/>
                      <w:iCs/>
                      <w:kern w:val="0"/>
                      <w:sz w:val="21"/>
                      <w:szCs w:val="21"/>
                      <w:u w:val="single"/>
                    </w:rPr>
                  </w:pPr>
                  <w:r>
                    <w:rPr>
                      <w:rFonts w:hint="eastAsia" w:ascii="宋体" w:hAnsi="宋体"/>
                      <w:i/>
                      <w:iCs/>
                      <w:sz w:val="21"/>
                      <w:szCs w:val="21"/>
                      <w:u w:val="single"/>
                    </w:rPr>
                    <w:t>4</w:t>
                  </w:r>
                </w:p>
              </w:tc>
              <w:tc>
                <w:tcPr>
                  <w:tcW w:w="1618" w:type="dxa"/>
                  <w:vAlign w:val="top"/>
                </w:tcPr>
                <w:p>
                  <w:pPr>
                    <w:widowControl/>
                    <w:adjustRightInd w:val="0"/>
                    <w:snapToGrid w:val="0"/>
                    <w:spacing w:line="276" w:lineRule="auto"/>
                    <w:rPr>
                      <w:rFonts w:ascii="宋体" w:hAnsi="宋体" w:cs="宋体"/>
                      <w:i/>
                      <w:iCs/>
                      <w:kern w:val="0"/>
                      <w:sz w:val="21"/>
                      <w:szCs w:val="21"/>
                      <w:u w:val="single"/>
                    </w:rPr>
                  </w:pPr>
                  <w:r>
                    <w:rPr>
                      <w:rFonts w:hint="eastAsia" w:ascii="宋体" w:hAnsi="宋体"/>
                      <w:i/>
                      <w:iCs/>
                      <w:sz w:val="21"/>
                      <w:szCs w:val="21"/>
                      <w:u w:val="single"/>
                    </w:rPr>
                    <w:t>抽油机 2#</w:t>
                  </w:r>
                </w:p>
              </w:tc>
              <w:tc>
                <w:tcPr>
                  <w:tcW w:w="1212" w:type="dxa"/>
                  <w:vAlign w:val="top"/>
                </w:tcPr>
                <w:p>
                  <w:pPr>
                    <w:widowControl/>
                    <w:adjustRightInd w:val="0"/>
                    <w:snapToGrid w:val="0"/>
                    <w:spacing w:line="276" w:lineRule="auto"/>
                    <w:rPr>
                      <w:rFonts w:ascii="宋体" w:hAnsi="宋体" w:cs="宋体"/>
                      <w:i/>
                      <w:iCs/>
                      <w:kern w:val="0"/>
                      <w:sz w:val="21"/>
                      <w:szCs w:val="21"/>
                      <w:u w:val="single"/>
                    </w:rPr>
                  </w:pPr>
                  <w:r>
                    <w:rPr>
                      <w:rFonts w:hint="eastAsia" w:ascii="宋体" w:hAnsi="宋体"/>
                      <w:i/>
                      <w:iCs/>
                      <w:sz w:val="21"/>
                      <w:szCs w:val="21"/>
                      <w:u w:val="single"/>
                    </w:rPr>
                    <w:t>80</w:t>
                  </w:r>
                </w:p>
              </w:tc>
              <w:tc>
                <w:tcPr>
                  <w:tcW w:w="1212" w:type="dxa"/>
                  <w:vAlign w:val="top"/>
                </w:tcPr>
                <w:p>
                  <w:pPr>
                    <w:widowControl/>
                    <w:adjustRightInd w:val="0"/>
                    <w:snapToGrid w:val="0"/>
                    <w:spacing w:line="276" w:lineRule="auto"/>
                    <w:rPr>
                      <w:rFonts w:ascii="宋体" w:hAnsi="宋体" w:cs="宋体"/>
                      <w:i/>
                      <w:iCs/>
                      <w:kern w:val="0"/>
                      <w:sz w:val="21"/>
                      <w:szCs w:val="21"/>
                      <w:u w:val="single"/>
                    </w:rPr>
                  </w:pPr>
                  <w:r>
                    <w:rPr>
                      <w:rFonts w:hint="eastAsia" w:ascii="宋体" w:hAnsi="宋体"/>
                      <w:i/>
                      <w:iCs/>
                      <w:sz w:val="21"/>
                      <w:szCs w:val="21"/>
                      <w:u w:val="single"/>
                    </w:rPr>
                    <w:t>54</w:t>
                  </w:r>
                </w:p>
              </w:tc>
              <w:tc>
                <w:tcPr>
                  <w:tcW w:w="1213" w:type="dxa"/>
                  <w:vAlign w:val="top"/>
                </w:tcPr>
                <w:p>
                  <w:pPr>
                    <w:widowControl/>
                    <w:adjustRightInd w:val="0"/>
                    <w:snapToGrid w:val="0"/>
                    <w:spacing w:line="276" w:lineRule="auto"/>
                    <w:rPr>
                      <w:rFonts w:ascii="宋体" w:hAnsi="宋体" w:cs="宋体"/>
                      <w:i/>
                      <w:iCs/>
                      <w:kern w:val="0"/>
                      <w:sz w:val="21"/>
                      <w:szCs w:val="21"/>
                      <w:u w:val="single"/>
                    </w:rPr>
                  </w:pPr>
                  <w:r>
                    <w:rPr>
                      <w:rFonts w:hint="eastAsia" w:ascii="宋体" w:hAnsi="宋体"/>
                      <w:i/>
                      <w:iCs/>
                      <w:sz w:val="21"/>
                      <w:szCs w:val="21"/>
                      <w:u w:val="single"/>
                    </w:rPr>
                    <w:t>12</w:t>
                  </w:r>
                </w:p>
              </w:tc>
              <w:tc>
                <w:tcPr>
                  <w:tcW w:w="1213" w:type="dxa"/>
                  <w:vAlign w:val="top"/>
                </w:tcPr>
                <w:p>
                  <w:pPr>
                    <w:widowControl/>
                    <w:adjustRightInd w:val="0"/>
                    <w:snapToGrid w:val="0"/>
                    <w:spacing w:line="276" w:lineRule="auto"/>
                    <w:rPr>
                      <w:rFonts w:ascii="宋体" w:hAnsi="宋体" w:cs="宋体"/>
                      <w:i/>
                      <w:iCs/>
                      <w:kern w:val="0"/>
                      <w:sz w:val="21"/>
                      <w:szCs w:val="21"/>
                      <w:u w:val="single"/>
                    </w:rPr>
                  </w:pPr>
                  <w:r>
                    <w:rPr>
                      <w:rFonts w:hint="eastAsia" w:ascii="宋体" w:hAnsi="宋体"/>
                      <w:i/>
                      <w:iCs/>
                      <w:sz w:val="21"/>
                      <w:szCs w:val="21"/>
                      <w:u w:val="single"/>
                    </w:rPr>
                    <w:t>46</w:t>
                  </w:r>
                </w:p>
              </w:tc>
              <w:tc>
                <w:tcPr>
                  <w:tcW w:w="1213" w:type="dxa"/>
                  <w:vAlign w:val="top"/>
                </w:tcPr>
                <w:p>
                  <w:pPr>
                    <w:widowControl/>
                    <w:adjustRightInd w:val="0"/>
                    <w:snapToGrid w:val="0"/>
                    <w:spacing w:line="276" w:lineRule="auto"/>
                    <w:rPr>
                      <w:rFonts w:ascii="宋体" w:hAnsi="宋体" w:cs="宋体"/>
                      <w:i/>
                      <w:iCs/>
                      <w:kern w:val="0"/>
                      <w:sz w:val="21"/>
                      <w:szCs w:val="21"/>
                      <w:u w:val="single"/>
                    </w:rPr>
                  </w:pPr>
                  <w:r>
                    <w:rPr>
                      <w:rFonts w:hint="eastAsia" w:ascii="宋体" w:hAnsi="宋体"/>
                      <w:i/>
                      <w:iCs/>
                      <w:sz w:val="21"/>
                      <w:szCs w:val="21"/>
                      <w:u w:val="single"/>
                    </w:rPr>
                    <w:t>54</w:t>
                  </w:r>
                </w:p>
              </w:tc>
            </w:tr>
            <w:tr>
              <w:tc>
                <w:tcPr>
                  <w:tcW w:w="517" w:type="dxa"/>
                  <w:vAlign w:val="top"/>
                </w:tcPr>
                <w:p>
                  <w:pPr>
                    <w:widowControl/>
                    <w:adjustRightInd w:val="0"/>
                    <w:snapToGrid w:val="0"/>
                    <w:spacing w:line="276" w:lineRule="auto"/>
                    <w:rPr>
                      <w:rFonts w:ascii="宋体" w:hAnsi="宋体" w:cs="宋体"/>
                      <w:i/>
                      <w:iCs/>
                      <w:kern w:val="0"/>
                      <w:sz w:val="21"/>
                      <w:szCs w:val="21"/>
                      <w:u w:val="single"/>
                    </w:rPr>
                  </w:pPr>
                  <w:r>
                    <w:rPr>
                      <w:rFonts w:hint="eastAsia" w:ascii="宋体" w:hAnsi="宋体"/>
                      <w:i/>
                      <w:iCs/>
                      <w:sz w:val="21"/>
                      <w:szCs w:val="21"/>
                      <w:u w:val="single"/>
                    </w:rPr>
                    <w:t>5</w:t>
                  </w:r>
                </w:p>
              </w:tc>
              <w:tc>
                <w:tcPr>
                  <w:tcW w:w="1618" w:type="dxa"/>
                  <w:vAlign w:val="top"/>
                </w:tcPr>
                <w:p>
                  <w:pPr>
                    <w:widowControl/>
                    <w:adjustRightInd w:val="0"/>
                    <w:snapToGrid w:val="0"/>
                    <w:spacing w:line="276" w:lineRule="auto"/>
                    <w:rPr>
                      <w:rFonts w:ascii="宋体" w:hAnsi="宋体" w:cs="宋体"/>
                      <w:i/>
                      <w:iCs/>
                      <w:kern w:val="0"/>
                      <w:sz w:val="21"/>
                      <w:szCs w:val="21"/>
                      <w:u w:val="single"/>
                    </w:rPr>
                  </w:pPr>
                  <w:r>
                    <w:rPr>
                      <w:rFonts w:hint="eastAsia" w:ascii="宋体" w:hAnsi="宋体"/>
                      <w:i/>
                      <w:iCs/>
                      <w:sz w:val="21"/>
                      <w:szCs w:val="21"/>
                      <w:u w:val="single"/>
                    </w:rPr>
                    <w:t>抽油机 3#</w:t>
                  </w:r>
                </w:p>
              </w:tc>
              <w:tc>
                <w:tcPr>
                  <w:tcW w:w="1212" w:type="dxa"/>
                  <w:vAlign w:val="top"/>
                </w:tcPr>
                <w:p>
                  <w:pPr>
                    <w:widowControl/>
                    <w:adjustRightInd w:val="0"/>
                    <w:snapToGrid w:val="0"/>
                    <w:spacing w:line="276" w:lineRule="auto"/>
                    <w:rPr>
                      <w:rFonts w:ascii="宋体" w:hAnsi="宋体" w:cs="宋体"/>
                      <w:i/>
                      <w:iCs/>
                      <w:kern w:val="0"/>
                      <w:sz w:val="21"/>
                      <w:szCs w:val="21"/>
                      <w:u w:val="single"/>
                    </w:rPr>
                  </w:pPr>
                  <w:r>
                    <w:rPr>
                      <w:rFonts w:hint="eastAsia" w:ascii="宋体" w:hAnsi="宋体"/>
                      <w:i/>
                      <w:iCs/>
                      <w:sz w:val="21"/>
                      <w:szCs w:val="21"/>
                      <w:u w:val="single"/>
                    </w:rPr>
                    <w:t>80</w:t>
                  </w:r>
                </w:p>
              </w:tc>
              <w:tc>
                <w:tcPr>
                  <w:tcW w:w="1212" w:type="dxa"/>
                  <w:vAlign w:val="top"/>
                </w:tcPr>
                <w:p>
                  <w:pPr>
                    <w:widowControl/>
                    <w:adjustRightInd w:val="0"/>
                    <w:snapToGrid w:val="0"/>
                    <w:spacing w:line="276" w:lineRule="auto"/>
                    <w:rPr>
                      <w:rFonts w:ascii="宋体" w:hAnsi="宋体" w:cs="宋体"/>
                      <w:i/>
                      <w:iCs/>
                      <w:kern w:val="0"/>
                      <w:sz w:val="21"/>
                      <w:szCs w:val="21"/>
                      <w:u w:val="single"/>
                    </w:rPr>
                  </w:pPr>
                  <w:r>
                    <w:rPr>
                      <w:rFonts w:hint="eastAsia" w:ascii="宋体" w:hAnsi="宋体"/>
                      <w:i/>
                      <w:iCs/>
                      <w:sz w:val="21"/>
                      <w:szCs w:val="21"/>
                      <w:u w:val="single"/>
                    </w:rPr>
                    <w:t>51</w:t>
                  </w:r>
                </w:p>
              </w:tc>
              <w:tc>
                <w:tcPr>
                  <w:tcW w:w="1213" w:type="dxa"/>
                  <w:vAlign w:val="top"/>
                </w:tcPr>
                <w:p>
                  <w:pPr>
                    <w:widowControl/>
                    <w:adjustRightInd w:val="0"/>
                    <w:snapToGrid w:val="0"/>
                    <w:spacing w:line="276" w:lineRule="auto"/>
                    <w:rPr>
                      <w:rFonts w:ascii="宋体" w:hAnsi="宋体" w:cs="宋体"/>
                      <w:i/>
                      <w:iCs/>
                      <w:kern w:val="0"/>
                      <w:sz w:val="21"/>
                      <w:szCs w:val="21"/>
                      <w:u w:val="single"/>
                    </w:rPr>
                  </w:pPr>
                  <w:r>
                    <w:rPr>
                      <w:rFonts w:hint="eastAsia" w:ascii="宋体" w:hAnsi="宋体"/>
                      <w:i/>
                      <w:iCs/>
                      <w:sz w:val="21"/>
                      <w:szCs w:val="21"/>
                      <w:u w:val="single"/>
                    </w:rPr>
                    <w:t>12</w:t>
                  </w:r>
                </w:p>
              </w:tc>
              <w:tc>
                <w:tcPr>
                  <w:tcW w:w="1213" w:type="dxa"/>
                  <w:vAlign w:val="top"/>
                </w:tcPr>
                <w:p>
                  <w:pPr>
                    <w:widowControl/>
                    <w:adjustRightInd w:val="0"/>
                    <w:snapToGrid w:val="0"/>
                    <w:spacing w:line="276" w:lineRule="auto"/>
                    <w:rPr>
                      <w:rFonts w:ascii="宋体" w:hAnsi="宋体" w:cs="宋体"/>
                      <w:i/>
                      <w:iCs/>
                      <w:kern w:val="0"/>
                      <w:sz w:val="21"/>
                      <w:szCs w:val="21"/>
                      <w:u w:val="single"/>
                    </w:rPr>
                  </w:pPr>
                  <w:r>
                    <w:rPr>
                      <w:rFonts w:hint="eastAsia" w:ascii="宋体" w:hAnsi="宋体"/>
                      <w:i/>
                      <w:iCs/>
                      <w:sz w:val="21"/>
                      <w:szCs w:val="21"/>
                      <w:u w:val="single"/>
                    </w:rPr>
                    <w:t>49</w:t>
                  </w:r>
                </w:p>
              </w:tc>
              <w:tc>
                <w:tcPr>
                  <w:tcW w:w="1213" w:type="dxa"/>
                  <w:vAlign w:val="top"/>
                </w:tcPr>
                <w:p>
                  <w:pPr>
                    <w:widowControl/>
                    <w:adjustRightInd w:val="0"/>
                    <w:snapToGrid w:val="0"/>
                    <w:spacing w:line="276" w:lineRule="auto"/>
                    <w:rPr>
                      <w:rFonts w:ascii="宋体" w:hAnsi="宋体" w:cs="宋体"/>
                      <w:i/>
                      <w:iCs/>
                      <w:kern w:val="0"/>
                      <w:sz w:val="21"/>
                      <w:szCs w:val="21"/>
                      <w:u w:val="single"/>
                    </w:rPr>
                  </w:pPr>
                  <w:r>
                    <w:rPr>
                      <w:rFonts w:hint="eastAsia" w:ascii="宋体" w:hAnsi="宋体"/>
                      <w:i/>
                      <w:iCs/>
                      <w:sz w:val="21"/>
                      <w:szCs w:val="21"/>
                      <w:u w:val="single"/>
                    </w:rPr>
                    <w:t>56</w:t>
                  </w:r>
                </w:p>
              </w:tc>
            </w:tr>
            <w:tr>
              <w:tc>
                <w:tcPr>
                  <w:tcW w:w="517" w:type="dxa"/>
                  <w:vAlign w:val="top"/>
                </w:tcPr>
                <w:p>
                  <w:pPr>
                    <w:widowControl/>
                    <w:adjustRightInd w:val="0"/>
                    <w:snapToGrid w:val="0"/>
                    <w:spacing w:line="276" w:lineRule="auto"/>
                    <w:rPr>
                      <w:rFonts w:ascii="宋体" w:hAnsi="宋体" w:cs="宋体"/>
                      <w:i/>
                      <w:iCs/>
                      <w:kern w:val="0"/>
                      <w:sz w:val="21"/>
                      <w:szCs w:val="21"/>
                      <w:u w:val="single"/>
                    </w:rPr>
                  </w:pPr>
                  <w:r>
                    <w:rPr>
                      <w:rFonts w:hint="eastAsia" w:ascii="宋体" w:hAnsi="宋体"/>
                      <w:i/>
                      <w:iCs/>
                      <w:sz w:val="21"/>
                      <w:szCs w:val="21"/>
                      <w:u w:val="single"/>
                    </w:rPr>
                    <w:t>6</w:t>
                  </w:r>
                </w:p>
              </w:tc>
              <w:tc>
                <w:tcPr>
                  <w:tcW w:w="1618" w:type="dxa"/>
                  <w:vAlign w:val="top"/>
                </w:tcPr>
                <w:p>
                  <w:pPr>
                    <w:widowControl/>
                    <w:adjustRightInd w:val="0"/>
                    <w:snapToGrid w:val="0"/>
                    <w:spacing w:line="276" w:lineRule="auto"/>
                    <w:rPr>
                      <w:rFonts w:ascii="宋体" w:hAnsi="宋体" w:cs="宋体"/>
                      <w:i/>
                      <w:iCs/>
                      <w:kern w:val="0"/>
                      <w:sz w:val="21"/>
                      <w:szCs w:val="21"/>
                      <w:u w:val="single"/>
                    </w:rPr>
                  </w:pPr>
                  <w:r>
                    <w:rPr>
                      <w:rFonts w:hint="eastAsia" w:ascii="宋体" w:hAnsi="宋体"/>
                      <w:i/>
                      <w:iCs/>
                      <w:sz w:val="21"/>
                      <w:szCs w:val="21"/>
                      <w:u w:val="single"/>
                    </w:rPr>
                    <w:t>叉车</w:t>
                  </w:r>
                </w:p>
              </w:tc>
              <w:tc>
                <w:tcPr>
                  <w:tcW w:w="1212" w:type="dxa"/>
                  <w:vAlign w:val="top"/>
                </w:tcPr>
                <w:p>
                  <w:pPr>
                    <w:widowControl/>
                    <w:adjustRightInd w:val="0"/>
                    <w:snapToGrid w:val="0"/>
                    <w:spacing w:line="276" w:lineRule="auto"/>
                    <w:rPr>
                      <w:rFonts w:ascii="宋体" w:hAnsi="宋体" w:cs="宋体"/>
                      <w:i/>
                      <w:iCs/>
                      <w:kern w:val="0"/>
                      <w:sz w:val="21"/>
                      <w:szCs w:val="21"/>
                      <w:u w:val="single"/>
                    </w:rPr>
                  </w:pPr>
                  <w:r>
                    <w:rPr>
                      <w:rFonts w:hint="eastAsia" w:ascii="宋体" w:hAnsi="宋体"/>
                      <w:i/>
                      <w:iCs/>
                      <w:sz w:val="21"/>
                      <w:szCs w:val="21"/>
                      <w:u w:val="single"/>
                    </w:rPr>
                    <w:t>75</w:t>
                  </w:r>
                </w:p>
              </w:tc>
              <w:tc>
                <w:tcPr>
                  <w:tcW w:w="1212" w:type="dxa"/>
                  <w:vAlign w:val="top"/>
                </w:tcPr>
                <w:p>
                  <w:pPr>
                    <w:widowControl/>
                    <w:adjustRightInd w:val="0"/>
                    <w:snapToGrid w:val="0"/>
                    <w:spacing w:line="276" w:lineRule="auto"/>
                    <w:rPr>
                      <w:rFonts w:ascii="宋体" w:hAnsi="宋体" w:cs="宋体"/>
                      <w:i/>
                      <w:iCs/>
                      <w:kern w:val="0"/>
                      <w:sz w:val="21"/>
                      <w:szCs w:val="21"/>
                      <w:u w:val="single"/>
                    </w:rPr>
                  </w:pPr>
                  <w:r>
                    <w:rPr>
                      <w:rFonts w:hint="eastAsia" w:ascii="宋体" w:hAnsi="宋体"/>
                      <w:i/>
                      <w:iCs/>
                      <w:sz w:val="21"/>
                      <w:szCs w:val="21"/>
                      <w:u w:val="single"/>
                    </w:rPr>
                    <w:t>44</w:t>
                  </w:r>
                </w:p>
              </w:tc>
              <w:tc>
                <w:tcPr>
                  <w:tcW w:w="1213" w:type="dxa"/>
                  <w:vAlign w:val="top"/>
                </w:tcPr>
                <w:p>
                  <w:pPr>
                    <w:widowControl/>
                    <w:adjustRightInd w:val="0"/>
                    <w:snapToGrid w:val="0"/>
                    <w:spacing w:line="276" w:lineRule="auto"/>
                    <w:rPr>
                      <w:rFonts w:ascii="宋体" w:hAnsi="宋体" w:cs="宋体"/>
                      <w:i/>
                      <w:iCs/>
                      <w:kern w:val="0"/>
                      <w:sz w:val="21"/>
                      <w:szCs w:val="21"/>
                      <w:u w:val="single"/>
                    </w:rPr>
                  </w:pPr>
                  <w:r>
                    <w:rPr>
                      <w:rFonts w:hint="eastAsia" w:ascii="宋体" w:hAnsi="宋体"/>
                      <w:i/>
                      <w:iCs/>
                      <w:sz w:val="21"/>
                      <w:szCs w:val="21"/>
                      <w:u w:val="single"/>
                    </w:rPr>
                    <w:t>14</w:t>
                  </w:r>
                </w:p>
              </w:tc>
              <w:tc>
                <w:tcPr>
                  <w:tcW w:w="1213" w:type="dxa"/>
                  <w:vAlign w:val="top"/>
                </w:tcPr>
                <w:p>
                  <w:pPr>
                    <w:widowControl/>
                    <w:adjustRightInd w:val="0"/>
                    <w:snapToGrid w:val="0"/>
                    <w:spacing w:line="276" w:lineRule="auto"/>
                    <w:rPr>
                      <w:rFonts w:ascii="宋体" w:hAnsi="宋体" w:cs="宋体"/>
                      <w:i/>
                      <w:iCs/>
                      <w:kern w:val="0"/>
                      <w:sz w:val="21"/>
                      <w:szCs w:val="21"/>
                      <w:u w:val="single"/>
                    </w:rPr>
                  </w:pPr>
                  <w:r>
                    <w:rPr>
                      <w:rFonts w:hint="eastAsia" w:ascii="宋体" w:hAnsi="宋体"/>
                      <w:i/>
                      <w:iCs/>
                      <w:sz w:val="21"/>
                      <w:szCs w:val="21"/>
                      <w:u w:val="single"/>
                    </w:rPr>
                    <w:t>42</w:t>
                  </w:r>
                </w:p>
              </w:tc>
              <w:tc>
                <w:tcPr>
                  <w:tcW w:w="1213" w:type="dxa"/>
                  <w:vAlign w:val="top"/>
                </w:tcPr>
                <w:p>
                  <w:pPr>
                    <w:widowControl/>
                    <w:adjustRightInd w:val="0"/>
                    <w:snapToGrid w:val="0"/>
                    <w:spacing w:line="276" w:lineRule="auto"/>
                    <w:rPr>
                      <w:rFonts w:ascii="宋体" w:hAnsi="宋体" w:cs="宋体"/>
                      <w:i/>
                      <w:iCs/>
                      <w:kern w:val="0"/>
                      <w:sz w:val="21"/>
                      <w:szCs w:val="21"/>
                      <w:u w:val="single"/>
                    </w:rPr>
                  </w:pPr>
                  <w:r>
                    <w:rPr>
                      <w:rFonts w:hint="eastAsia" w:ascii="宋体" w:hAnsi="宋体"/>
                      <w:i/>
                      <w:iCs/>
                      <w:sz w:val="21"/>
                      <w:szCs w:val="21"/>
                      <w:u w:val="single"/>
                    </w:rPr>
                    <w:t>56</w:t>
                  </w:r>
                </w:p>
              </w:tc>
            </w:tr>
            <w:tr>
              <w:tc>
                <w:tcPr>
                  <w:tcW w:w="517" w:type="dxa"/>
                  <w:vAlign w:val="top"/>
                </w:tcPr>
                <w:p>
                  <w:pPr>
                    <w:widowControl/>
                    <w:adjustRightInd w:val="0"/>
                    <w:snapToGrid w:val="0"/>
                    <w:spacing w:line="276" w:lineRule="auto"/>
                    <w:rPr>
                      <w:rFonts w:ascii="宋体" w:hAnsi="宋体" w:cs="宋体"/>
                      <w:i/>
                      <w:iCs/>
                      <w:kern w:val="0"/>
                      <w:sz w:val="21"/>
                      <w:szCs w:val="21"/>
                      <w:u w:val="single"/>
                    </w:rPr>
                  </w:pPr>
                  <w:r>
                    <w:rPr>
                      <w:rFonts w:hint="eastAsia" w:ascii="宋体" w:hAnsi="宋体"/>
                      <w:i/>
                      <w:iCs/>
                      <w:sz w:val="21"/>
                      <w:szCs w:val="21"/>
                      <w:u w:val="single"/>
                    </w:rPr>
                    <w:t>7</w:t>
                  </w:r>
                </w:p>
              </w:tc>
              <w:tc>
                <w:tcPr>
                  <w:tcW w:w="1618" w:type="dxa"/>
                  <w:vAlign w:val="top"/>
                </w:tcPr>
                <w:p>
                  <w:pPr>
                    <w:widowControl/>
                    <w:adjustRightInd w:val="0"/>
                    <w:snapToGrid w:val="0"/>
                    <w:spacing w:line="276" w:lineRule="auto"/>
                    <w:rPr>
                      <w:rFonts w:ascii="宋体" w:hAnsi="宋体" w:cs="宋体"/>
                      <w:i/>
                      <w:iCs/>
                      <w:kern w:val="0"/>
                      <w:sz w:val="21"/>
                      <w:szCs w:val="21"/>
                      <w:u w:val="single"/>
                    </w:rPr>
                  </w:pPr>
                  <w:r>
                    <w:rPr>
                      <w:rFonts w:hint="eastAsia" w:ascii="宋体" w:hAnsi="宋体"/>
                      <w:i/>
                      <w:iCs/>
                      <w:sz w:val="21"/>
                      <w:szCs w:val="21"/>
                      <w:u w:val="single"/>
                    </w:rPr>
                    <w:t>风机 1#</w:t>
                  </w:r>
                </w:p>
              </w:tc>
              <w:tc>
                <w:tcPr>
                  <w:tcW w:w="1212" w:type="dxa"/>
                  <w:vAlign w:val="top"/>
                </w:tcPr>
                <w:p>
                  <w:pPr>
                    <w:widowControl/>
                    <w:adjustRightInd w:val="0"/>
                    <w:snapToGrid w:val="0"/>
                    <w:spacing w:line="276" w:lineRule="auto"/>
                    <w:rPr>
                      <w:rFonts w:ascii="宋体" w:hAnsi="宋体" w:cs="宋体"/>
                      <w:i/>
                      <w:iCs/>
                      <w:kern w:val="0"/>
                      <w:sz w:val="21"/>
                      <w:szCs w:val="21"/>
                      <w:u w:val="single"/>
                    </w:rPr>
                  </w:pPr>
                  <w:r>
                    <w:rPr>
                      <w:rFonts w:hint="eastAsia" w:ascii="宋体" w:hAnsi="宋体"/>
                      <w:i/>
                      <w:iCs/>
                      <w:sz w:val="21"/>
                      <w:szCs w:val="21"/>
                      <w:u w:val="single"/>
                    </w:rPr>
                    <w:t>80</w:t>
                  </w:r>
                </w:p>
              </w:tc>
              <w:tc>
                <w:tcPr>
                  <w:tcW w:w="1212" w:type="dxa"/>
                  <w:vAlign w:val="top"/>
                </w:tcPr>
                <w:p>
                  <w:pPr>
                    <w:widowControl/>
                    <w:adjustRightInd w:val="0"/>
                    <w:snapToGrid w:val="0"/>
                    <w:spacing w:line="276" w:lineRule="auto"/>
                    <w:rPr>
                      <w:rFonts w:ascii="宋体" w:hAnsi="宋体" w:cs="宋体"/>
                      <w:i/>
                      <w:iCs/>
                      <w:kern w:val="0"/>
                      <w:sz w:val="21"/>
                      <w:szCs w:val="21"/>
                      <w:u w:val="single"/>
                    </w:rPr>
                  </w:pPr>
                  <w:r>
                    <w:rPr>
                      <w:rFonts w:hint="eastAsia" w:ascii="宋体" w:hAnsi="宋体"/>
                      <w:i/>
                      <w:iCs/>
                      <w:sz w:val="21"/>
                      <w:szCs w:val="21"/>
                      <w:u w:val="single"/>
                    </w:rPr>
                    <w:t>34</w:t>
                  </w:r>
                </w:p>
              </w:tc>
              <w:tc>
                <w:tcPr>
                  <w:tcW w:w="1213" w:type="dxa"/>
                  <w:vAlign w:val="top"/>
                </w:tcPr>
                <w:p>
                  <w:pPr>
                    <w:widowControl/>
                    <w:adjustRightInd w:val="0"/>
                    <w:snapToGrid w:val="0"/>
                    <w:spacing w:line="276" w:lineRule="auto"/>
                    <w:rPr>
                      <w:rFonts w:ascii="宋体" w:hAnsi="宋体" w:cs="宋体"/>
                      <w:i/>
                      <w:iCs/>
                      <w:kern w:val="0"/>
                      <w:sz w:val="21"/>
                      <w:szCs w:val="21"/>
                      <w:u w:val="single"/>
                    </w:rPr>
                  </w:pPr>
                  <w:r>
                    <w:rPr>
                      <w:rFonts w:hint="eastAsia" w:ascii="宋体" w:hAnsi="宋体"/>
                      <w:i/>
                      <w:iCs/>
                      <w:sz w:val="21"/>
                      <w:szCs w:val="21"/>
                      <w:u w:val="single"/>
                    </w:rPr>
                    <w:t>7</w:t>
                  </w:r>
                </w:p>
              </w:tc>
              <w:tc>
                <w:tcPr>
                  <w:tcW w:w="1213" w:type="dxa"/>
                  <w:vAlign w:val="top"/>
                </w:tcPr>
                <w:p>
                  <w:pPr>
                    <w:widowControl/>
                    <w:adjustRightInd w:val="0"/>
                    <w:snapToGrid w:val="0"/>
                    <w:spacing w:line="276" w:lineRule="auto"/>
                    <w:rPr>
                      <w:rFonts w:ascii="宋体" w:hAnsi="宋体" w:cs="宋体"/>
                      <w:i/>
                      <w:iCs/>
                      <w:kern w:val="0"/>
                      <w:sz w:val="21"/>
                      <w:szCs w:val="21"/>
                      <w:u w:val="single"/>
                    </w:rPr>
                  </w:pPr>
                  <w:r>
                    <w:rPr>
                      <w:rFonts w:hint="eastAsia" w:ascii="宋体" w:hAnsi="宋体"/>
                      <w:i/>
                      <w:iCs/>
                      <w:sz w:val="21"/>
                      <w:szCs w:val="21"/>
                      <w:u w:val="single"/>
                    </w:rPr>
                    <w:t>66</w:t>
                  </w:r>
                </w:p>
              </w:tc>
              <w:tc>
                <w:tcPr>
                  <w:tcW w:w="1213" w:type="dxa"/>
                  <w:vAlign w:val="top"/>
                </w:tcPr>
                <w:p>
                  <w:pPr>
                    <w:widowControl/>
                    <w:adjustRightInd w:val="0"/>
                    <w:snapToGrid w:val="0"/>
                    <w:spacing w:line="276" w:lineRule="auto"/>
                    <w:rPr>
                      <w:rFonts w:ascii="宋体" w:hAnsi="宋体" w:cs="宋体"/>
                      <w:i/>
                      <w:iCs/>
                      <w:kern w:val="0"/>
                      <w:sz w:val="21"/>
                      <w:szCs w:val="21"/>
                      <w:u w:val="single"/>
                    </w:rPr>
                  </w:pPr>
                  <w:r>
                    <w:rPr>
                      <w:rFonts w:hint="eastAsia" w:ascii="宋体" w:hAnsi="宋体"/>
                      <w:i/>
                      <w:iCs/>
                      <w:sz w:val="21"/>
                      <w:szCs w:val="21"/>
                      <w:u w:val="single"/>
                    </w:rPr>
                    <w:t>49</w:t>
                  </w:r>
                </w:p>
              </w:tc>
            </w:tr>
            <w:tr>
              <w:tc>
                <w:tcPr>
                  <w:tcW w:w="517" w:type="dxa"/>
                  <w:vAlign w:val="top"/>
                </w:tcPr>
                <w:p>
                  <w:pPr>
                    <w:widowControl/>
                    <w:adjustRightInd w:val="0"/>
                    <w:snapToGrid w:val="0"/>
                    <w:spacing w:line="276" w:lineRule="auto"/>
                    <w:rPr>
                      <w:rFonts w:ascii="宋体" w:hAnsi="宋体" w:cs="宋体"/>
                      <w:i/>
                      <w:iCs/>
                      <w:kern w:val="0"/>
                      <w:sz w:val="21"/>
                      <w:szCs w:val="21"/>
                      <w:u w:val="single"/>
                    </w:rPr>
                  </w:pPr>
                  <w:r>
                    <w:rPr>
                      <w:rFonts w:hint="eastAsia" w:ascii="宋体" w:hAnsi="宋体"/>
                      <w:i/>
                      <w:iCs/>
                      <w:sz w:val="21"/>
                      <w:szCs w:val="21"/>
                      <w:u w:val="single"/>
                    </w:rPr>
                    <w:t>8</w:t>
                  </w:r>
                </w:p>
              </w:tc>
              <w:tc>
                <w:tcPr>
                  <w:tcW w:w="1618" w:type="dxa"/>
                  <w:vAlign w:val="top"/>
                </w:tcPr>
                <w:p>
                  <w:pPr>
                    <w:widowControl/>
                    <w:adjustRightInd w:val="0"/>
                    <w:snapToGrid w:val="0"/>
                    <w:spacing w:line="276" w:lineRule="auto"/>
                    <w:rPr>
                      <w:rFonts w:ascii="宋体" w:hAnsi="宋体" w:cs="宋体"/>
                      <w:i/>
                      <w:iCs/>
                      <w:kern w:val="0"/>
                      <w:sz w:val="21"/>
                      <w:szCs w:val="21"/>
                      <w:u w:val="single"/>
                    </w:rPr>
                  </w:pPr>
                  <w:r>
                    <w:rPr>
                      <w:rFonts w:hint="eastAsia" w:ascii="宋体" w:hAnsi="宋体"/>
                      <w:i/>
                      <w:iCs/>
                      <w:sz w:val="21"/>
                      <w:szCs w:val="21"/>
                      <w:u w:val="single"/>
                    </w:rPr>
                    <w:t>风机 2#</w:t>
                  </w:r>
                </w:p>
              </w:tc>
              <w:tc>
                <w:tcPr>
                  <w:tcW w:w="1212" w:type="dxa"/>
                  <w:vAlign w:val="top"/>
                </w:tcPr>
                <w:p>
                  <w:pPr>
                    <w:widowControl/>
                    <w:adjustRightInd w:val="0"/>
                    <w:snapToGrid w:val="0"/>
                    <w:spacing w:line="276" w:lineRule="auto"/>
                    <w:rPr>
                      <w:rFonts w:ascii="宋体" w:hAnsi="宋体" w:cs="宋体"/>
                      <w:i/>
                      <w:iCs/>
                      <w:kern w:val="0"/>
                      <w:sz w:val="21"/>
                      <w:szCs w:val="21"/>
                      <w:u w:val="single"/>
                    </w:rPr>
                  </w:pPr>
                  <w:r>
                    <w:rPr>
                      <w:rFonts w:hint="eastAsia" w:ascii="宋体" w:hAnsi="宋体"/>
                      <w:i/>
                      <w:iCs/>
                      <w:sz w:val="21"/>
                      <w:szCs w:val="21"/>
                      <w:u w:val="single"/>
                    </w:rPr>
                    <w:t>80</w:t>
                  </w:r>
                </w:p>
              </w:tc>
              <w:tc>
                <w:tcPr>
                  <w:tcW w:w="1212" w:type="dxa"/>
                  <w:vAlign w:val="top"/>
                </w:tcPr>
                <w:p>
                  <w:pPr>
                    <w:widowControl/>
                    <w:adjustRightInd w:val="0"/>
                    <w:snapToGrid w:val="0"/>
                    <w:spacing w:line="276" w:lineRule="auto"/>
                    <w:rPr>
                      <w:rFonts w:ascii="宋体" w:hAnsi="宋体" w:cs="宋体"/>
                      <w:i/>
                      <w:iCs/>
                      <w:kern w:val="0"/>
                      <w:sz w:val="21"/>
                      <w:szCs w:val="21"/>
                      <w:u w:val="single"/>
                    </w:rPr>
                  </w:pPr>
                  <w:r>
                    <w:rPr>
                      <w:rFonts w:hint="eastAsia" w:ascii="宋体" w:hAnsi="宋体"/>
                      <w:i/>
                      <w:iCs/>
                      <w:sz w:val="21"/>
                      <w:szCs w:val="21"/>
                      <w:u w:val="single"/>
                    </w:rPr>
                    <w:t>29</w:t>
                  </w:r>
                </w:p>
              </w:tc>
              <w:tc>
                <w:tcPr>
                  <w:tcW w:w="1213" w:type="dxa"/>
                  <w:vAlign w:val="top"/>
                </w:tcPr>
                <w:p>
                  <w:pPr>
                    <w:widowControl/>
                    <w:adjustRightInd w:val="0"/>
                    <w:snapToGrid w:val="0"/>
                    <w:spacing w:line="276" w:lineRule="auto"/>
                    <w:rPr>
                      <w:rFonts w:ascii="宋体" w:hAnsi="宋体" w:cs="宋体"/>
                      <w:i/>
                      <w:iCs/>
                      <w:kern w:val="0"/>
                      <w:sz w:val="21"/>
                      <w:szCs w:val="21"/>
                      <w:u w:val="single"/>
                    </w:rPr>
                  </w:pPr>
                  <w:r>
                    <w:rPr>
                      <w:rFonts w:hint="eastAsia" w:ascii="宋体" w:hAnsi="宋体"/>
                      <w:i/>
                      <w:iCs/>
                      <w:sz w:val="21"/>
                      <w:szCs w:val="21"/>
                      <w:u w:val="single"/>
                    </w:rPr>
                    <w:t>12</w:t>
                  </w:r>
                </w:p>
              </w:tc>
              <w:tc>
                <w:tcPr>
                  <w:tcW w:w="1213" w:type="dxa"/>
                  <w:vAlign w:val="top"/>
                </w:tcPr>
                <w:p>
                  <w:pPr>
                    <w:widowControl/>
                    <w:adjustRightInd w:val="0"/>
                    <w:snapToGrid w:val="0"/>
                    <w:spacing w:line="276" w:lineRule="auto"/>
                    <w:rPr>
                      <w:rFonts w:ascii="宋体" w:hAnsi="宋体" w:cs="宋体"/>
                      <w:i/>
                      <w:iCs/>
                      <w:kern w:val="0"/>
                      <w:sz w:val="21"/>
                      <w:szCs w:val="21"/>
                      <w:u w:val="single"/>
                    </w:rPr>
                  </w:pPr>
                  <w:r>
                    <w:rPr>
                      <w:rFonts w:hint="eastAsia" w:ascii="宋体" w:hAnsi="宋体"/>
                      <w:i/>
                      <w:iCs/>
                      <w:sz w:val="21"/>
                      <w:szCs w:val="21"/>
                      <w:u w:val="single"/>
                    </w:rPr>
                    <w:t>71</w:t>
                  </w:r>
                </w:p>
              </w:tc>
              <w:tc>
                <w:tcPr>
                  <w:tcW w:w="1213" w:type="dxa"/>
                  <w:vAlign w:val="top"/>
                </w:tcPr>
                <w:p>
                  <w:pPr>
                    <w:widowControl/>
                    <w:adjustRightInd w:val="0"/>
                    <w:snapToGrid w:val="0"/>
                    <w:spacing w:line="276" w:lineRule="auto"/>
                    <w:rPr>
                      <w:rFonts w:ascii="宋体" w:hAnsi="宋体" w:cs="宋体"/>
                      <w:i/>
                      <w:iCs/>
                      <w:kern w:val="0"/>
                      <w:sz w:val="21"/>
                      <w:szCs w:val="21"/>
                      <w:u w:val="single"/>
                    </w:rPr>
                  </w:pPr>
                  <w:r>
                    <w:rPr>
                      <w:rFonts w:hint="eastAsia" w:ascii="宋体" w:hAnsi="宋体"/>
                      <w:i/>
                      <w:iCs/>
                      <w:sz w:val="21"/>
                      <w:szCs w:val="21"/>
                      <w:u w:val="single"/>
                    </w:rPr>
                    <w:t>48</w:t>
                  </w:r>
                </w:p>
              </w:tc>
            </w:tr>
            <w:tr>
              <w:tc>
                <w:tcPr>
                  <w:tcW w:w="517" w:type="dxa"/>
                  <w:vAlign w:val="top"/>
                </w:tcPr>
                <w:p>
                  <w:pPr>
                    <w:widowControl/>
                    <w:adjustRightInd w:val="0"/>
                    <w:snapToGrid w:val="0"/>
                    <w:spacing w:line="276" w:lineRule="auto"/>
                    <w:rPr>
                      <w:rFonts w:ascii="宋体" w:hAnsi="宋体" w:cs="宋体"/>
                      <w:i/>
                      <w:iCs/>
                      <w:kern w:val="0"/>
                      <w:sz w:val="21"/>
                      <w:szCs w:val="21"/>
                      <w:u w:val="single"/>
                    </w:rPr>
                  </w:pPr>
                  <w:r>
                    <w:rPr>
                      <w:rFonts w:hint="eastAsia" w:ascii="宋体" w:hAnsi="宋体"/>
                      <w:i/>
                      <w:iCs/>
                      <w:sz w:val="21"/>
                      <w:szCs w:val="21"/>
                      <w:u w:val="single"/>
                    </w:rPr>
                    <w:t>9</w:t>
                  </w:r>
                </w:p>
              </w:tc>
              <w:tc>
                <w:tcPr>
                  <w:tcW w:w="1618" w:type="dxa"/>
                  <w:vAlign w:val="top"/>
                </w:tcPr>
                <w:p>
                  <w:pPr>
                    <w:widowControl/>
                    <w:adjustRightInd w:val="0"/>
                    <w:snapToGrid w:val="0"/>
                    <w:spacing w:line="276" w:lineRule="auto"/>
                    <w:rPr>
                      <w:rFonts w:ascii="宋体" w:hAnsi="宋体" w:cs="宋体"/>
                      <w:i/>
                      <w:iCs/>
                      <w:kern w:val="0"/>
                      <w:sz w:val="21"/>
                      <w:szCs w:val="21"/>
                      <w:u w:val="single"/>
                    </w:rPr>
                  </w:pPr>
                  <w:r>
                    <w:rPr>
                      <w:rFonts w:hint="eastAsia" w:ascii="宋体" w:hAnsi="宋体"/>
                      <w:i/>
                      <w:iCs/>
                      <w:sz w:val="21"/>
                      <w:szCs w:val="21"/>
                      <w:u w:val="single"/>
                    </w:rPr>
                    <w:t>空压机</w:t>
                  </w:r>
                </w:p>
              </w:tc>
              <w:tc>
                <w:tcPr>
                  <w:tcW w:w="1212" w:type="dxa"/>
                  <w:vAlign w:val="top"/>
                </w:tcPr>
                <w:p>
                  <w:pPr>
                    <w:widowControl/>
                    <w:adjustRightInd w:val="0"/>
                    <w:snapToGrid w:val="0"/>
                    <w:spacing w:line="276" w:lineRule="auto"/>
                    <w:rPr>
                      <w:rFonts w:ascii="宋体" w:hAnsi="宋体" w:cs="宋体"/>
                      <w:i/>
                      <w:iCs/>
                      <w:kern w:val="0"/>
                      <w:sz w:val="21"/>
                      <w:szCs w:val="21"/>
                      <w:u w:val="single"/>
                    </w:rPr>
                  </w:pPr>
                  <w:r>
                    <w:rPr>
                      <w:rFonts w:hint="eastAsia" w:ascii="宋体" w:hAnsi="宋体"/>
                      <w:i/>
                      <w:iCs/>
                      <w:sz w:val="21"/>
                      <w:szCs w:val="21"/>
                      <w:u w:val="single"/>
                    </w:rPr>
                    <w:t>75</w:t>
                  </w:r>
                </w:p>
              </w:tc>
              <w:tc>
                <w:tcPr>
                  <w:tcW w:w="1212" w:type="dxa"/>
                  <w:vAlign w:val="top"/>
                </w:tcPr>
                <w:p>
                  <w:pPr>
                    <w:widowControl/>
                    <w:adjustRightInd w:val="0"/>
                    <w:snapToGrid w:val="0"/>
                    <w:spacing w:line="276" w:lineRule="auto"/>
                    <w:rPr>
                      <w:rFonts w:ascii="宋体" w:hAnsi="宋体" w:cs="宋体"/>
                      <w:i/>
                      <w:iCs/>
                      <w:kern w:val="0"/>
                      <w:sz w:val="21"/>
                      <w:szCs w:val="21"/>
                      <w:u w:val="single"/>
                    </w:rPr>
                  </w:pPr>
                  <w:r>
                    <w:rPr>
                      <w:rFonts w:hint="eastAsia" w:ascii="宋体" w:hAnsi="宋体"/>
                      <w:i/>
                      <w:iCs/>
                      <w:sz w:val="21"/>
                      <w:szCs w:val="21"/>
                      <w:u w:val="single"/>
                    </w:rPr>
                    <w:t>19</w:t>
                  </w:r>
                </w:p>
              </w:tc>
              <w:tc>
                <w:tcPr>
                  <w:tcW w:w="1213" w:type="dxa"/>
                  <w:vAlign w:val="top"/>
                </w:tcPr>
                <w:p>
                  <w:pPr>
                    <w:widowControl/>
                    <w:adjustRightInd w:val="0"/>
                    <w:snapToGrid w:val="0"/>
                    <w:spacing w:line="276" w:lineRule="auto"/>
                    <w:rPr>
                      <w:rFonts w:ascii="宋体" w:hAnsi="宋体" w:cs="宋体"/>
                      <w:i/>
                      <w:iCs/>
                      <w:kern w:val="0"/>
                      <w:sz w:val="21"/>
                      <w:szCs w:val="21"/>
                      <w:u w:val="single"/>
                    </w:rPr>
                  </w:pPr>
                  <w:r>
                    <w:rPr>
                      <w:rFonts w:hint="eastAsia" w:ascii="宋体" w:hAnsi="宋体"/>
                      <w:i/>
                      <w:iCs/>
                      <w:sz w:val="21"/>
                      <w:szCs w:val="21"/>
                      <w:u w:val="single"/>
                    </w:rPr>
                    <w:t>10</w:t>
                  </w:r>
                </w:p>
              </w:tc>
              <w:tc>
                <w:tcPr>
                  <w:tcW w:w="1213" w:type="dxa"/>
                  <w:vAlign w:val="top"/>
                </w:tcPr>
                <w:p>
                  <w:pPr>
                    <w:widowControl/>
                    <w:adjustRightInd w:val="0"/>
                    <w:snapToGrid w:val="0"/>
                    <w:spacing w:line="276" w:lineRule="auto"/>
                    <w:rPr>
                      <w:rFonts w:ascii="宋体" w:hAnsi="宋体" w:cs="宋体"/>
                      <w:i/>
                      <w:iCs/>
                      <w:kern w:val="0"/>
                      <w:sz w:val="21"/>
                      <w:szCs w:val="21"/>
                      <w:u w:val="single"/>
                    </w:rPr>
                  </w:pPr>
                  <w:r>
                    <w:rPr>
                      <w:rFonts w:hint="eastAsia" w:ascii="宋体" w:hAnsi="宋体"/>
                      <w:i/>
                      <w:iCs/>
                      <w:sz w:val="21"/>
                      <w:szCs w:val="21"/>
                      <w:u w:val="single"/>
                    </w:rPr>
                    <w:t>81</w:t>
                  </w:r>
                </w:p>
              </w:tc>
              <w:tc>
                <w:tcPr>
                  <w:tcW w:w="1213" w:type="dxa"/>
                  <w:vAlign w:val="top"/>
                </w:tcPr>
                <w:p>
                  <w:pPr>
                    <w:widowControl/>
                    <w:adjustRightInd w:val="0"/>
                    <w:snapToGrid w:val="0"/>
                    <w:spacing w:line="276" w:lineRule="auto"/>
                    <w:rPr>
                      <w:rFonts w:ascii="宋体" w:hAnsi="宋体" w:cs="宋体"/>
                      <w:i/>
                      <w:iCs/>
                      <w:kern w:val="0"/>
                      <w:sz w:val="21"/>
                      <w:szCs w:val="21"/>
                      <w:u w:val="single"/>
                    </w:rPr>
                  </w:pPr>
                  <w:r>
                    <w:rPr>
                      <w:rFonts w:hint="eastAsia" w:ascii="宋体" w:hAnsi="宋体"/>
                      <w:i/>
                      <w:iCs/>
                      <w:sz w:val="21"/>
                      <w:szCs w:val="21"/>
                      <w:u w:val="single"/>
                    </w:rPr>
                    <w:t>65</w:t>
                  </w:r>
                </w:p>
              </w:tc>
            </w:tr>
          </w:tbl>
          <w:p>
            <w:pPr>
              <w:spacing w:line="360" w:lineRule="auto"/>
              <w:ind w:firstLine="480" w:firstLineChars="200"/>
              <w:rPr>
                <w:bCs/>
                <w:i/>
                <w:iCs/>
                <w:snapToGrid w:val="0"/>
                <w:kern w:val="0"/>
                <w:sz w:val="24"/>
                <w:u w:val="single"/>
              </w:rPr>
            </w:pPr>
            <w:r>
              <w:rPr>
                <w:rFonts w:hint="eastAsia"/>
                <w:bCs/>
                <w:i/>
                <w:iCs/>
                <w:snapToGrid w:val="0"/>
                <w:kern w:val="0"/>
                <w:sz w:val="24"/>
                <w:u w:val="single"/>
              </w:rPr>
              <w:t>厂房隔声 15dB (A)情况下，分别计算各点声源</w:t>
            </w:r>
            <w:r>
              <w:rPr>
                <w:bCs/>
                <w:i/>
                <w:iCs/>
                <w:snapToGrid w:val="0"/>
                <w:kern w:val="0"/>
                <w:sz w:val="24"/>
                <w:u w:val="single"/>
              </w:rPr>
              <w:t>对东、西、南、北侧厂界的噪声贡献值</w:t>
            </w:r>
            <w:r>
              <w:rPr>
                <w:rFonts w:hint="eastAsia"/>
                <w:bCs/>
                <w:i/>
                <w:iCs/>
                <w:snapToGrid w:val="0"/>
                <w:kern w:val="0"/>
                <w:sz w:val="24"/>
                <w:u w:val="single"/>
              </w:rPr>
              <w:t>如下表。</w:t>
            </w:r>
          </w:p>
          <w:p>
            <w:pPr>
              <w:pStyle w:val="40"/>
              <w:adjustRightInd w:val="0"/>
              <w:snapToGrid w:val="0"/>
              <w:spacing w:line="240" w:lineRule="auto"/>
              <w:rPr>
                <w:bCs/>
                <w:i/>
                <w:iCs/>
                <w:szCs w:val="21"/>
                <w:u w:val="single"/>
              </w:rPr>
            </w:pPr>
          </w:p>
          <w:p>
            <w:pPr>
              <w:pStyle w:val="40"/>
              <w:adjustRightInd w:val="0"/>
              <w:snapToGrid w:val="0"/>
              <w:spacing w:line="240" w:lineRule="auto"/>
              <w:rPr>
                <w:bCs/>
                <w:i/>
                <w:iCs/>
                <w:snapToGrid w:val="0"/>
                <w:kern w:val="0"/>
                <w:sz w:val="24"/>
                <w:u w:val="single"/>
              </w:rPr>
            </w:pPr>
            <w:r>
              <w:rPr>
                <w:rFonts w:hint="eastAsia" w:ascii="宋体" w:hAnsi="宋体" w:cs="宋体"/>
                <w:i/>
                <w:iCs/>
                <w:sz w:val="24"/>
                <w:szCs w:val="24"/>
                <w:u w:val="single"/>
              </w:rPr>
              <w:t xml:space="preserve">表4-11   厂界噪声贡献值预测结果一览表 </w:t>
            </w:r>
            <w:r>
              <w:rPr>
                <w:rFonts w:hint="eastAsia"/>
                <w:bCs/>
                <w:i/>
                <w:iCs/>
                <w:szCs w:val="21"/>
                <w:u w:val="single"/>
              </w:rPr>
              <w:t xml:space="preserve">    dB（A）</w:t>
            </w:r>
          </w:p>
          <w:tbl>
            <w:tblPr>
              <w:tblW w:w="8399"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28" w:type="dxa"/>
                <w:bottom w:w="0" w:type="dxa"/>
                <w:right w:w="28" w:type="dxa"/>
              </w:tblCellMar>
            </w:tblPr>
            <w:tblGrid>
              <w:gridCol w:w="567"/>
              <w:gridCol w:w="1138"/>
              <w:gridCol w:w="1114"/>
              <w:gridCol w:w="1395"/>
              <w:gridCol w:w="1395"/>
              <w:gridCol w:w="1395"/>
              <w:gridCol w:w="1395"/>
            </w:tblGrid>
            <w:tr>
              <w:tc>
                <w:tcPr>
                  <w:tcW w:w="567" w:type="dxa"/>
                  <w:vAlign w:val="center"/>
                </w:tcPr>
                <w:p>
                  <w:pPr>
                    <w:widowControl/>
                    <w:adjustRightInd w:val="0"/>
                    <w:snapToGrid w:val="0"/>
                    <w:spacing w:line="276" w:lineRule="auto"/>
                    <w:rPr>
                      <w:rFonts w:ascii="宋体" w:hAnsi="宋体" w:cs="宋体"/>
                      <w:i/>
                      <w:iCs/>
                      <w:kern w:val="0"/>
                      <w:sz w:val="21"/>
                      <w:szCs w:val="21"/>
                      <w:u w:val="single"/>
                    </w:rPr>
                  </w:pPr>
                  <w:r>
                    <w:rPr>
                      <w:rFonts w:hint="eastAsia" w:ascii="Calibri" w:hAnsi="Calibri"/>
                      <w:i/>
                      <w:iCs/>
                      <w:sz w:val="21"/>
                      <w:u w:val="single"/>
                    </w:rPr>
                    <w:t>序号</w:t>
                  </w:r>
                </w:p>
              </w:tc>
              <w:tc>
                <w:tcPr>
                  <w:tcW w:w="1138" w:type="dxa"/>
                  <w:vAlign w:val="center"/>
                </w:tcPr>
                <w:p>
                  <w:pPr>
                    <w:widowControl/>
                    <w:adjustRightInd w:val="0"/>
                    <w:snapToGrid w:val="0"/>
                    <w:spacing w:line="276" w:lineRule="auto"/>
                    <w:rPr>
                      <w:rFonts w:ascii="宋体" w:hAnsi="宋体" w:cs="宋体"/>
                      <w:i/>
                      <w:iCs/>
                      <w:kern w:val="0"/>
                      <w:sz w:val="21"/>
                      <w:szCs w:val="21"/>
                      <w:u w:val="single"/>
                    </w:rPr>
                  </w:pPr>
                  <w:r>
                    <w:rPr>
                      <w:rFonts w:hint="eastAsia" w:ascii="Calibri" w:hAnsi="Calibri"/>
                      <w:i/>
                      <w:iCs/>
                      <w:sz w:val="21"/>
                      <w:u w:val="single"/>
                    </w:rPr>
                    <w:t>噪声源名称</w:t>
                  </w:r>
                </w:p>
              </w:tc>
              <w:tc>
                <w:tcPr>
                  <w:tcW w:w="1114" w:type="dxa"/>
                  <w:vAlign w:val="center"/>
                </w:tcPr>
                <w:p>
                  <w:pPr>
                    <w:widowControl/>
                    <w:adjustRightInd w:val="0"/>
                    <w:snapToGrid w:val="0"/>
                    <w:spacing w:line="276" w:lineRule="auto"/>
                    <w:rPr>
                      <w:rFonts w:ascii="宋体" w:hAnsi="宋体" w:cs="宋体"/>
                      <w:i/>
                      <w:iCs/>
                      <w:kern w:val="0"/>
                      <w:sz w:val="21"/>
                      <w:szCs w:val="21"/>
                      <w:u w:val="single"/>
                    </w:rPr>
                  </w:pPr>
                  <w:r>
                    <w:rPr>
                      <w:rFonts w:hint="eastAsia" w:ascii="Calibri" w:hAnsi="Calibri"/>
                      <w:i/>
                      <w:iCs/>
                      <w:sz w:val="21"/>
                      <w:u w:val="single"/>
                    </w:rPr>
                    <w:t>1m 源强 dB (A)</w:t>
                  </w:r>
                </w:p>
              </w:tc>
              <w:tc>
                <w:tcPr>
                  <w:tcW w:w="1395" w:type="dxa"/>
                  <w:vAlign w:val="center"/>
                </w:tcPr>
                <w:p>
                  <w:pPr>
                    <w:widowControl/>
                    <w:adjustRightInd w:val="0"/>
                    <w:snapToGrid w:val="0"/>
                    <w:spacing w:line="276" w:lineRule="auto"/>
                    <w:rPr>
                      <w:rFonts w:ascii="宋体" w:hAnsi="宋体" w:cs="宋体"/>
                      <w:i/>
                      <w:iCs/>
                      <w:kern w:val="0"/>
                      <w:sz w:val="21"/>
                      <w:szCs w:val="21"/>
                      <w:u w:val="single"/>
                    </w:rPr>
                  </w:pPr>
                  <w:r>
                    <w:rPr>
                      <w:rFonts w:hint="eastAsia" w:ascii="Calibri" w:hAnsi="Calibri"/>
                      <w:i/>
                      <w:iCs/>
                      <w:sz w:val="21"/>
                      <w:u w:val="single"/>
                    </w:rPr>
                    <w:t>东厂界贡献 dB (A)</w:t>
                  </w:r>
                </w:p>
              </w:tc>
              <w:tc>
                <w:tcPr>
                  <w:tcW w:w="1395" w:type="dxa"/>
                  <w:vAlign w:val="center"/>
                </w:tcPr>
                <w:p>
                  <w:pPr>
                    <w:widowControl/>
                    <w:adjustRightInd w:val="0"/>
                    <w:snapToGrid w:val="0"/>
                    <w:spacing w:line="276" w:lineRule="auto"/>
                    <w:rPr>
                      <w:rFonts w:ascii="宋体" w:hAnsi="宋体" w:cs="宋体"/>
                      <w:i/>
                      <w:iCs/>
                      <w:kern w:val="0"/>
                      <w:sz w:val="21"/>
                      <w:szCs w:val="21"/>
                      <w:u w:val="single"/>
                    </w:rPr>
                  </w:pPr>
                  <w:r>
                    <w:rPr>
                      <w:rFonts w:hint="eastAsia" w:ascii="Calibri" w:hAnsi="Calibri"/>
                      <w:i/>
                      <w:iCs/>
                      <w:sz w:val="21"/>
                      <w:u w:val="single"/>
                    </w:rPr>
                    <w:t>南厂界贡献 dB (A)</w:t>
                  </w:r>
                </w:p>
              </w:tc>
              <w:tc>
                <w:tcPr>
                  <w:tcW w:w="1395" w:type="dxa"/>
                  <w:vAlign w:val="center"/>
                </w:tcPr>
                <w:p>
                  <w:pPr>
                    <w:widowControl/>
                    <w:adjustRightInd w:val="0"/>
                    <w:snapToGrid w:val="0"/>
                    <w:spacing w:line="276" w:lineRule="auto"/>
                    <w:rPr>
                      <w:rFonts w:ascii="宋体" w:hAnsi="宋体" w:cs="宋体"/>
                      <w:i/>
                      <w:iCs/>
                      <w:kern w:val="0"/>
                      <w:sz w:val="21"/>
                      <w:szCs w:val="21"/>
                      <w:u w:val="single"/>
                    </w:rPr>
                  </w:pPr>
                  <w:r>
                    <w:rPr>
                      <w:rFonts w:hint="eastAsia" w:ascii="Calibri" w:hAnsi="Calibri"/>
                      <w:i/>
                      <w:iCs/>
                      <w:sz w:val="21"/>
                      <w:u w:val="single"/>
                    </w:rPr>
                    <w:t>西厂界贡献 dB (A)</w:t>
                  </w:r>
                </w:p>
              </w:tc>
              <w:tc>
                <w:tcPr>
                  <w:tcW w:w="1395" w:type="dxa"/>
                  <w:vAlign w:val="center"/>
                </w:tcPr>
                <w:p>
                  <w:pPr>
                    <w:widowControl/>
                    <w:adjustRightInd w:val="0"/>
                    <w:snapToGrid w:val="0"/>
                    <w:spacing w:line="276" w:lineRule="auto"/>
                    <w:rPr>
                      <w:rFonts w:ascii="宋体" w:hAnsi="宋体" w:cs="宋体"/>
                      <w:i/>
                      <w:iCs/>
                      <w:kern w:val="0"/>
                      <w:sz w:val="21"/>
                      <w:szCs w:val="21"/>
                      <w:u w:val="single"/>
                    </w:rPr>
                  </w:pPr>
                  <w:r>
                    <w:rPr>
                      <w:rFonts w:hint="eastAsia" w:ascii="Calibri" w:hAnsi="Calibri"/>
                      <w:i/>
                      <w:iCs/>
                      <w:sz w:val="21"/>
                      <w:u w:val="single"/>
                    </w:rPr>
                    <w:t>北厂界贡献 dB (A)</w:t>
                  </w:r>
                </w:p>
              </w:tc>
            </w:tr>
            <w:tr>
              <w:tc>
                <w:tcPr>
                  <w:tcW w:w="567" w:type="dxa"/>
                  <w:vAlign w:val="center"/>
                </w:tcPr>
                <w:p>
                  <w:pPr>
                    <w:widowControl/>
                    <w:adjustRightInd w:val="0"/>
                    <w:snapToGrid w:val="0"/>
                    <w:spacing w:line="276" w:lineRule="auto"/>
                    <w:rPr>
                      <w:rFonts w:ascii="宋体" w:hAnsi="宋体" w:cs="宋体"/>
                      <w:i/>
                      <w:iCs/>
                      <w:kern w:val="0"/>
                      <w:sz w:val="21"/>
                      <w:szCs w:val="21"/>
                      <w:u w:val="single"/>
                    </w:rPr>
                  </w:pPr>
                  <w:r>
                    <w:rPr>
                      <w:rFonts w:hint="eastAsia" w:ascii="Calibri" w:hAnsi="Calibri"/>
                      <w:i/>
                      <w:iCs/>
                      <w:sz w:val="21"/>
                      <w:u w:val="single"/>
                    </w:rPr>
                    <w:t>1</w:t>
                  </w:r>
                </w:p>
              </w:tc>
              <w:tc>
                <w:tcPr>
                  <w:tcW w:w="1138" w:type="dxa"/>
                  <w:vAlign w:val="center"/>
                </w:tcPr>
                <w:p>
                  <w:pPr>
                    <w:widowControl/>
                    <w:adjustRightInd w:val="0"/>
                    <w:snapToGrid w:val="0"/>
                    <w:spacing w:line="276" w:lineRule="auto"/>
                    <w:rPr>
                      <w:rFonts w:ascii="宋体" w:hAnsi="宋体" w:cs="宋体"/>
                      <w:i/>
                      <w:iCs/>
                      <w:kern w:val="0"/>
                      <w:sz w:val="21"/>
                      <w:szCs w:val="21"/>
                      <w:u w:val="single"/>
                    </w:rPr>
                  </w:pPr>
                  <w:r>
                    <w:rPr>
                      <w:rFonts w:hint="eastAsia" w:ascii="Calibri" w:hAnsi="Calibri"/>
                      <w:i/>
                      <w:iCs/>
                      <w:sz w:val="21"/>
                      <w:u w:val="single"/>
                    </w:rPr>
                    <w:t>液压剪挖机</w:t>
                  </w:r>
                </w:p>
              </w:tc>
              <w:tc>
                <w:tcPr>
                  <w:tcW w:w="1114" w:type="dxa"/>
                  <w:vAlign w:val="center"/>
                </w:tcPr>
                <w:p>
                  <w:pPr>
                    <w:widowControl/>
                    <w:adjustRightInd w:val="0"/>
                    <w:snapToGrid w:val="0"/>
                    <w:spacing w:line="276" w:lineRule="auto"/>
                    <w:rPr>
                      <w:rFonts w:ascii="宋体" w:hAnsi="宋体" w:cs="宋体"/>
                      <w:i/>
                      <w:iCs/>
                      <w:kern w:val="0"/>
                      <w:sz w:val="21"/>
                      <w:szCs w:val="21"/>
                      <w:u w:val="single"/>
                    </w:rPr>
                  </w:pPr>
                  <w:r>
                    <w:rPr>
                      <w:rFonts w:hint="eastAsia" w:ascii="宋体" w:hAnsi="宋体"/>
                      <w:i/>
                      <w:iCs/>
                      <w:sz w:val="21"/>
                      <w:u w:val="single"/>
                    </w:rPr>
                    <w:t>85</w:t>
                  </w:r>
                </w:p>
              </w:tc>
              <w:tc>
                <w:tcPr>
                  <w:tcW w:w="1395" w:type="dxa"/>
                  <w:vAlign w:val="center"/>
                </w:tcPr>
                <w:p>
                  <w:pPr>
                    <w:widowControl/>
                    <w:adjustRightInd w:val="0"/>
                    <w:snapToGrid w:val="0"/>
                    <w:spacing w:line="276" w:lineRule="auto"/>
                    <w:rPr>
                      <w:rFonts w:ascii="宋体" w:hAnsi="宋体" w:cs="宋体"/>
                      <w:i/>
                      <w:iCs/>
                      <w:kern w:val="0"/>
                      <w:sz w:val="21"/>
                      <w:szCs w:val="21"/>
                      <w:u w:val="single"/>
                    </w:rPr>
                  </w:pPr>
                  <w:r>
                    <w:rPr>
                      <w:rFonts w:hint="eastAsia" w:ascii="宋体" w:hAnsi="宋体"/>
                      <w:i/>
                      <w:iCs/>
                      <w:sz w:val="21"/>
                      <w:u w:val="single"/>
                    </w:rPr>
                    <w:t>43.55</w:t>
                  </w:r>
                </w:p>
              </w:tc>
              <w:tc>
                <w:tcPr>
                  <w:tcW w:w="1395" w:type="dxa"/>
                  <w:vAlign w:val="center"/>
                </w:tcPr>
                <w:p>
                  <w:pPr>
                    <w:widowControl/>
                    <w:adjustRightInd w:val="0"/>
                    <w:snapToGrid w:val="0"/>
                    <w:spacing w:line="276" w:lineRule="auto"/>
                    <w:rPr>
                      <w:rFonts w:ascii="宋体" w:hAnsi="宋体" w:cs="宋体"/>
                      <w:i/>
                      <w:iCs/>
                      <w:kern w:val="0"/>
                      <w:sz w:val="21"/>
                      <w:szCs w:val="21"/>
                      <w:u w:val="single"/>
                    </w:rPr>
                  </w:pPr>
                  <w:r>
                    <w:rPr>
                      <w:rFonts w:hint="eastAsia" w:ascii="宋体" w:hAnsi="宋体"/>
                      <w:i/>
                      <w:iCs/>
                      <w:sz w:val="21"/>
                      <w:u w:val="single"/>
                    </w:rPr>
                    <w:t>44.42</w:t>
                  </w:r>
                </w:p>
              </w:tc>
              <w:tc>
                <w:tcPr>
                  <w:tcW w:w="1395" w:type="dxa"/>
                  <w:vAlign w:val="center"/>
                </w:tcPr>
                <w:p>
                  <w:pPr>
                    <w:widowControl/>
                    <w:adjustRightInd w:val="0"/>
                    <w:snapToGrid w:val="0"/>
                    <w:spacing w:line="276" w:lineRule="auto"/>
                    <w:rPr>
                      <w:rFonts w:ascii="宋体" w:hAnsi="宋体" w:cs="宋体"/>
                      <w:i/>
                      <w:iCs/>
                      <w:kern w:val="0"/>
                      <w:sz w:val="21"/>
                      <w:szCs w:val="21"/>
                      <w:u w:val="single"/>
                    </w:rPr>
                  </w:pPr>
                  <w:r>
                    <w:rPr>
                      <w:rFonts w:hint="eastAsia" w:ascii="宋体" w:hAnsi="宋体"/>
                      <w:i/>
                      <w:iCs/>
                      <w:sz w:val="21"/>
                      <w:u w:val="single"/>
                    </w:rPr>
                    <w:t>34.15</w:t>
                  </w:r>
                </w:p>
              </w:tc>
              <w:tc>
                <w:tcPr>
                  <w:tcW w:w="1395" w:type="dxa"/>
                  <w:vAlign w:val="center"/>
                </w:tcPr>
                <w:p>
                  <w:pPr>
                    <w:widowControl/>
                    <w:adjustRightInd w:val="0"/>
                    <w:snapToGrid w:val="0"/>
                    <w:spacing w:line="276" w:lineRule="auto"/>
                    <w:rPr>
                      <w:rFonts w:ascii="宋体" w:hAnsi="宋体" w:cs="宋体"/>
                      <w:i/>
                      <w:iCs/>
                      <w:kern w:val="0"/>
                      <w:sz w:val="21"/>
                      <w:szCs w:val="21"/>
                      <w:u w:val="single"/>
                    </w:rPr>
                  </w:pPr>
                  <w:r>
                    <w:rPr>
                      <w:rFonts w:hint="eastAsia" w:ascii="宋体" w:hAnsi="宋体"/>
                      <w:i/>
                      <w:iCs/>
                      <w:sz w:val="21"/>
                      <w:u w:val="single"/>
                    </w:rPr>
                    <w:t>35.35</w:t>
                  </w:r>
                </w:p>
              </w:tc>
            </w:tr>
            <w:tr>
              <w:tc>
                <w:tcPr>
                  <w:tcW w:w="567" w:type="dxa"/>
                  <w:vAlign w:val="center"/>
                </w:tcPr>
                <w:p>
                  <w:pPr>
                    <w:widowControl/>
                    <w:adjustRightInd w:val="0"/>
                    <w:snapToGrid w:val="0"/>
                    <w:spacing w:line="276" w:lineRule="auto"/>
                    <w:rPr>
                      <w:rFonts w:ascii="宋体" w:hAnsi="宋体" w:cs="宋体"/>
                      <w:i/>
                      <w:iCs/>
                      <w:kern w:val="0"/>
                      <w:sz w:val="21"/>
                      <w:szCs w:val="21"/>
                      <w:u w:val="single"/>
                    </w:rPr>
                  </w:pPr>
                  <w:r>
                    <w:rPr>
                      <w:rFonts w:hint="eastAsia" w:ascii="Calibri" w:hAnsi="Calibri"/>
                      <w:i/>
                      <w:iCs/>
                      <w:sz w:val="21"/>
                      <w:u w:val="single"/>
                    </w:rPr>
                    <w:t>2</w:t>
                  </w:r>
                </w:p>
              </w:tc>
              <w:tc>
                <w:tcPr>
                  <w:tcW w:w="1138" w:type="dxa"/>
                  <w:vAlign w:val="center"/>
                </w:tcPr>
                <w:p>
                  <w:pPr>
                    <w:widowControl/>
                    <w:adjustRightInd w:val="0"/>
                    <w:snapToGrid w:val="0"/>
                    <w:spacing w:line="276" w:lineRule="auto"/>
                    <w:rPr>
                      <w:rFonts w:ascii="宋体" w:hAnsi="宋体" w:cs="宋体"/>
                      <w:i/>
                      <w:iCs/>
                      <w:kern w:val="0"/>
                      <w:sz w:val="21"/>
                      <w:szCs w:val="21"/>
                      <w:u w:val="single"/>
                    </w:rPr>
                  </w:pPr>
                  <w:r>
                    <w:rPr>
                      <w:rFonts w:hint="eastAsia" w:ascii="Calibri" w:hAnsi="Calibri"/>
                      <w:i/>
                      <w:iCs/>
                      <w:sz w:val="21"/>
                      <w:u w:val="single"/>
                    </w:rPr>
                    <w:t>重型鹰嘴剪</w:t>
                  </w:r>
                </w:p>
              </w:tc>
              <w:tc>
                <w:tcPr>
                  <w:tcW w:w="1114" w:type="dxa"/>
                  <w:vAlign w:val="center"/>
                </w:tcPr>
                <w:p>
                  <w:pPr>
                    <w:widowControl/>
                    <w:adjustRightInd w:val="0"/>
                    <w:snapToGrid w:val="0"/>
                    <w:spacing w:line="276" w:lineRule="auto"/>
                    <w:rPr>
                      <w:rFonts w:ascii="宋体" w:hAnsi="宋体" w:cs="宋体"/>
                      <w:i/>
                      <w:iCs/>
                      <w:kern w:val="0"/>
                      <w:sz w:val="21"/>
                      <w:szCs w:val="21"/>
                      <w:u w:val="single"/>
                    </w:rPr>
                  </w:pPr>
                  <w:r>
                    <w:rPr>
                      <w:rFonts w:hint="eastAsia" w:ascii="宋体" w:hAnsi="宋体"/>
                      <w:i/>
                      <w:iCs/>
                      <w:sz w:val="21"/>
                      <w:u w:val="single"/>
                    </w:rPr>
                    <w:t>70</w:t>
                  </w:r>
                </w:p>
              </w:tc>
              <w:tc>
                <w:tcPr>
                  <w:tcW w:w="1395" w:type="dxa"/>
                  <w:vAlign w:val="center"/>
                </w:tcPr>
                <w:p>
                  <w:pPr>
                    <w:widowControl/>
                    <w:adjustRightInd w:val="0"/>
                    <w:snapToGrid w:val="0"/>
                    <w:spacing w:line="276" w:lineRule="auto"/>
                    <w:rPr>
                      <w:rFonts w:ascii="宋体" w:hAnsi="宋体" w:cs="宋体"/>
                      <w:i/>
                      <w:iCs/>
                      <w:kern w:val="0"/>
                      <w:sz w:val="21"/>
                      <w:szCs w:val="21"/>
                      <w:u w:val="single"/>
                    </w:rPr>
                  </w:pPr>
                  <w:r>
                    <w:rPr>
                      <w:rFonts w:hint="eastAsia" w:ascii="宋体" w:hAnsi="宋体"/>
                      <w:i/>
                      <w:iCs/>
                      <w:sz w:val="21"/>
                      <w:u w:val="single"/>
                    </w:rPr>
                    <w:t>24.62</w:t>
                  </w:r>
                </w:p>
              </w:tc>
              <w:tc>
                <w:tcPr>
                  <w:tcW w:w="1395" w:type="dxa"/>
                  <w:vAlign w:val="center"/>
                </w:tcPr>
                <w:p>
                  <w:pPr>
                    <w:widowControl/>
                    <w:adjustRightInd w:val="0"/>
                    <w:snapToGrid w:val="0"/>
                    <w:spacing w:line="276" w:lineRule="auto"/>
                    <w:rPr>
                      <w:rFonts w:ascii="宋体" w:hAnsi="宋体" w:cs="宋体"/>
                      <w:i/>
                      <w:iCs/>
                      <w:kern w:val="0"/>
                      <w:sz w:val="21"/>
                      <w:szCs w:val="21"/>
                      <w:u w:val="single"/>
                    </w:rPr>
                  </w:pPr>
                  <w:r>
                    <w:rPr>
                      <w:rFonts w:hint="eastAsia" w:ascii="宋体" w:hAnsi="宋体"/>
                      <w:i/>
                      <w:iCs/>
                      <w:sz w:val="21"/>
                      <w:u w:val="single"/>
                    </w:rPr>
                    <w:t>32.07</w:t>
                  </w:r>
                </w:p>
              </w:tc>
              <w:tc>
                <w:tcPr>
                  <w:tcW w:w="1395" w:type="dxa"/>
                  <w:vAlign w:val="center"/>
                </w:tcPr>
                <w:p>
                  <w:pPr>
                    <w:widowControl/>
                    <w:adjustRightInd w:val="0"/>
                    <w:snapToGrid w:val="0"/>
                    <w:spacing w:line="276" w:lineRule="auto"/>
                    <w:rPr>
                      <w:rFonts w:ascii="宋体" w:hAnsi="宋体" w:cs="宋体"/>
                      <w:i/>
                      <w:iCs/>
                      <w:kern w:val="0"/>
                      <w:sz w:val="21"/>
                      <w:szCs w:val="21"/>
                      <w:u w:val="single"/>
                    </w:rPr>
                  </w:pPr>
                  <w:r>
                    <w:rPr>
                      <w:rFonts w:hint="eastAsia" w:ascii="宋体" w:hAnsi="宋体"/>
                      <w:i/>
                      <w:iCs/>
                      <w:sz w:val="21"/>
                      <w:u w:val="single"/>
                    </w:rPr>
                    <w:t>21.02</w:t>
                  </w:r>
                </w:p>
              </w:tc>
              <w:tc>
                <w:tcPr>
                  <w:tcW w:w="1395" w:type="dxa"/>
                  <w:vAlign w:val="center"/>
                </w:tcPr>
                <w:p>
                  <w:pPr>
                    <w:widowControl/>
                    <w:adjustRightInd w:val="0"/>
                    <w:snapToGrid w:val="0"/>
                    <w:spacing w:line="276" w:lineRule="auto"/>
                    <w:rPr>
                      <w:rFonts w:ascii="宋体" w:hAnsi="宋体" w:cs="宋体"/>
                      <w:i/>
                      <w:iCs/>
                      <w:kern w:val="0"/>
                      <w:sz w:val="21"/>
                      <w:szCs w:val="21"/>
                      <w:u w:val="single"/>
                    </w:rPr>
                  </w:pPr>
                  <w:r>
                    <w:rPr>
                      <w:rFonts w:hint="eastAsia" w:ascii="宋体" w:hAnsi="宋体"/>
                      <w:i/>
                      <w:iCs/>
                      <w:sz w:val="21"/>
                      <w:u w:val="single"/>
                    </w:rPr>
                    <w:t>19.73</w:t>
                  </w:r>
                </w:p>
              </w:tc>
            </w:tr>
            <w:tr>
              <w:tc>
                <w:tcPr>
                  <w:tcW w:w="567" w:type="dxa"/>
                  <w:vAlign w:val="center"/>
                </w:tcPr>
                <w:p>
                  <w:pPr>
                    <w:widowControl/>
                    <w:adjustRightInd w:val="0"/>
                    <w:snapToGrid w:val="0"/>
                    <w:spacing w:line="276" w:lineRule="auto"/>
                    <w:rPr>
                      <w:rFonts w:ascii="宋体" w:hAnsi="宋体" w:cs="宋体"/>
                      <w:i/>
                      <w:iCs/>
                      <w:kern w:val="0"/>
                      <w:sz w:val="21"/>
                      <w:szCs w:val="21"/>
                      <w:u w:val="single"/>
                    </w:rPr>
                  </w:pPr>
                  <w:r>
                    <w:rPr>
                      <w:rFonts w:hint="eastAsia" w:ascii="Calibri" w:hAnsi="Calibri"/>
                      <w:i/>
                      <w:iCs/>
                      <w:sz w:val="21"/>
                      <w:u w:val="single"/>
                    </w:rPr>
                    <w:t>3</w:t>
                  </w:r>
                </w:p>
              </w:tc>
              <w:tc>
                <w:tcPr>
                  <w:tcW w:w="1138" w:type="dxa"/>
                  <w:vAlign w:val="center"/>
                </w:tcPr>
                <w:p>
                  <w:pPr>
                    <w:widowControl/>
                    <w:adjustRightInd w:val="0"/>
                    <w:snapToGrid w:val="0"/>
                    <w:spacing w:line="276" w:lineRule="auto"/>
                    <w:rPr>
                      <w:rFonts w:ascii="宋体" w:hAnsi="宋体" w:cs="宋体"/>
                      <w:i/>
                      <w:iCs/>
                      <w:kern w:val="0"/>
                      <w:sz w:val="21"/>
                      <w:szCs w:val="21"/>
                      <w:u w:val="single"/>
                    </w:rPr>
                  </w:pPr>
                  <w:r>
                    <w:rPr>
                      <w:rFonts w:hint="eastAsia" w:ascii="Calibri" w:hAnsi="Calibri"/>
                      <w:i/>
                      <w:iCs/>
                      <w:sz w:val="21"/>
                      <w:u w:val="single"/>
                    </w:rPr>
                    <w:t>抽油机 1#</w:t>
                  </w:r>
                </w:p>
              </w:tc>
              <w:tc>
                <w:tcPr>
                  <w:tcW w:w="1114" w:type="dxa"/>
                  <w:vAlign w:val="center"/>
                </w:tcPr>
                <w:p>
                  <w:pPr>
                    <w:widowControl/>
                    <w:adjustRightInd w:val="0"/>
                    <w:snapToGrid w:val="0"/>
                    <w:spacing w:line="276" w:lineRule="auto"/>
                    <w:rPr>
                      <w:rFonts w:ascii="宋体" w:hAnsi="宋体" w:cs="宋体"/>
                      <w:i/>
                      <w:iCs/>
                      <w:kern w:val="0"/>
                      <w:sz w:val="21"/>
                      <w:szCs w:val="21"/>
                      <w:u w:val="single"/>
                    </w:rPr>
                  </w:pPr>
                  <w:r>
                    <w:rPr>
                      <w:rFonts w:hint="eastAsia" w:ascii="宋体" w:hAnsi="宋体"/>
                      <w:i/>
                      <w:iCs/>
                      <w:sz w:val="21"/>
                      <w:u w:val="single"/>
                    </w:rPr>
                    <w:t>80</w:t>
                  </w:r>
                </w:p>
              </w:tc>
              <w:tc>
                <w:tcPr>
                  <w:tcW w:w="1395" w:type="dxa"/>
                  <w:vAlign w:val="center"/>
                </w:tcPr>
                <w:p>
                  <w:pPr>
                    <w:widowControl/>
                    <w:adjustRightInd w:val="0"/>
                    <w:snapToGrid w:val="0"/>
                    <w:spacing w:line="276" w:lineRule="auto"/>
                    <w:rPr>
                      <w:rFonts w:ascii="宋体" w:hAnsi="宋体" w:cs="宋体"/>
                      <w:i/>
                      <w:iCs/>
                      <w:kern w:val="0"/>
                      <w:sz w:val="21"/>
                      <w:szCs w:val="21"/>
                      <w:u w:val="single"/>
                    </w:rPr>
                  </w:pPr>
                  <w:r>
                    <w:rPr>
                      <w:rFonts w:hint="eastAsia" w:ascii="宋体" w:hAnsi="宋体"/>
                      <w:i/>
                      <w:iCs/>
                      <w:sz w:val="21"/>
                      <w:u w:val="single"/>
                    </w:rPr>
                    <w:t>29.88</w:t>
                  </w:r>
                </w:p>
              </w:tc>
              <w:tc>
                <w:tcPr>
                  <w:tcW w:w="1395" w:type="dxa"/>
                  <w:vAlign w:val="center"/>
                </w:tcPr>
                <w:p>
                  <w:pPr>
                    <w:widowControl/>
                    <w:adjustRightInd w:val="0"/>
                    <w:snapToGrid w:val="0"/>
                    <w:spacing w:line="276" w:lineRule="auto"/>
                    <w:rPr>
                      <w:rFonts w:ascii="宋体" w:hAnsi="宋体" w:cs="宋体"/>
                      <w:i/>
                      <w:iCs/>
                      <w:kern w:val="0"/>
                      <w:sz w:val="21"/>
                      <w:szCs w:val="21"/>
                      <w:u w:val="single"/>
                    </w:rPr>
                  </w:pPr>
                  <w:r>
                    <w:rPr>
                      <w:rFonts w:hint="eastAsia" w:ascii="宋体" w:hAnsi="宋体"/>
                      <w:i/>
                      <w:iCs/>
                      <w:sz w:val="21"/>
                      <w:u w:val="single"/>
                    </w:rPr>
                    <w:t>43.41</w:t>
                  </w:r>
                </w:p>
              </w:tc>
              <w:tc>
                <w:tcPr>
                  <w:tcW w:w="1395" w:type="dxa"/>
                  <w:vAlign w:val="center"/>
                </w:tcPr>
                <w:p>
                  <w:pPr>
                    <w:widowControl/>
                    <w:adjustRightInd w:val="0"/>
                    <w:snapToGrid w:val="0"/>
                    <w:spacing w:line="276" w:lineRule="auto"/>
                    <w:rPr>
                      <w:rFonts w:ascii="宋体" w:hAnsi="宋体" w:cs="宋体"/>
                      <w:i/>
                      <w:iCs/>
                      <w:kern w:val="0"/>
                      <w:sz w:val="21"/>
                      <w:szCs w:val="21"/>
                      <w:u w:val="single"/>
                    </w:rPr>
                  </w:pPr>
                  <w:r>
                    <w:rPr>
                      <w:rFonts w:hint="eastAsia" w:ascii="宋体" w:hAnsi="宋体"/>
                      <w:i/>
                      <w:iCs/>
                      <w:sz w:val="21"/>
                      <w:u w:val="single"/>
                    </w:rPr>
                    <w:t>32.33</w:t>
                  </w:r>
                </w:p>
              </w:tc>
              <w:tc>
                <w:tcPr>
                  <w:tcW w:w="1395" w:type="dxa"/>
                  <w:vAlign w:val="center"/>
                </w:tcPr>
                <w:p>
                  <w:pPr>
                    <w:widowControl/>
                    <w:adjustRightInd w:val="0"/>
                    <w:snapToGrid w:val="0"/>
                    <w:spacing w:line="276" w:lineRule="auto"/>
                    <w:rPr>
                      <w:rFonts w:ascii="宋体" w:hAnsi="宋体" w:cs="宋体"/>
                      <w:i/>
                      <w:iCs/>
                      <w:kern w:val="0"/>
                      <w:sz w:val="21"/>
                      <w:szCs w:val="21"/>
                      <w:u w:val="single"/>
                    </w:rPr>
                  </w:pPr>
                  <w:r>
                    <w:rPr>
                      <w:rFonts w:hint="eastAsia" w:ascii="宋体" w:hAnsi="宋体"/>
                      <w:i/>
                      <w:iCs/>
                      <w:sz w:val="21"/>
                      <w:u w:val="single"/>
                    </w:rPr>
                    <w:t>30.19</w:t>
                  </w:r>
                </w:p>
              </w:tc>
            </w:tr>
            <w:tr>
              <w:tc>
                <w:tcPr>
                  <w:tcW w:w="567" w:type="dxa"/>
                  <w:vAlign w:val="center"/>
                </w:tcPr>
                <w:p>
                  <w:pPr>
                    <w:widowControl/>
                    <w:adjustRightInd w:val="0"/>
                    <w:snapToGrid w:val="0"/>
                    <w:spacing w:line="276" w:lineRule="auto"/>
                    <w:rPr>
                      <w:rFonts w:ascii="宋体" w:hAnsi="宋体" w:cs="宋体"/>
                      <w:i/>
                      <w:iCs/>
                      <w:kern w:val="0"/>
                      <w:sz w:val="21"/>
                      <w:szCs w:val="21"/>
                      <w:u w:val="single"/>
                    </w:rPr>
                  </w:pPr>
                  <w:r>
                    <w:rPr>
                      <w:rFonts w:hint="eastAsia" w:ascii="Calibri" w:hAnsi="Calibri"/>
                      <w:i/>
                      <w:iCs/>
                      <w:sz w:val="21"/>
                      <w:u w:val="single"/>
                    </w:rPr>
                    <w:t>4</w:t>
                  </w:r>
                </w:p>
              </w:tc>
              <w:tc>
                <w:tcPr>
                  <w:tcW w:w="1138" w:type="dxa"/>
                  <w:vAlign w:val="center"/>
                </w:tcPr>
                <w:p>
                  <w:pPr>
                    <w:widowControl/>
                    <w:adjustRightInd w:val="0"/>
                    <w:snapToGrid w:val="0"/>
                    <w:spacing w:line="276" w:lineRule="auto"/>
                    <w:rPr>
                      <w:rFonts w:ascii="宋体" w:hAnsi="宋体" w:cs="宋体"/>
                      <w:i/>
                      <w:iCs/>
                      <w:kern w:val="0"/>
                      <w:sz w:val="21"/>
                      <w:szCs w:val="21"/>
                      <w:u w:val="single"/>
                    </w:rPr>
                  </w:pPr>
                  <w:r>
                    <w:rPr>
                      <w:rFonts w:hint="eastAsia" w:ascii="Calibri" w:hAnsi="Calibri"/>
                      <w:i/>
                      <w:iCs/>
                      <w:sz w:val="21"/>
                      <w:u w:val="single"/>
                    </w:rPr>
                    <w:t>抽油机 2#</w:t>
                  </w:r>
                </w:p>
              </w:tc>
              <w:tc>
                <w:tcPr>
                  <w:tcW w:w="1114" w:type="dxa"/>
                  <w:vAlign w:val="center"/>
                </w:tcPr>
                <w:p>
                  <w:pPr>
                    <w:widowControl/>
                    <w:adjustRightInd w:val="0"/>
                    <w:snapToGrid w:val="0"/>
                    <w:spacing w:line="276" w:lineRule="auto"/>
                    <w:rPr>
                      <w:rFonts w:ascii="宋体" w:hAnsi="宋体" w:cs="宋体"/>
                      <w:i/>
                      <w:iCs/>
                      <w:kern w:val="0"/>
                      <w:sz w:val="21"/>
                      <w:szCs w:val="21"/>
                      <w:u w:val="single"/>
                    </w:rPr>
                  </w:pPr>
                  <w:r>
                    <w:rPr>
                      <w:rFonts w:hint="eastAsia" w:ascii="宋体" w:hAnsi="宋体"/>
                      <w:i/>
                      <w:iCs/>
                      <w:sz w:val="21"/>
                      <w:u w:val="single"/>
                    </w:rPr>
                    <w:t>80</w:t>
                  </w:r>
                </w:p>
              </w:tc>
              <w:tc>
                <w:tcPr>
                  <w:tcW w:w="1395" w:type="dxa"/>
                  <w:vAlign w:val="center"/>
                </w:tcPr>
                <w:p>
                  <w:pPr>
                    <w:widowControl/>
                    <w:adjustRightInd w:val="0"/>
                    <w:snapToGrid w:val="0"/>
                    <w:spacing w:line="276" w:lineRule="auto"/>
                    <w:rPr>
                      <w:rFonts w:ascii="宋体" w:hAnsi="宋体" w:cs="宋体"/>
                      <w:i/>
                      <w:iCs/>
                      <w:kern w:val="0"/>
                      <w:sz w:val="21"/>
                      <w:szCs w:val="21"/>
                      <w:u w:val="single"/>
                    </w:rPr>
                  </w:pPr>
                  <w:r>
                    <w:rPr>
                      <w:rFonts w:hint="eastAsia" w:ascii="宋体" w:hAnsi="宋体"/>
                      <w:i/>
                      <w:iCs/>
                      <w:sz w:val="21"/>
                      <w:u w:val="single"/>
                    </w:rPr>
                    <w:t>30.35</w:t>
                  </w:r>
                </w:p>
              </w:tc>
              <w:tc>
                <w:tcPr>
                  <w:tcW w:w="1395" w:type="dxa"/>
                  <w:vAlign w:val="center"/>
                </w:tcPr>
                <w:p>
                  <w:pPr>
                    <w:widowControl/>
                    <w:adjustRightInd w:val="0"/>
                    <w:snapToGrid w:val="0"/>
                    <w:spacing w:line="276" w:lineRule="auto"/>
                    <w:rPr>
                      <w:rFonts w:ascii="宋体" w:hAnsi="宋体" w:cs="宋体"/>
                      <w:i/>
                      <w:iCs/>
                      <w:kern w:val="0"/>
                      <w:sz w:val="21"/>
                      <w:szCs w:val="21"/>
                      <w:u w:val="single"/>
                    </w:rPr>
                  </w:pPr>
                  <w:r>
                    <w:rPr>
                      <w:rFonts w:hint="eastAsia" w:ascii="宋体" w:hAnsi="宋体"/>
                      <w:i/>
                      <w:iCs/>
                      <w:sz w:val="21"/>
                      <w:u w:val="single"/>
                    </w:rPr>
                    <w:t>43.41</w:t>
                  </w:r>
                </w:p>
              </w:tc>
              <w:tc>
                <w:tcPr>
                  <w:tcW w:w="1395" w:type="dxa"/>
                  <w:vAlign w:val="center"/>
                </w:tcPr>
                <w:p>
                  <w:pPr>
                    <w:widowControl/>
                    <w:adjustRightInd w:val="0"/>
                    <w:snapToGrid w:val="0"/>
                    <w:spacing w:line="276" w:lineRule="auto"/>
                    <w:rPr>
                      <w:rFonts w:ascii="宋体" w:hAnsi="宋体" w:cs="宋体"/>
                      <w:i/>
                      <w:iCs/>
                      <w:kern w:val="0"/>
                      <w:sz w:val="21"/>
                      <w:szCs w:val="21"/>
                      <w:u w:val="single"/>
                    </w:rPr>
                  </w:pPr>
                  <w:r>
                    <w:rPr>
                      <w:rFonts w:hint="eastAsia" w:ascii="宋体" w:hAnsi="宋体"/>
                      <w:i/>
                      <w:iCs/>
                      <w:sz w:val="21"/>
                      <w:u w:val="single"/>
                    </w:rPr>
                    <w:t>31.74</w:t>
                  </w:r>
                </w:p>
              </w:tc>
              <w:tc>
                <w:tcPr>
                  <w:tcW w:w="1395" w:type="dxa"/>
                  <w:vAlign w:val="center"/>
                </w:tcPr>
                <w:p>
                  <w:pPr>
                    <w:widowControl/>
                    <w:adjustRightInd w:val="0"/>
                    <w:snapToGrid w:val="0"/>
                    <w:spacing w:line="276" w:lineRule="auto"/>
                    <w:rPr>
                      <w:rFonts w:ascii="宋体" w:hAnsi="宋体" w:cs="宋体"/>
                      <w:i/>
                      <w:iCs/>
                      <w:kern w:val="0"/>
                      <w:sz w:val="21"/>
                      <w:szCs w:val="21"/>
                      <w:u w:val="single"/>
                    </w:rPr>
                  </w:pPr>
                  <w:r>
                    <w:rPr>
                      <w:rFonts w:hint="eastAsia" w:ascii="宋体" w:hAnsi="宋体"/>
                      <w:i/>
                      <w:iCs/>
                      <w:sz w:val="21"/>
                      <w:u w:val="single"/>
                    </w:rPr>
                    <w:t>30.35</w:t>
                  </w:r>
                </w:p>
              </w:tc>
            </w:tr>
            <w:tr>
              <w:tc>
                <w:tcPr>
                  <w:tcW w:w="567" w:type="dxa"/>
                  <w:vAlign w:val="center"/>
                </w:tcPr>
                <w:p>
                  <w:pPr>
                    <w:widowControl/>
                    <w:adjustRightInd w:val="0"/>
                    <w:snapToGrid w:val="0"/>
                    <w:spacing w:line="276" w:lineRule="auto"/>
                    <w:rPr>
                      <w:rFonts w:ascii="宋体" w:hAnsi="宋体" w:cs="宋体"/>
                      <w:i/>
                      <w:iCs/>
                      <w:kern w:val="0"/>
                      <w:sz w:val="21"/>
                      <w:szCs w:val="21"/>
                      <w:u w:val="single"/>
                    </w:rPr>
                  </w:pPr>
                  <w:r>
                    <w:rPr>
                      <w:rFonts w:hint="eastAsia" w:ascii="Calibri" w:hAnsi="Calibri"/>
                      <w:i/>
                      <w:iCs/>
                      <w:sz w:val="21"/>
                      <w:u w:val="single"/>
                    </w:rPr>
                    <w:t>5</w:t>
                  </w:r>
                </w:p>
              </w:tc>
              <w:tc>
                <w:tcPr>
                  <w:tcW w:w="1138" w:type="dxa"/>
                  <w:vAlign w:val="center"/>
                </w:tcPr>
                <w:p>
                  <w:pPr>
                    <w:widowControl/>
                    <w:adjustRightInd w:val="0"/>
                    <w:snapToGrid w:val="0"/>
                    <w:spacing w:line="276" w:lineRule="auto"/>
                    <w:rPr>
                      <w:rFonts w:ascii="宋体" w:hAnsi="宋体" w:cs="宋体"/>
                      <w:i/>
                      <w:iCs/>
                      <w:kern w:val="0"/>
                      <w:sz w:val="21"/>
                      <w:szCs w:val="21"/>
                      <w:u w:val="single"/>
                    </w:rPr>
                  </w:pPr>
                  <w:r>
                    <w:rPr>
                      <w:rFonts w:hint="eastAsia" w:ascii="Calibri" w:hAnsi="Calibri"/>
                      <w:i/>
                      <w:iCs/>
                      <w:sz w:val="21"/>
                      <w:u w:val="single"/>
                    </w:rPr>
                    <w:t>抽油机 3#</w:t>
                  </w:r>
                </w:p>
              </w:tc>
              <w:tc>
                <w:tcPr>
                  <w:tcW w:w="1114" w:type="dxa"/>
                  <w:vAlign w:val="center"/>
                </w:tcPr>
                <w:p>
                  <w:pPr>
                    <w:widowControl/>
                    <w:adjustRightInd w:val="0"/>
                    <w:snapToGrid w:val="0"/>
                    <w:spacing w:line="276" w:lineRule="auto"/>
                    <w:rPr>
                      <w:rFonts w:ascii="宋体" w:hAnsi="宋体" w:cs="宋体"/>
                      <w:i/>
                      <w:iCs/>
                      <w:kern w:val="0"/>
                      <w:sz w:val="21"/>
                      <w:szCs w:val="21"/>
                      <w:u w:val="single"/>
                    </w:rPr>
                  </w:pPr>
                  <w:r>
                    <w:rPr>
                      <w:rFonts w:hint="eastAsia" w:ascii="宋体" w:hAnsi="宋体"/>
                      <w:i/>
                      <w:iCs/>
                      <w:sz w:val="21"/>
                      <w:u w:val="single"/>
                    </w:rPr>
                    <w:t>80</w:t>
                  </w:r>
                </w:p>
              </w:tc>
              <w:tc>
                <w:tcPr>
                  <w:tcW w:w="1395" w:type="dxa"/>
                  <w:vAlign w:val="center"/>
                </w:tcPr>
                <w:p>
                  <w:pPr>
                    <w:widowControl/>
                    <w:adjustRightInd w:val="0"/>
                    <w:snapToGrid w:val="0"/>
                    <w:spacing w:line="276" w:lineRule="auto"/>
                    <w:rPr>
                      <w:rFonts w:ascii="宋体" w:hAnsi="宋体" w:cs="宋体"/>
                      <w:i/>
                      <w:iCs/>
                      <w:kern w:val="0"/>
                      <w:sz w:val="21"/>
                      <w:szCs w:val="21"/>
                      <w:u w:val="single"/>
                    </w:rPr>
                  </w:pPr>
                  <w:r>
                    <w:rPr>
                      <w:rFonts w:hint="eastAsia" w:ascii="宋体" w:hAnsi="宋体"/>
                      <w:i/>
                      <w:iCs/>
                      <w:sz w:val="21"/>
                      <w:u w:val="single"/>
                    </w:rPr>
                    <w:t>30.84</w:t>
                  </w:r>
                </w:p>
              </w:tc>
              <w:tc>
                <w:tcPr>
                  <w:tcW w:w="1395" w:type="dxa"/>
                  <w:vAlign w:val="center"/>
                </w:tcPr>
                <w:p>
                  <w:pPr>
                    <w:widowControl/>
                    <w:adjustRightInd w:val="0"/>
                    <w:snapToGrid w:val="0"/>
                    <w:spacing w:line="276" w:lineRule="auto"/>
                    <w:rPr>
                      <w:rFonts w:ascii="宋体" w:hAnsi="宋体" w:cs="宋体"/>
                      <w:i/>
                      <w:iCs/>
                      <w:kern w:val="0"/>
                      <w:sz w:val="21"/>
                      <w:szCs w:val="21"/>
                      <w:u w:val="single"/>
                    </w:rPr>
                  </w:pPr>
                  <w:r>
                    <w:rPr>
                      <w:rFonts w:hint="eastAsia" w:ascii="宋体" w:hAnsi="宋体"/>
                      <w:i/>
                      <w:iCs/>
                      <w:sz w:val="21"/>
                      <w:u w:val="single"/>
                    </w:rPr>
                    <w:t>43.41</w:t>
                  </w:r>
                </w:p>
              </w:tc>
              <w:tc>
                <w:tcPr>
                  <w:tcW w:w="1395" w:type="dxa"/>
                  <w:vAlign w:val="center"/>
                </w:tcPr>
                <w:p>
                  <w:pPr>
                    <w:widowControl/>
                    <w:adjustRightInd w:val="0"/>
                    <w:snapToGrid w:val="0"/>
                    <w:spacing w:line="276" w:lineRule="auto"/>
                    <w:rPr>
                      <w:rFonts w:ascii="宋体" w:hAnsi="宋体" w:cs="宋体"/>
                      <w:i/>
                      <w:iCs/>
                      <w:kern w:val="0"/>
                      <w:sz w:val="21"/>
                      <w:szCs w:val="21"/>
                      <w:u w:val="single"/>
                    </w:rPr>
                  </w:pPr>
                  <w:r>
                    <w:rPr>
                      <w:rFonts w:hint="eastAsia" w:ascii="宋体" w:hAnsi="宋体"/>
                      <w:i/>
                      <w:iCs/>
                      <w:sz w:val="21"/>
                      <w:u w:val="single"/>
                    </w:rPr>
                    <w:t>31.19</w:t>
                  </w:r>
                </w:p>
              </w:tc>
              <w:tc>
                <w:tcPr>
                  <w:tcW w:w="1395" w:type="dxa"/>
                  <w:vAlign w:val="center"/>
                </w:tcPr>
                <w:p>
                  <w:pPr>
                    <w:widowControl/>
                    <w:adjustRightInd w:val="0"/>
                    <w:snapToGrid w:val="0"/>
                    <w:spacing w:line="276" w:lineRule="auto"/>
                    <w:rPr>
                      <w:rFonts w:ascii="宋体" w:hAnsi="宋体" w:cs="宋体"/>
                      <w:i/>
                      <w:iCs/>
                      <w:kern w:val="0"/>
                      <w:sz w:val="21"/>
                      <w:szCs w:val="21"/>
                      <w:u w:val="single"/>
                    </w:rPr>
                  </w:pPr>
                  <w:r>
                    <w:rPr>
                      <w:rFonts w:hint="eastAsia" w:ascii="宋体" w:hAnsi="宋体"/>
                      <w:i/>
                      <w:iCs/>
                      <w:sz w:val="21"/>
                      <w:u w:val="single"/>
                    </w:rPr>
                    <w:t>30.03</w:t>
                  </w:r>
                </w:p>
              </w:tc>
            </w:tr>
            <w:tr>
              <w:tc>
                <w:tcPr>
                  <w:tcW w:w="567" w:type="dxa"/>
                  <w:vAlign w:val="center"/>
                </w:tcPr>
                <w:p>
                  <w:pPr>
                    <w:widowControl/>
                    <w:adjustRightInd w:val="0"/>
                    <w:snapToGrid w:val="0"/>
                    <w:spacing w:line="276" w:lineRule="auto"/>
                    <w:rPr>
                      <w:rFonts w:ascii="宋体" w:hAnsi="宋体" w:cs="宋体"/>
                      <w:i/>
                      <w:iCs/>
                      <w:kern w:val="0"/>
                      <w:sz w:val="21"/>
                      <w:szCs w:val="21"/>
                      <w:u w:val="single"/>
                    </w:rPr>
                  </w:pPr>
                  <w:r>
                    <w:rPr>
                      <w:rFonts w:hint="eastAsia" w:ascii="Calibri" w:hAnsi="Calibri"/>
                      <w:i/>
                      <w:iCs/>
                      <w:sz w:val="21"/>
                      <w:u w:val="single"/>
                    </w:rPr>
                    <w:t>6</w:t>
                  </w:r>
                </w:p>
              </w:tc>
              <w:tc>
                <w:tcPr>
                  <w:tcW w:w="1138" w:type="dxa"/>
                  <w:vAlign w:val="center"/>
                </w:tcPr>
                <w:p>
                  <w:pPr>
                    <w:widowControl/>
                    <w:adjustRightInd w:val="0"/>
                    <w:snapToGrid w:val="0"/>
                    <w:spacing w:line="276" w:lineRule="auto"/>
                    <w:rPr>
                      <w:rFonts w:ascii="宋体" w:hAnsi="宋体" w:cs="宋体"/>
                      <w:i/>
                      <w:iCs/>
                      <w:kern w:val="0"/>
                      <w:sz w:val="21"/>
                      <w:szCs w:val="21"/>
                      <w:u w:val="single"/>
                    </w:rPr>
                  </w:pPr>
                  <w:r>
                    <w:rPr>
                      <w:rFonts w:hint="eastAsia" w:ascii="Calibri" w:hAnsi="Calibri"/>
                      <w:i/>
                      <w:iCs/>
                      <w:sz w:val="21"/>
                      <w:u w:val="single"/>
                    </w:rPr>
                    <w:t>叉车</w:t>
                  </w:r>
                </w:p>
              </w:tc>
              <w:tc>
                <w:tcPr>
                  <w:tcW w:w="1114" w:type="dxa"/>
                  <w:vAlign w:val="center"/>
                </w:tcPr>
                <w:p>
                  <w:pPr>
                    <w:widowControl/>
                    <w:adjustRightInd w:val="0"/>
                    <w:snapToGrid w:val="0"/>
                    <w:spacing w:line="276" w:lineRule="auto"/>
                    <w:rPr>
                      <w:rFonts w:ascii="宋体" w:hAnsi="宋体" w:cs="宋体"/>
                      <w:i/>
                      <w:iCs/>
                      <w:kern w:val="0"/>
                      <w:sz w:val="21"/>
                      <w:szCs w:val="21"/>
                      <w:u w:val="single"/>
                    </w:rPr>
                  </w:pPr>
                  <w:r>
                    <w:rPr>
                      <w:rFonts w:hint="eastAsia" w:ascii="宋体" w:hAnsi="宋体"/>
                      <w:i/>
                      <w:iCs/>
                      <w:sz w:val="21"/>
                      <w:u w:val="single"/>
                    </w:rPr>
                    <w:t>75</w:t>
                  </w:r>
                </w:p>
              </w:tc>
              <w:tc>
                <w:tcPr>
                  <w:tcW w:w="1395" w:type="dxa"/>
                  <w:vAlign w:val="center"/>
                </w:tcPr>
                <w:p>
                  <w:pPr>
                    <w:widowControl/>
                    <w:adjustRightInd w:val="0"/>
                    <w:snapToGrid w:val="0"/>
                    <w:spacing w:line="276" w:lineRule="auto"/>
                    <w:rPr>
                      <w:rFonts w:ascii="宋体" w:hAnsi="宋体" w:cs="宋体"/>
                      <w:i/>
                      <w:iCs/>
                      <w:kern w:val="0"/>
                      <w:sz w:val="21"/>
                      <w:szCs w:val="21"/>
                      <w:u w:val="single"/>
                    </w:rPr>
                  </w:pPr>
                  <w:r>
                    <w:rPr>
                      <w:rFonts w:hint="eastAsia" w:ascii="宋体" w:hAnsi="宋体"/>
                      <w:i/>
                      <w:iCs/>
                      <w:sz w:val="21"/>
                      <w:u w:val="single"/>
                    </w:rPr>
                    <w:t>27.13</w:t>
                  </w:r>
                </w:p>
              </w:tc>
              <w:tc>
                <w:tcPr>
                  <w:tcW w:w="1395" w:type="dxa"/>
                  <w:vAlign w:val="center"/>
                </w:tcPr>
                <w:p>
                  <w:pPr>
                    <w:widowControl/>
                    <w:adjustRightInd w:val="0"/>
                    <w:snapToGrid w:val="0"/>
                    <w:spacing w:line="276" w:lineRule="auto"/>
                    <w:rPr>
                      <w:rFonts w:ascii="宋体" w:hAnsi="宋体" w:cs="宋体"/>
                      <w:i/>
                      <w:iCs/>
                      <w:kern w:val="0"/>
                      <w:sz w:val="21"/>
                      <w:szCs w:val="21"/>
                      <w:u w:val="single"/>
                    </w:rPr>
                  </w:pPr>
                  <w:r>
                    <w:rPr>
                      <w:rFonts w:hint="eastAsia" w:ascii="宋体" w:hAnsi="宋体"/>
                      <w:i/>
                      <w:iCs/>
                      <w:sz w:val="21"/>
                      <w:u w:val="single"/>
                    </w:rPr>
                    <w:t>37.07</w:t>
                  </w:r>
                </w:p>
              </w:tc>
              <w:tc>
                <w:tcPr>
                  <w:tcW w:w="1395" w:type="dxa"/>
                  <w:vAlign w:val="center"/>
                </w:tcPr>
                <w:p>
                  <w:pPr>
                    <w:widowControl/>
                    <w:adjustRightInd w:val="0"/>
                    <w:snapToGrid w:val="0"/>
                    <w:spacing w:line="276" w:lineRule="auto"/>
                    <w:rPr>
                      <w:rFonts w:ascii="宋体" w:hAnsi="宋体" w:cs="宋体"/>
                      <w:i/>
                      <w:iCs/>
                      <w:kern w:val="0"/>
                      <w:sz w:val="21"/>
                      <w:szCs w:val="21"/>
                      <w:u w:val="single"/>
                    </w:rPr>
                  </w:pPr>
                  <w:r>
                    <w:rPr>
                      <w:rFonts w:hint="eastAsia" w:ascii="宋体" w:hAnsi="宋体"/>
                      <w:i/>
                      <w:iCs/>
                      <w:sz w:val="21"/>
                      <w:u w:val="single"/>
                    </w:rPr>
                    <w:t>27.53</w:t>
                  </w:r>
                </w:p>
              </w:tc>
              <w:tc>
                <w:tcPr>
                  <w:tcW w:w="1395" w:type="dxa"/>
                  <w:vAlign w:val="center"/>
                </w:tcPr>
                <w:p>
                  <w:pPr>
                    <w:widowControl/>
                    <w:adjustRightInd w:val="0"/>
                    <w:snapToGrid w:val="0"/>
                    <w:spacing w:line="276" w:lineRule="auto"/>
                    <w:rPr>
                      <w:rFonts w:ascii="宋体" w:hAnsi="宋体" w:cs="宋体"/>
                      <w:i/>
                      <w:iCs/>
                      <w:kern w:val="0"/>
                      <w:sz w:val="21"/>
                      <w:szCs w:val="21"/>
                      <w:u w:val="single"/>
                    </w:rPr>
                  </w:pPr>
                  <w:r>
                    <w:rPr>
                      <w:rFonts w:hint="eastAsia" w:ascii="宋体" w:hAnsi="宋体"/>
                      <w:i/>
                      <w:iCs/>
                      <w:sz w:val="21"/>
                      <w:u w:val="single"/>
                    </w:rPr>
                    <w:t>25.03</w:t>
                  </w:r>
                </w:p>
              </w:tc>
            </w:tr>
            <w:tr>
              <w:tc>
                <w:tcPr>
                  <w:tcW w:w="567" w:type="dxa"/>
                  <w:vAlign w:val="center"/>
                </w:tcPr>
                <w:p>
                  <w:pPr>
                    <w:widowControl/>
                    <w:adjustRightInd w:val="0"/>
                    <w:snapToGrid w:val="0"/>
                    <w:spacing w:line="276" w:lineRule="auto"/>
                    <w:rPr>
                      <w:rFonts w:ascii="宋体" w:hAnsi="宋体" w:cs="宋体"/>
                      <w:i/>
                      <w:iCs/>
                      <w:kern w:val="0"/>
                      <w:sz w:val="21"/>
                      <w:szCs w:val="21"/>
                      <w:u w:val="single"/>
                    </w:rPr>
                  </w:pPr>
                  <w:r>
                    <w:rPr>
                      <w:rFonts w:hint="eastAsia" w:ascii="Calibri" w:hAnsi="Calibri"/>
                      <w:i/>
                      <w:iCs/>
                      <w:sz w:val="21"/>
                      <w:u w:val="single"/>
                    </w:rPr>
                    <w:t>7</w:t>
                  </w:r>
                </w:p>
              </w:tc>
              <w:tc>
                <w:tcPr>
                  <w:tcW w:w="1138" w:type="dxa"/>
                  <w:vAlign w:val="center"/>
                </w:tcPr>
                <w:p>
                  <w:pPr>
                    <w:widowControl/>
                    <w:adjustRightInd w:val="0"/>
                    <w:snapToGrid w:val="0"/>
                    <w:spacing w:line="276" w:lineRule="auto"/>
                    <w:rPr>
                      <w:rFonts w:ascii="宋体" w:hAnsi="宋体" w:cs="宋体"/>
                      <w:i/>
                      <w:iCs/>
                      <w:kern w:val="0"/>
                      <w:sz w:val="21"/>
                      <w:szCs w:val="21"/>
                      <w:u w:val="single"/>
                    </w:rPr>
                  </w:pPr>
                  <w:r>
                    <w:rPr>
                      <w:rFonts w:hint="eastAsia" w:ascii="Calibri" w:hAnsi="Calibri"/>
                      <w:i/>
                      <w:iCs/>
                      <w:sz w:val="21"/>
                      <w:u w:val="single"/>
                    </w:rPr>
                    <w:t>风机 1#</w:t>
                  </w:r>
                </w:p>
              </w:tc>
              <w:tc>
                <w:tcPr>
                  <w:tcW w:w="1114" w:type="dxa"/>
                  <w:vAlign w:val="center"/>
                </w:tcPr>
                <w:p>
                  <w:pPr>
                    <w:widowControl/>
                    <w:adjustRightInd w:val="0"/>
                    <w:snapToGrid w:val="0"/>
                    <w:spacing w:line="276" w:lineRule="auto"/>
                    <w:rPr>
                      <w:rFonts w:ascii="宋体" w:hAnsi="宋体" w:cs="宋体"/>
                      <w:i/>
                      <w:iCs/>
                      <w:kern w:val="0"/>
                      <w:sz w:val="21"/>
                      <w:szCs w:val="21"/>
                      <w:u w:val="single"/>
                    </w:rPr>
                  </w:pPr>
                  <w:r>
                    <w:rPr>
                      <w:rFonts w:hint="eastAsia" w:ascii="宋体" w:hAnsi="宋体"/>
                      <w:i/>
                      <w:iCs/>
                      <w:sz w:val="21"/>
                      <w:u w:val="single"/>
                    </w:rPr>
                    <w:t>80</w:t>
                  </w:r>
                </w:p>
              </w:tc>
              <w:tc>
                <w:tcPr>
                  <w:tcW w:w="1395" w:type="dxa"/>
                  <w:vAlign w:val="center"/>
                </w:tcPr>
                <w:p>
                  <w:pPr>
                    <w:widowControl/>
                    <w:adjustRightInd w:val="0"/>
                    <w:snapToGrid w:val="0"/>
                    <w:spacing w:line="276" w:lineRule="auto"/>
                    <w:rPr>
                      <w:rFonts w:ascii="宋体" w:hAnsi="宋体" w:cs="宋体"/>
                      <w:i/>
                      <w:iCs/>
                      <w:kern w:val="0"/>
                      <w:sz w:val="21"/>
                      <w:szCs w:val="21"/>
                      <w:u w:val="single"/>
                    </w:rPr>
                  </w:pPr>
                  <w:r>
                    <w:rPr>
                      <w:rFonts w:hint="eastAsia" w:ascii="宋体" w:hAnsi="宋体"/>
                      <w:i/>
                      <w:iCs/>
                      <w:sz w:val="21"/>
                      <w:u w:val="single"/>
                    </w:rPr>
                    <w:t>34.37</w:t>
                  </w:r>
                </w:p>
              </w:tc>
              <w:tc>
                <w:tcPr>
                  <w:tcW w:w="1395" w:type="dxa"/>
                  <w:vAlign w:val="center"/>
                </w:tcPr>
                <w:p>
                  <w:pPr>
                    <w:widowControl/>
                    <w:adjustRightInd w:val="0"/>
                    <w:snapToGrid w:val="0"/>
                    <w:spacing w:line="276" w:lineRule="auto"/>
                    <w:rPr>
                      <w:rFonts w:ascii="宋体" w:hAnsi="宋体" w:cs="宋体"/>
                      <w:i/>
                      <w:iCs/>
                      <w:kern w:val="0"/>
                      <w:sz w:val="21"/>
                      <w:szCs w:val="21"/>
                      <w:u w:val="single"/>
                    </w:rPr>
                  </w:pPr>
                  <w:r>
                    <w:rPr>
                      <w:rFonts w:hint="eastAsia" w:ascii="宋体" w:hAnsi="宋体"/>
                      <w:i/>
                      <w:iCs/>
                      <w:sz w:val="21"/>
                      <w:u w:val="single"/>
                    </w:rPr>
                    <w:t>48.09</w:t>
                  </w:r>
                </w:p>
              </w:tc>
              <w:tc>
                <w:tcPr>
                  <w:tcW w:w="1395" w:type="dxa"/>
                  <w:vAlign w:val="center"/>
                </w:tcPr>
                <w:p>
                  <w:pPr>
                    <w:widowControl/>
                    <w:adjustRightInd w:val="0"/>
                    <w:snapToGrid w:val="0"/>
                    <w:spacing w:line="276" w:lineRule="auto"/>
                    <w:rPr>
                      <w:rFonts w:ascii="宋体" w:hAnsi="宋体" w:cs="宋体"/>
                      <w:i/>
                      <w:iCs/>
                      <w:kern w:val="0"/>
                      <w:sz w:val="21"/>
                      <w:szCs w:val="21"/>
                      <w:u w:val="single"/>
                    </w:rPr>
                  </w:pPr>
                  <w:r>
                    <w:rPr>
                      <w:rFonts w:hint="eastAsia" w:ascii="宋体" w:hAnsi="宋体"/>
                      <w:i/>
                      <w:iCs/>
                      <w:sz w:val="21"/>
                      <w:u w:val="single"/>
                    </w:rPr>
                    <w:t>28.60</w:t>
                  </w:r>
                </w:p>
              </w:tc>
              <w:tc>
                <w:tcPr>
                  <w:tcW w:w="1395" w:type="dxa"/>
                  <w:vAlign w:val="center"/>
                </w:tcPr>
                <w:p>
                  <w:pPr>
                    <w:widowControl/>
                    <w:adjustRightInd w:val="0"/>
                    <w:snapToGrid w:val="0"/>
                    <w:spacing w:line="276" w:lineRule="auto"/>
                    <w:rPr>
                      <w:rFonts w:ascii="宋体" w:hAnsi="宋体" w:cs="宋体"/>
                      <w:i/>
                      <w:iCs/>
                      <w:kern w:val="0"/>
                      <w:sz w:val="21"/>
                      <w:szCs w:val="21"/>
                      <w:u w:val="single"/>
                    </w:rPr>
                  </w:pPr>
                  <w:r>
                    <w:rPr>
                      <w:rFonts w:hint="eastAsia" w:ascii="宋体" w:hAnsi="宋体"/>
                      <w:i/>
                      <w:iCs/>
                      <w:sz w:val="21"/>
                      <w:u w:val="single"/>
                    </w:rPr>
                    <w:t>31.19</w:t>
                  </w:r>
                </w:p>
              </w:tc>
            </w:tr>
            <w:tr>
              <w:tc>
                <w:tcPr>
                  <w:tcW w:w="567" w:type="dxa"/>
                  <w:vAlign w:val="center"/>
                </w:tcPr>
                <w:p>
                  <w:pPr>
                    <w:widowControl/>
                    <w:adjustRightInd w:val="0"/>
                    <w:snapToGrid w:val="0"/>
                    <w:spacing w:line="276" w:lineRule="auto"/>
                    <w:rPr>
                      <w:rFonts w:ascii="宋体" w:hAnsi="宋体" w:cs="宋体"/>
                      <w:i/>
                      <w:iCs/>
                      <w:kern w:val="0"/>
                      <w:sz w:val="21"/>
                      <w:szCs w:val="21"/>
                      <w:u w:val="single"/>
                    </w:rPr>
                  </w:pPr>
                  <w:r>
                    <w:rPr>
                      <w:rFonts w:hint="eastAsia" w:ascii="Calibri" w:hAnsi="Calibri"/>
                      <w:i/>
                      <w:iCs/>
                      <w:sz w:val="21"/>
                      <w:u w:val="single"/>
                    </w:rPr>
                    <w:t>8</w:t>
                  </w:r>
                </w:p>
              </w:tc>
              <w:tc>
                <w:tcPr>
                  <w:tcW w:w="1138" w:type="dxa"/>
                  <w:vAlign w:val="center"/>
                </w:tcPr>
                <w:p>
                  <w:pPr>
                    <w:widowControl/>
                    <w:adjustRightInd w:val="0"/>
                    <w:snapToGrid w:val="0"/>
                    <w:spacing w:line="276" w:lineRule="auto"/>
                    <w:rPr>
                      <w:rFonts w:ascii="宋体" w:hAnsi="宋体" w:cs="宋体"/>
                      <w:i/>
                      <w:iCs/>
                      <w:kern w:val="0"/>
                      <w:sz w:val="21"/>
                      <w:szCs w:val="21"/>
                      <w:u w:val="single"/>
                    </w:rPr>
                  </w:pPr>
                  <w:r>
                    <w:rPr>
                      <w:rFonts w:hint="eastAsia" w:ascii="Calibri" w:hAnsi="Calibri"/>
                      <w:i/>
                      <w:iCs/>
                      <w:sz w:val="21"/>
                      <w:u w:val="single"/>
                    </w:rPr>
                    <w:t>风机 2#</w:t>
                  </w:r>
                </w:p>
              </w:tc>
              <w:tc>
                <w:tcPr>
                  <w:tcW w:w="1114" w:type="dxa"/>
                  <w:vAlign w:val="center"/>
                </w:tcPr>
                <w:p>
                  <w:pPr>
                    <w:widowControl/>
                    <w:adjustRightInd w:val="0"/>
                    <w:snapToGrid w:val="0"/>
                    <w:spacing w:line="276" w:lineRule="auto"/>
                    <w:rPr>
                      <w:rFonts w:ascii="宋体" w:hAnsi="宋体" w:cs="宋体"/>
                      <w:i/>
                      <w:iCs/>
                      <w:kern w:val="0"/>
                      <w:sz w:val="21"/>
                      <w:szCs w:val="21"/>
                      <w:u w:val="single"/>
                    </w:rPr>
                  </w:pPr>
                  <w:r>
                    <w:rPr>
                      <w:rFonts w:hint="eastAsia" w:ascii="宋体" w:hAnsi="宋体"/>
                      <w:i/>
                      <w:iCs/>
                      <w:sz w:val="21"/>
                      <w:u w:val="single"/>
                    </w:rPr>
                    <w:t>80</w:t>
                  </w:r>
                </w:p>
              </w:tc>
              <w:tc>
                <w:tcPr>
                  <w:tcW w:w="1395" w:type="dxa"/>
                  <w:vAlign w:val="center"/>
                </w:tcPr>
                <w:p>
                  <w:pPr>
                    <w:widowControl/>
                    <w:adjustRightInd w:val="0"/>
                    <w:snapToGrid w:val="0"/>
                    <w:spacing w:line="276" w:lineRule="auto"/>
                    <w:rPr>
                      <w:rFonts w:ascii="宋体" w:hAnsi="宋体" w:cs="宋体"/>
                      <w:i/>
                      <w:iCs/>
                      <w:kern w:val="0"/>
                      <w:sz w:val="21"/>
                      <w:szCs w:val="21"/>
                      <w:u w:val="single"/>
                    </w:rPr>
                  </w:pPr>
                  <w:r>
                    <w:rPr>
                      <w:rFonts w:hint="eastAsia" w:ascii="宋体" w:hAnsi="宋体"/>
                      <w:i/>
                      <w:iCs/>
                      <w:sz w:val="21"/>
                      <w:u w:val="single"/>
                    </w:rPr>
                    <w:t>35.75</w:t>
                  </w:r>
                </w:p>
              </w:tc>
              <w:tc>
                <w:tcPr>
                  <w:tcW w:w="1395" w:type="dxa"/>
                  <w:vAlign w:val="center"/>
                </w:tcPr>
                <w:p>
                  <w:pPr>
                    <w:widowControl/>
                    <w:adjustRightInd w:val="0"/>
                    <w:snapToGrid w:val="0"/>
                    <w:spacing w:line="276" w:lineRule="auto"/>
                    <w:rPr>
                      <w:rFonts w:ascii="宋体" w:hAnsi="宋体" w:cs="宋体"/>
                      <w:i/>
                      <w:iCs/>
                      <w:kern w:val="0"/>
                      <w:sz w:val="21"/>
                      <w:szCs w:val="21"/>
                      <w:u w:val="single"/>
                    </w:rPr>
                  </w:pPr>
                  <w:r>
                    <w:rPr>
                      <w:rFonts w:hint="eastAsia" w:ascii="宋体" w:hAnsi="宋体"/>
                      <w:i/>
                      <w:iCs/>
                      <w:sz w:val="21"/>
                      <w:u w:val="single"/>
                    </w:rPr>
                    <w:t>43.41</w:t>
                  </w:r>
                </w:p>
              </w:tc>
              <w:tc>
                <w:tcPr>
                  <w:tcW w:w="1395" w:type="dxa"/>
                  <w:vAlign w:val="center"/>
                </w:tcPr>
                <w:p>
                  <w:pPr>
                    <w:widowControl/>
                    <w:adjustRightInd w:val="0"/>
                    <w:snapToGrid w:val="0"/>
                    <w:spacing w:line="276" w:lineRule="auto"/>
                    <w:rPr>
                      <w:rFonts w:ascii="宋体" w:hAnsi="宋体" w:cs="宋体"/>
                      <w:i/>
                      <w:iCs/>
                      <w:kern w:val="0"/>
                      <w:sz w:val="21"/>
                      <w:szCs w:val="21"/>
                      <w:u w:val="single"/>
                    </w:rPr>
                  </w:pPr>
                  <w:r>
                    <w:rPr>
                      <w:rFonts w:hint="eastAsia" w:ascii="宋体" w:hAnsi="宋体"/>
                      <w:i/>
                      <w:iCs/>
                      <w:sz w:val="21"/>
                      <w:u w:val="single"/>
                    </w:rPr>
                    <w:t>27.94</w:t>
                  </w:r>
                </w:p>
              </w:tc>
              <w:tc>
                <w:tcPr>
                  <w:tcW w:w="1395" w:type="dxa"/>
                  <w:vAlign w:val="center"/>
                </w:tcPr>
                <w:p>
                  <w:pPr>
                    <w:widowControl/>
                    <w:adjustRightInd w:val="0"/>
                    <w:snapToGrid w:val="0"/>
                    <w:spacing w:line="276" w:lineRule="auto"/>
                    <w:rPr>
                      <w:rFonts w:ascii="宋体" w:hAnsi="宋体" w:cs="宋体"/>
                      <w:i/>
                      <w:iCs/>
                      <w:kern w:val="0"/>
                      <w:sz w:val="21"/>
                      <w:szCs w:val="21"/>
                      <w:u w:val="single"/>
                    </w:rPr>
                  </w:pPr>
                  <w:r>
                    <w:rPr>
                      <w:rFonts w:hint="eastAsia" w:ascii="宋体" w:hAnsi="宋体"/>
                      <w:i/>
                      <w:iCs/>
                      <w:sz w:val="21"/>
                      <w:u w:val="single"/>
                    </w:rPr>
                    <w:t>31.37</w:t>
                  </w:r>
                </w:p>
              </w:tc>
            </w:tr>
            <w:tr>
              <w:tc>
                <w:tcPr>
                  <w:tcW w:w="567" w:type="dxa"/>
                  <w:vAlign w:val="center"/>
                </w:tcPr>
                <w:p>
                  <w:pPr>
                    <w:widowControl/>
                    <w:adjustRightInd w:val="0"/>
                    <w:snapToGrid w:val="0"/>
                    <w:spacing w:line="276" w:lineRule="auto"/>
                    <w:rPr>
                      <w:rFonts w:ascii="宋体" w:hAnsi="宋体" w:cs="宋体"/>
                      <w:i/>
                      <w:iCs/>
                      <w:kern w:val="0"/>
                      <w:sz w:val="21"/>
                      <w:szCs w:val="21"/>
                      <w:u w:val="single"/>
                    </w:rPr>
                  </w:pPr>
                  <w:r>
                    <w:rPr>
                      <w:rFonts w:hint="eastAsia" w:ascii="Calibri" w:hAnsi="Calibri"/>
                      <w:i/>
                      <w:iCs/>
                      <w:sz w:val="21"/>
                      <w:u w:val="single"/>
                    </w:rPr>
                    <w:t>9</w:t>
                  </w:r>
                </w:p>
              </w:tc>
              <w:tc>
                <w:tcPr>
                  <w:tcW w:w="1138" w:type="dxa"/>
                  <w:vAlign w:val="center"/>
                </w:tcPr>
                <w:p>
                  <w:pPr>
                    <w:widowControl/>
                    <w:adjustRightInd w:val="0"/>
                    <w:snapToGrid w:val="0"/>
                    <w:spacing w:line="276" w:lineRule="auto"/>
                    <w:rPr>
                      <w:rFonts w:ascii="宋体" w:hAnsi="宋体" w:cs="宋体"/>
                      <w:i/>
                      <w:iCs/>
                      <w:kern w:val="0"/>
                      <w:sz w:val="21"/>
                      <w:szCs w:val="21"/>
                      <w:u w:val="single"/>
                    </w:rPr>
                  </w:pPr>
                  <w:r>
                    <w:rPr>
                      <w:rFonts w:hint="eastAsia" w:ascii="Calibri" w:hAnsi="Calibri"/>
                      <w:i/>
                      <w:iCs/>
                      <w:sz w:val="21"/>
                      <w:u w:val="single"/>
                    </w:rPr>
                    <w:t>空压机</w:t>
                  </w:r>
                </w:p>
              </w:tc>
              <w:tc>
                <w:tcPr>
                  <w:tcW w:w="1114" w:type="dxa"/>
                  <w:vAlign w:val="center"/>
                </w:tcPr>
                <w:p>
                  <w:pPr>
                    <w:widowControl/>
                    <w:adjustRightInd w:val="0"/>
                    <w:snapToGrid w:val="0"/>
                    <w:spacing w:line="276" w:lineRule="auto"/>
                    <w:rPr>
                      <w:rFonts w:ascii="宋体" w:hAnsi="宋体" w:cs="宋体"/>
                      <w:i/>
                      <w:iCs/>
                      <w:kern w:val="0"/>
                      <w:sz w:val="21"/>
                      <w:szCs w:val="21"/>
                      <w:u w:val="single"/>
                    </w:rPr>
                  </w:pPr>
                  <w:r>
                    <w:rPr>
                      <w:rFonts w:hint="eastAsia" w:ascii="宋体" w:hAnsi="宋体"/>
                      <w:i/>
                      <w:iCs/>
                      <w:sz w:val="21"/>
                      <w:u w:val="single"/>
                    </w:rPr>
                    <w:t>75</w:t>
                  </w:r>
                </w:p>
              </w:tc>
              <w:tc>
                <w:tcPr>
                  <w:tcW w:w="1395" w:type="dxa"/>
                  <w:vAlign w:val="center"/>
                </w:tcPr>
                <w:p>
                  <w:pPr>
                    <w:widowControl/>
                    <w:adjustRightInd w:val="0"/>
                    <w:snapToGrid w:val="0"/>
                    <w:spacing w:line="276" w:lineRule="auto"/>
                    <w:rPr>
                      <w:rFonts w:ascii="宋体" w:hAnsi="宋体" w:cs="宋体"/>
                      <w:i/>
                      <w:iCs/>
                      <w:kern w:val="0"/>
                      <w:sz w:val="21"/>
                      <w:szCs w:val="21"/>
                      <w:u w:val="single"/>
                    </w:rPr>
                  </w:pPr>
                  <w:r>
                    <w:rPr>
                      <w:rFonts w:hint="eastAsia" w:ascii="宋体" w:hAnsi="宋体"/>
                      <w:i/>
                      <w:iCs/>
                      <w:sz w:val="21"/>
                      <w:u w:val="single"/>
                    </w:rPr>
                    <w:t>34.42</w:t>
                  </w:r>
                </w:p>
              </w:tc>
              <w:tc>
                <w:tcPr>
                  <w:tcW w:w="1395" w:type="dxa"/>
                  <w:vAlign w:val="center"/>
                </w:tcPr>
                <w:p>
                  <w:pPr>
                    <w:widowControl/>
                    <w:adjustRightInd w:val="0"/>
                    <w:snapToGrid w:val="0"/>
                    <w:spacing w:line="276" w:lineRule="auto"/>
                    <w:rPr>
                      <w:rFonts w:ascii="宋体" w:hAnsi="宋体" w:cs="宋体"/>
                      <w:i/>
                      <w:iCs/>
                      <w:kern w:val="0"/>
                      <w:sz w:val="21"/>
                      <w:szCs w:val="21"/>
                      <w:u w:val="single"/>
                    </w:rPr>
                  </w:pPr>
                  <w:r>
                    <w:rPr>
                      <w:rFonts w:hint="eastAsia" w:ascii="宋体" w:hAnsi="宋体"/>
                      <w:i/>
                      <w:iCs/>
                      <w:sz w:val="21"/>
                      <w:u w:val="single"/>
                    </w:rPr>
                    <w:t>40.00</w:t>
                  </w:r>
                </w:p>
              </w:tc>
              <w:tc>
                <w:tcPr>
                  <w:tcW w:w="1395" w:type="dxa"/>
                  <w:vAlign w:val="center"/>
                </w:tcPr>
                <w:p>
                  <w:pPr>
                    <w:widowControl/>
                    <w:adjustRightInd w:val="0"/>
                    <w:snapToGrid w:val="0"/>
                    <w:spacing w:line="276" w:lineRule="auto"/>
                    <w:rPr>
                      <w:rFonts w:ascii="宋体" w:hAnsi="宋体" w:cs="宋体"/>
                      <w:i/>
                      <w:iCs/>
                      <w:kern w:val="0"/>
                      <w:sz w:val="21"/>
                      <w:szCs w:val="21"/>
                      <w:u w:val="single"/>
                    </w:rPr>
                  </w:pPr>
                  <w:r>
                    <w:rPr>
                      <w:rFonts w:hint="eastAsia" w:ascii="宋体" w:hAnsi="宋体"/>
                      <w:i/>
                      <w:iCs/>
                      <w:sz w:val="21"/>
                      <w:u w:val="single"/>
                    </w:rPr>
                    <w:t>21.83</w:t>
                  </w:r>
                </w:p>
              </w:tc>
              <w:tc>
                <w:tcPr>
                  <w:tcW w:w="1395" w:type="dxa"/>
                  <w:vAlign w:val="center"/>
                </w:tcPr>
                <w:p>
                  <w:pPr>
                    <w:widowControl/>
                    <w:adjustRightInd w:val="0"/>
                    <w:snapToGrid w:val="0"/>
                    <w:spacing w:line="276" w:lineRule="auto"/>
                    <w:rPr>
                      <w:rFonts w:ascii="宋体" w:hAnsi="宋体" w:cs="宋体"/>
                      <w:i/>
                      <w:iCs/>
                      <w:kern w:val="0"/>
                      <w:sz w:val="21"/>
                      <w:szCs w:val="21"/>
                      <w:u w:val="single"/>
                    </w:rPr>
                  </w:pPr>
                  <w:r>
                    <w:rPr>
                      <w:rFonts w:hint="eastAsia" w:ascii="宋体" w:hAnsi="宋体"/>
                      <w:i/>
                      <w:iCs/>
                      <w:sz w:val="21"/>
                      <w:u w:val="single"/>
                    </w:rPr>
                    <w:t>40.00</w:t>
                  </w:r>
                </w:p>
              </w:tc>
            </w:tr>
            <w:tr>
              <w:tc>
                <w:tcPr>
                  <w:tcW w:w="567" w:type="dxa"/>
                  <w:vAlign w:val="center"/>
                </w:tcPr>
                <w:p>
                  <w:pPr>
                    <w:widowControl/>
                    <w:adjustRightInd w:val="0"/>
                    <w:snapToGrid w:val="0"/>
                    <w:spacing w:line="276" w:lineRule="auto"/>
                    <w:rPr>
                      <w:rFonts w:ascii="宋体" w:hAnsi="宋体" w:cs="宋体"/>
                      <w:i/>
                      <w:iCs/>
                      <w:kern w:val="0"/>
                      <w:sz w:val="21"/>
                      <w:szCs w:val="21"/>
                      <w:u w:val="single"/>
                    </w:rPr>
                  </w:pPr>
                  <w:r>
                    <w:rPr>
                      <w:rFonts w:hint="eastAsia" w:ascii="Calibri" w:hAnsi="Calibri"/>
                      <w:i/>
                      <w:iCs/>
                      <w:sz w:val="21"/>
                      <w:u w:val="single"/>
                    </w:rPr>
                    <w:t>——</w:t>
                  </w:r>
                </w:p>
              </w:tc>
              <w:tc>
                <w:tcPr>
                  <w:tcW w:w="1138" w:type="dxa"/>
                  <w:vAlign w:val="center"/>
                </w:tcPr>
                <w:p>
                  <w:pPr>
                    <w:widowControl/>
                    <w:adjustRightInd w:val="0"/>
                    <w:snapToGrid w:val="0"/>
                    <w:spacing w:line="276" w:lineRule="auto"/>
                    <w:rPr>
                      <w:rFonts w:ascii="宋体" w:hAnsi="宋体" w:cs="宋体"/>
                      <w:i/>
                      <w:iCs/>
                      <w:kern w:val="0"/>
                      <w:sz w:val="21"/>
                      <w:szCs w:val="21"/>
                      <w:u w:val="single"/>
                    </w:rPr>
                  </w:pPr>
                  <w:r>
                    <w:rPr>
                      <w:rFonts w:hint="eastAsia" w:ascii="Calibri" w:hAnsi="Calibri"/>
                      <w:i/>
                      <w:iCs/>
                      <w:sz w:val="21"/>
                      <w:u w:val="single"/>
                    </w:rPr>
                    <w:t>多声源叠加总声级</w:t>
                  </w:r>
                </w:p>
              </w:tc>
              <w:tc>
                <w:tcPr>
                  <w:tcW w:w="1114" w:type="dxa"/>
                  <w:vAlign w:val="center"/>
                </w:tcPr>
                <w:p>
                  <w:pPr>
                    <w:widowControl/>
                    <w:adjustRightInd w:val="0"/>
                    <w:snapToGrid w:val="0"/>
                    <w:spacing w:line="276" w:lineRule="auto"/>
                    <w:rPr>
                      <w:rFonts w:ascii="宋体" w:hAnsi="宋体" w:cs="宋体"/>
                      <w:i/>
                      <w:iCs/>
                      <w:kern w:val="0"/>
                      <w:sz w:val="21"/>
                      <w:szCs w:val="21"/>
                      <w:u w:val="single"/>
                    </w:rPr>
                  </w:pPr>
                  <w:r>
                    <w:rPr>
                      <w:rFonts w:hint="eastAsia" w:ascii="宋体" w:hAnsi="宋体"/>
                      <w:i/>
                      <w:iCs/>
                      <w:sz w:val="21"/>
                      <w:u w:val="single"/>
                    </w:rPr>
                    <w:t>—</w:t>
                  </w:r>
                </w:p>
              </w:tc>
              <w:tc>
                <w:tcPr>
                  <w:tcW w:w="1395" w:type="dxa"/>
                  <w:vAlign w:val="center"/>
                </w:tcPr>
                <w:p>
                  <w:pPr>
                    <w:widowControl/>
                    <w:adjustRightInd w:val="0"/>
                    <w:snapToGrid w:val="0"/>
                    <w:spacing w:line="276" w:lineRule="auto"/>
                    <w:rPr>
                      <w:rFonts w:ascii="宋体" w:hAnsi="宋体" w:cs="宋体"/>
                      <w:i/>
                      <w:iCs/>
                      <w:kern w:val="0"/>
                      <w:sz w:val="21"/>
                      <w:szCs w:val="21"/>
                      <w:u w:val="single"/>
                    </w:rPr>
                  </w:pPr>
                  <w:r>
                    <w:rPr>
                      <w:rFonts w:hint="eastAsia" w:ascii="宋体" w:hAnsi="宋体"/>
                      <w:i/>
                      <w:iCs/>
                      <w:sz w:val="21"/>
                      <w:u w:val="single"/>
                    </w:rPr>
                    <w:t>45.56</w:t>
                  </w:r>
                </w:p>
              </w:tc>
              <w:tc>
                <w:tcPr>
                  <w:tcW w:w="1395" w:type="dxa"/>
                  <w:vAlign w:val="center"/>
                </w:tcPr>
                <w:p>
                  <w:pPr>
                    <w:widowControl/>
                    <w:adjustRightInd w:val="0"/>
                    <w:snapToGrid w:val="0"/>
                    <w:spacing w:line="276" w:lineRule="auto"/>
                    <w:rPr>
                      <w:rFonts w:ascii="宋体" w:hAnsi="宋体" w:cs="宋体"/>
                      <w:i/>
                      <w:iCs/>
                      <w:kern w:val="0"/>
                      <w:sz w:val="21"/>
                      <w:szCs w:val="21"/>
                      <w:u w:val="single"/>
                    </w:rPr>
                  </w:pPr>
                  <w:r>
                    <w:rPr>
                      <w:rFonts w:hint="eastAsia" w:ascii="宋体" w:hAnsi="宋体"/>
                      <w:i/>
                      <w:iCs/>
                      <w:sz w:val="21"/>
                      <w:u w:val="single"/>
                    </w:rPr>
                    <w:t>39.69</w:t>
                  </w:r>
                </w:p>
              </w:tc>
              <w:tc>
                <w:tcPr>
                  <w:tcW w:w="1395" w:type="dxa"/>
                  <w:vAlign w:val="center"/>
                </w:tcPr>
                <w:p>
                  <w:pPr>
                    <w:widowControl/>
                    <w:adjustRightInd w:val="0"/>
                    <w:snapToGrid w:val="0"/>
                    <w:spacing w:line="276" w:lineRule="auto"/>
                    <w:rPr>
                      <w:rFonts w:ascii="宋体" w:hAnsi="宋体" w:cs="宋体"/>
                      <w:i/>
                      <w:iCs/>
                      <w:kern w:val="0"/>
                      <w:sz w:val="21"/>
                      <w:szCs w:val="21"/>
                      <w:u w:val="single"/>
                    </w:rPr>
                  </w:pPr>
                  <w:r>
                    <w:rPr>
                      <w:rFonts w:hint="eastAsia" w:ascii="宋体" w:hAnsi="宋体"/>
                      <w:i/>
                      <w:iCs/>
                      <w:sz w:val="21"/>
                      <w:u w:val="single"/>
                    </w:rPr>
                    <w:t>39.69</w:t>
                  </w:r>
                </w:p>
              </w:tc>
              <w:tc>
                <w:tcPr>
                  <w:tcW w:w="1395" w:type="dxa"/>
                  <w:vAlign w:val="center"/>
                </w:tcPr>
                <w:p>
                  <w:pPr>
                    <w:widowControl/>
                    <w:adjustRightInd w:val="0"/>
                    <w:snapToGrid w:val="0"/>
                    <w:spacing w:line="276" w:lineRule="auto"/>
                    <w:rPr>
                      <w:rFonts w:ascii="宋体" w:hAnsi="宋体" w:cs="宋体"/>
                      <w:i/>
                      <w:iCs/>
                      <w:kern w:val="0"/>
                      <w:sz w:val="21"/>
                      <w:szCs w:val="21"/>
                      <w:u w:val="single"/>
                    </w:rPr>
                  </w:pPr>
                  <w:r>
                    <w:rPr>
                      <w:rFonts w:hint="eastAsia" w:ascii="宋体" w:hAnsi="宋体"/>
                      <w:i/>
                      <w:iCs/>
                      <w:sz w:val="21"/>
                      <w:u w:val="single"/>
                    </w:rPr>
                    <w:t>41.25</w:t>
                  </w:r>
                </w:p>
              </w:tc>
            </w:tr>
            <w:tr>
              <w:tc>
                <w:tcPr>
                  <w:tcW w:w="567" w:type="dxa"/>
                  <w:vAlign w:val="center"/>
                </w:tcPr>
                <w:p>
                  <w:pPr>
                    <w:widowControl/>
                    <w:adjustRightInd w:val="0"/>
                    <w:snapToGrid w:val="0"/>
                    <w:spacing w:line="276" w:lineRule="auto"/>
                    <w:rPr>
                      <w:rFonts w:ascii="Calibri" w:hAnsi="Calibri"/>
                      <w:i/>
                      <w:iCs/>
                      <w:sz w:val="21"/>
                      <w:u w:val="single"/>
                    </w:rPr>
                  </w:pPr>
                </w:p>
              </w:tc>
              <w:tc>
                <w:tcPr>
                  <w:tcW w:w="1138" w:type="dxa"/>
                  <w:vAlign w:val="center"/>
                </w:tcPr>
                <w:p>
                  <w:pPr>
                    <w:widowControl/>
                    <w:adjustRightInd w:val="0"/>
                    <w:snapToGrid w:val="0"/>
                    <w:spacing w:line="276" w:lineRule="auto"/>
                    <w:rPr>
                      <w:rFonts w:ascii="Calibri" w:hAnsi="Calibri"/>
                      <w:i/>
                      <w:iCs/>
                      <w:sz w:val="21"/>
                      <w:u w:val="single"/>
                    </w:rPr>
                  </w:pPr>
                  <w:r>
                    <w:rPr>
                      <w:rFonts w:hint="eastAsia" w:ascii="Calibri" w:hAnsi="Calibri"/>
                      <w:i/>
                      <w:iCs/>
                      <w:sz w:val="21"/>
                      <w:u w:val="single"/>
                    </w:rPr>
                    <w:t>标准值</w:t>
                  </w:r>
                </w:p>
              </w:tc>
              <w:tc>
                <w:tcPr>
                  <w:tcW w:w="1114" w:type="dxa"/>
                  <w:vAlign w:val="center"/>
                </w:tcPr>
                <w:p>
                  <w:pPr>
                    <w:widowControl/>
                    <w:adjustRightInd w:val="0"/>
                    <w:snapToGrid w:val="0"/>
                    <w:spacing w:line="276" w:lineRule="auto"/>
                    <w:rPr>
                      <w:rFonts w:ascii="宋体" w:hAnsi="宋体"/>
                      <w:i/>
                      <w:iCs/>
                      <w:sz w:val="21"/>
                      <w:u w:val="single"/>
                    </w:rPr>
                  </w:pPr>
                  <w:r>
                    <w:rPr>
                      <w:rFonts w:hint="eastAsia" w:ascii="宋体" w:hAnsi="宋体"/>
                      <w:i/>
                      <w:iCs/>
                      <w:sz w:val="21"/>
                      <w:u w:val="single"/>
                    </w:rPr>
                    <w:t>—</w:t>
                  </w:r>
                </w:p>
              </w:tc>
              <w:tc>
                <w:tcPr>
                  <w:tcW w:w="1395" w:type="dxa"/>
                  <w:vAlign w:val="center"/>
                </w:tcPr>
                <w:p>
                  <w:pPr>
                    <w:widowControl/>
                    <w:adjustRightInd w:val="0"/>
                    <w:snapToGrid w:val="0"/>
                    <w:spacing w:line="276" w:lineRule="auto"/>
                    <w:rPr>
                      <w:rFonts w:ascii="宋体" w:hAnsi="宋体"/>
                      <w:i/>
                      <w:iCs/>
                      <w:sz w:val="21"/>
                      <w:u w:val="single"/>
                    </w:rPr>
                  </w:pPr>
                  <w:r>
                    <w:rPr>
                      <w:rFonts w:hint="eastAsia" w:ascii="宋体" w:hAnsi="宋体"/>
                      <w:i/>
                      <w:iCs/>
                      <w:sz w:val="21"/>
                      <w:u w:val="single"/>
                    </w:rPr>
                    <w:t>65</w:t>
                  </w:r>
                </w:p>
              </w:tc>
              <w:tc>
                <w:tcPr>
                  <w:tcW w:w="1395" w:type="dxa"/>
                  <w:vAlign w:val="center"/>
                </w:tcPr>
                <w:p>
                  <w:pPr>
                    <w:widowControl/>
                    <w:adjustRightInd w:val="0"/>
                    <w:snapToGrid w:val="0"/>
                    <w:spacing w:line="276" w:lineRule="auto"/>
                    <w:rPr>
                      <w:rFonts w:ascii="宋体" w:hAnsi="宋体"/>
                      <w:i/>
                      <w:iCs/>
                      <w:sz w:val="21"/>
                      <w:u w:val="single"/>
                    </w:rPr>
                  </w:pPr>
                  <w:r>
                    <w:rPr>
                      <w:rFonts w:hint="eastAsia" w:ascii="宋体" w:hAnsi="宋体"/>
                      <w:i/>
                      <w:iCs/>
                      <w:sz w:val="21"/>
                      <w:u w:val="single"/>
                    </w:rPr>
                    <w:t>65</w:t>
                  </w:r>
                </w:p>
              </w:tc>
              <w:tc>
                <w:tcPr>
                  <w:tcW w:w="1395" w:type="dxa"/>
                  <w:vAlign w:val="center"/>
                </w:tcPr>
                <w:p>
                  <w:pPr>
                    <w:widowControl/>
                    <w:adjustRightInd w:val="0"/>
                    <w:snapToGrid w:val="0"/>
                    <w:spacing w:line="276" w:lineRule="auto"/>
                    <w:rPr>
                      <w:rFonts w:ascii="宋体" w:hAnsi="宋体"/>
                      <w:i/>
                      <w:iCs/>
                      <w:sz w:val="21"/>
                      <w:u w:val="single"/>
                    </w:rPr>
                  </w:pPr>
                  <w:r>
                    <w:rPr>
                      <w:rFonts w:hint="eastAsia" w:ascii="宋体" w:hAnsi="宋体"/>
                      <w:i/>
                      <w:iCs/>
                      <w:sz w:val="21"/>
                      <w:u w:val="single"/>
                    </w:rPr>
                    <w:t>65</w:t>
                  </w:r>
                </w:p>
              </w:tc>
              <w:tc>
                <w:tcPr>
                  <w:tcW w:w="1395" w:type="dxa"/>
                  <w:vAlign w:val="center"/>
                </w:tcPr>
                <w:p>
                  <w:pPr>
                    <w:widowControl/>
                    <w:adjustRightInd w:val="0"/>
                    <w:snapToGrid w:val="0"/>
                    <w:spacing w:line="276" w:lineRule="auto"/>
                    <w:rPr>
                      <w:rFonts w:ascii="宋体" w:hAnsi="宋体"/>
                      <w:i/>
                      <w:iCs/>
                      <w:sz w:val="21"/>
                      <w:u w:val="single"/>
                    </w:rPr>
                  </w:pPr>
                  <w:r>
                    <w:rPr>
                      <w:rFonts w:hint="eastAsia" w:ascii="宋体" w:hAnsi="宋体"/>
                      <w:i/>
                      <w:iCs/>
                      <w:sz w:val="21"/>
                      <w:u w:val="single"/>
                    </w:rPr>
                    <w:t>70</w:t>
                  </w:r>
                </w:p>
              </w:tc>
            </w:tr>
          </w:tbl>
          <w:p>
            <w:pPr>
              <w:widowControl/>
              <w:spacing w:line="360" w:lineRule="auto"/>
              <w:ind w:firstLine="480" w:firstLineChars="200"/>
              <w:jc w:val="left"/>
              <w:rPr>
                <w:bCs/>
                <w:i/>
                <w:iCs/>
                <w:snapToGrid w:val="0"/>
                <w:kern w:val="0"/>
                <w:sz w:val="24"/>
                <w:u w:val="single"/>
              </w:rPr>
            </w:pPr>
            <w:r>
              <w:rPr>
                <w:rFonts w:hint="eastAsia" w:ascii="宋体" w:hAnsi="宋体" w:cs="宋体"/>
                <w:i/>
                <w:iCs/>
                <w:kern w:val="0"/>
                <w:sz w:val="24"/>
                <w:u w:val="single"/>
              </w:rPr>
              <w:t>本项目各种机械设备均位于室内，叉车等运输车辆在厂内低速行驶，</w:t>
            </w:r>
            <w:r>
              <w:rPr>
                <w:rFonts w:hint="eastAsia" w:ascii="宋体" w:hAnsi="宋体" w:cs="宋体"/>
                <w:i/>
                <w:iCs/>
                <w:color w:val="000000"/>
                <w:kern w:val="0"/>
                <w:sz w:val="24"/>
                <w:u w:val="single"/>
              </w:rPr>
              <w:t>在选用低噪声生产设备、设备做基础减震，并加强设备日常维护，再经过封闭厂房、距离衰减等措施后</w:t>
            </w:r>
            <w:r>
              <w:rPr>
                <w:rFonts w:hint="eastAsia" w:ascii="宋体" w:hAnsi="宋体" w:cs="宋体"/>
                <w:i/>
                <w:iCs/>
                <w:kern w:val="0"/>
                <w:sz w:val="24"/>
                <w:u w:val="single"/>
              </w:rPr>
              <w:t>，厂界噪声贡献值可满足《工业企业厂界环境噪声排放标准》</w:t>
            </w:r>
            <w:r>
              <w:rPr>
                <w:i/>
                <w:iCs/>
                <w:kern w:val="0"/>
                <w:sz w:val="24"/>
                <w:u w:val="single"/>
              </w:rPr>
              <w:t>3</w:t>
            </w:r>
            <w:r>
              <w:rPr>
                <w:rFonts w:hint="eastAsia" w:ascii="宋体" w:hAnsi="宋体" w:cs="宋体"/>
                <w:i/>
                <w:iCs/>
                <w:kern w:val="0"/>
                <w:sz w:val="24"/>
                <w:u w:val="single"/>
              </w:rPr>
              <w:t>类、4类区标准</w:t>
            </w:r>
            <w:r>
              <w:rPr>
                <w:rFonts w:hint="eastAsia"/>
                <w:bCs/>
                <w:i/>
                <w:iCs/>
                <w:snapToGrid w:val="0"/>
                <w:kern w:val="0"/>
                <w:sz w:val="24"/>
                <w:u w:val="single"/>
              </w:rPr>
              <w:t>。</w:t>
            </w:r>
          </w:p>
          <w:p>
            <w:pPr>
              <w:spacing w:line="360" w:lineRule="auto"/>
              <w:ind w:firstLine="480" w:firstLineChars="200"/>
              <w:rPr>
                <w:bCs/>
                <w:snapToGrid w:val="0"/>
                <w:kern w:val="0"/>
                <w:sz w:val="24"/>
              </w:rPr>
            </w:pPr>
            <w:r>
              <w:rPr>
                <w:rFonts w:hint="eastAsia"/>
                <w:bCs/>
                <w:snapToGrid w:val="0"/>
                <w:kern w:val="0"/>
                <w:sz w:val="24"/>
              </w:rPr>
              <w:t>（4）污染防治措施</w:t>
            </w:r>
          </w:p>
          <w:p>
            <w:pPr>
              <w:spacing w:line="360" w:lineRule="auto"/>
              <w:ind w:firstLine="480" w:firstLineChars="200"/>
              <w:rPr>
                <w:bCs/>
                <w:snapToGrid w:val="0"/>
                <w:kern w:val="0"/>
                <w:sz w:val="24"/>
              </w:rPr>
            </w:pPr>
            <w:r>
              <w:rPr>
                <w:rFonts w:hint="eastAsia"/>
                <w:bCs/>
                <w:snapToGrid w:val="0"/>
                <w:kern w:val="0"/>
                <w:sz w:val="24"/>
              </w:rPr>
              <w:t xml:space="preserve">为有效降低噪声，建议企业采取以下减缓措施： </w:t>
            </w:r>
          </w:p>
          <w:p>
            <w:pPr>
              <w:spacing w:line="360" w:lineRule="auto"/>
              <w:ind w:firstLine="480" w:firstLineChars="200"/>
              <w:rPr>
                <w:bCs/>
                <w:snapToGrid w:val="0"/>
                <w:kern w:val="0"/>
                <w:sz w:val="24"/>
              </w:rPr>
            </w:pPr>
            <w:r>
              <w:rPr>
                <w:rFonts w:hint="eastAsia"/>
                <w:bCs/>
                <w:snapToGrid w:val="0"/>
                <w:kern w:val="0"/>
                <w:sz w:val="24"/>
              </w:rPr>
              <w:t xml:space="preserve">①加强管理，建立设备定期维护，保养的管理制度，以防止设备故障形成的非正常生产噪声，同时确保环保措施发挥最佳有效的功能；加强职工环保意识教育，提倡文明生产，防止人为噪声。 </w:t>
            </w:r>
          </w:p>
          <w:p>
            <w:pPr>
              <w:spacing w:line="360" w:lineRule="auto"/>
              <w:ind w:firstLine="480" w:firstLineChars="200"/>
              <w:rPr>
                <w:bCs/>
                <w:snapToGrid w:val="0"/>
                <w:kern w:val="0"/>
                <w:sz w:val="24"/>
              </w:rPr>
            </w:pPr>
            <w:r>
              <w:rPr>
                <w:rFonts w:hint="eastAsia"/>
                <w:bCs/>
                <w:snapToGrid w:val="0"/>
                <w:kern w:val="0"/>
                <w:sz w:val="24"/>
              </w:rPr>
              <w:t>②选型上使用国内先进的低噪声设备，安装时采取台基减振、橡胶减震接头及减震垫等措施。</w:t>
            </w:r>
          </w:p>
          <w:p>
            <w:pPr>
              <w:spacing w:line="360" w:lineRule="auto"/>
              <w:ind w:firstLine="480" w:firstLineChars="200"/>
              <w:rPr>
                <w:bCs/>
                <w:snapToGrid w:val="0"/>
                <w:kern w:val="0"/>
                <w:sz w:val="24"/>
              </w:rPr>
            </w:pPr>
            <w:r>
              <w:rPr>
                <w:rFonts w:hint="eastAsia"/>
                <w:bCs/>
                <w:snapToGrid w:val="0"/>
                <w:kern w:val="0"/>
                <w:sz w:val="24"/>
              </w:rPr>
              <w:t>综上所述，通过采取上述措施后营运期噪声能满足《工业企业厂界环境噪声排放标准》（GB12348-2008）中的3类、4类标准限值。</w:t>
            </w:r>
          </w:p>
          <w:p>
            <w:pPr>
              <w:spacing w:line="360" w:lineRule="auto"/>
              <w:ind w:firstLine="480" w:firstLineChars="200"/>
              <w:rPr>
                <w:bCs/>
                <w:snapToGrid w:val="0"/>
                <w:kern w:val="0"/>
                <w:sz w:val="24"/>
              </w:rPr>
            </w:pPr>
            <w:r>
              <w:rPr>
                <w:rFonts w:hint="eastAsia"/>
                <w:bCs/>
                <w:snapToGrid w:val="0"/>
                <w:kern w:val="0"/>
                <w:sz w:val="24"/>
              </w:rPr>
              <w:t>（5）监测计划</w:t>
            </w:r>
          </w:p>
          <w:p>
            <w:pPr>
              <w:spacing w:line="360" w:lineRule="auto"/>
              <w:ind w:firstLine="480" w:firstLineChars="200"/>
              <w:rPr>
                <w:bCs/>
                <w:snapToGrid w:val="0"/>
                <w:kern w:val="0"/>
                <w:sz w:val="24"/>
              </w:rPr>
            </w:pPr>
            <w:r>
              <w:rPr>
                <w:rFonts w:hint="eastAsia"/>
                <w:bCs/>
                <w:snapToGrid w:val="0"/>
                <w:kern w:val="0"/>
                <w:sz w:val="24"/>
              </w:rPr>
              <w:t>根据《排污单位自行监测技术指南 总则》（HJ 819-2017）企业自行监测的相关要求，制定本项目噪声监测方案，具体如下：</w:t>
            </w:r>
          </w:p>
          <w:p>
            <w:pPr>
              <w:pStyle w:val="19"/>
              <w:ind w:left="0" w:leftChars="0"/>
              <w:jc w:val="center"/>
              <w:rPr>
                <w:rFonts w:ascii="宋体" w:hAnsi="宋体" w:cs="宋体"/>
                <w:b/>
                <w:sz w:val="24"/>
              </w:rPr>
            </w:pPr>
            <w:r>
              <w:rPr>
                <w:rFonts w:hint="eastAsia" w:ascii="宋体" w:hAnsi="宋体" w:cs="宋体"/>
                <w:b/>
                <w:sz w:val="24"/>
              </w:rPr>
              <w:t>表4-12  噪声监测计划一览表</w:t>
            </w:r>
          </w:p>
          <w:tbl>
            <w:tblPr>
              <w:tblW w:w="8589"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left w:w="108" w:type="dxa"/>
                <w:right w:w="108" w:type="dxa"/>
              </w:tblCellMar>
            </w:tblPr>
            <w:tblGrid>
              <w:gridCol w:w="1643"/>
              <w:gridCol w:w="1643"/>
              <w:gridCol w:w="1643"/>
              <w:gridCol w:w="1646"/>
              <w:gridCol w:w="2014"/>
            </w:tblGrid>
            <w:tr>
              <w:trPr>
                <w:trHeight w:val="23" w:hRule="atLeast"/>
                <w:jc w:val="center"/>
              </w:trPr>
              <w:tc>
                <w:tcPr>
                  <w:tcW w:w="1643" w:type="dxa"/>
                  <w:vAlign w:val="center"/>
                </w:tcPr>
                <w:p>
                  <w:pPr>
                    <w:pStyle w:val="41"/>
                    <w:adjustRightInd/>
                    <w:snapToGrid/>
                    <w:spacing w:line="240" w:lineRule="auto"/>
                    <w:ind w:left="0" w:right="0"/>
                    <w:rPr>
                      <w:rFonts w:ascii="Times New Roman" w:hAnsi="Times New Roman"/>
                      <w:sz w:val="21"/>
                    </w:rPr>
                  </w:pPr>
                  <w:r>
                    <w:rPr>
                      <w:rFonts w:ascii="Times New Roman" w:hAnsi="Times New Roman"/>
                      <w:sz w:val="21"/>
                    </w:rPr>
                    <w:t>监测项目</w:t>
                  </w:r>
                </w:p>
              </w:tc>
              <w:tc>
                <w:tcPr>
                  <w:tcW w:w="1643" w:type="dxa"/>
                  <w:vAlign w:val="center"/>
                </w:tcPr>
                <w:p>
                  <w:pPr>
                    <w:pStyle w:val="41"/>
                    <w:adjustRightInd/>
                    <w:snapToGrid/>
                    <w:spacing w:line="240" w:lineRule="auto"/>
                    <w:ind w:left="0" w:right="0"/>
                    <w:rPr>
                      <w:rFonts w:ascii="Times New Roman" w:hAnsi="Times New Roman"/>
                      <w:sz w:val="21"/>
                    </w:rPr>
                  </w:pPr>
                  <w:r>
                    <w:rPr>
                      <w:rFonts w:hint="eastAsia" w:ascii="Times New Roman" w:hAnsi="Times New Roman"/>
                      <w:sz w:val="21"/>
                    </w:rPr>
                    <w:t>监测因子</w:t>
                  </w:r>
                </w:p>
              </w:tc>
              <w:tc>
                <w:tcPr>
                  <w:tcW w:w="1643" w:type="dxa"/>
                  <w:vAlign w:val="center"/>
                </w:tcPr>
                <w:p>
                  <w:pPr>
                    <w:pStyle w:val="41"/>
                    <w:adjustRightInd/>
                    <w:snapToGrid/>
                    <w:spacing w:line="240" w:lineRule="auto"/>
                    <w:ind w:left="0" w:right="0"/>
                    <w:rPr>
                      <w:rFonts w:ascii="Times New Roman" w:hAnsi="Times New Roman"/>
                      <w:sz w:val="21"/>
                    </w:rPr>
                  </w:pPr>
                  <w:r>
                    <w:rPr>
                      <w:rFonts w:ascii="Times New Roman" w:hAnsi="Times New Roman"/>
                      <w:sz w:val="21"/>
                    </w:rPr>
                    <w:t>检测点位</w:t>
                  </w:r>
                </w:p>
              </w:tc>
              <w:tc>
                <w:tcPr>
                  <w:tcW w:w="1646" w:type="dxa"/>
                  <w:vAlign w:val="center"/>
                </w:tcPr>
                <w:p>
                  <w:pPr>
                    <w:pStyle w:val="41"/>
                    <w:adjustRightInd/>
                    <w:snapToGrid/>
                    <w:spacing w:line="240" w:lineRule="auto"/>
                    <w:ind w:left="0" w:right="0"/>
                    <w:rPr>
                      <w:rFonts w:ascii="Times New Roman" w:hAnsi="Times New Roman"/>
                      <w:sz w:val="21"/>
                    </w:rPr>
                  </w:pPr>
                  <w:r>
                    <w:rPr>
                      <w:rFonts w:ascii="Times New Roman" w:hAnsi="Times New Roman"/>
                      <w:sz w:val="21"/>
                    </w:rPr>
                    <w:t>监测频次</w:t>
                  </w:r>
                </w:p>
              </w:tc>
              <w:tc>
                <w:tcPr>
                  <w:tcW w:w="2014" w:type="dxa"/>
                  <w:vAlign w:val="center"/>
                </w:tcPr>
                <w:p>
                  <w:pPr>
                    <w:pStyle w:val="41"/>
                    <w:adjustRightInd/>
                    <w:snapToGrid/>
                    <w:spacing w:line="240" w:lineRule="auto"/>
                    <w:ind w:left="0" w:right="0"/>
                    <w:rPr>
                      <w:rFonts w:ascii="Times New Roman" w:hAnsi="Times New Roman"/>
                      <w:sz w:val="21"/>
                    </w:rPr>
                  </w:pPr>
                  <w:r>
                    <w:rPr>
                      <w:rFonts w:ascii="Times New Roman" w:hAnsi="Times New Roman"/>
                      <w:sz w:val="21"/>
                    </w:rPr>
                    <w:t>备注</w:t>
                  </w:r>
                </w:p>
              </w:tc>
            </w:tr>
            <w:tr>
              <w:trPr>
                <w:trHeight w:val="23" w:hRule="atLeast"/>
                <w:jc w:val="center"/>
              </w:trPr>
              <w:tc>
                <w:tcPr>
                  <w:tcW w:w="1643" w:type="dxa"/>
                  <w:vAlign w:val="center"/>
                </w:tcPr>
                <w:p>
                  <w:pPr>
                    <w:pStyle w:val="41"/>
                    <w:adjustRightInd/>
                    <w:snapToGrid/>
                    <w:spacing w:line="240" w:lineRule="auto"/>
                    <w:ind w:left="0" w:right="0"/>
                    <w:rPr>
                      <w:rFonts w:ascii="Times New Roman" w:hAnsi="Times New Roman"/>
                      <w:sz w:val="21"/>
                    </w:rPr>
                  </w:pPr>
                  <w:r>
                    <w:rPr>
                      <w:rFonts w:hint="eastAsia" w:ascii="Times New Roman" w:hAnsi="Times New Roman"/>
                      <w:sz w:val="21"/>
                    </w:rPr>
                    <w:t>噪声</w:t>
                  </w:r>
                </w:p>
              </w:tc>
              <w:tc>
                <w:tcPr>
                  <w:tcW w:w="1643" w:type="dxa"/>
                  <w:vAlign w:val="center"/>
                </w:tcPr>
                <w:p>
                  <w:pPr>
                    <w:pStyle w:val="41"/>
                    <w:adjustRightInd/>
                    <w:snapToGrid/>
                    <w:spacing w:line="240" w:lineRule="auto"/>
                    <w:ind w:left="0" w:right="0"/>
                    <w:rPr>
                      <w:rFonts w:ascii="Times New Roman" w:hAnsi="Times New Roman"/>
                      <w:sz w:val="21"/>
                    </w:rPr>
                  </w:pPr>
                  <w:r>
                    <w:rPr>
                      <w:rFonts w:hint="eastAsia" w:ascii="Times New Roman" w:hAnsi="Times New Roman"/>
                      <w:sz w:val="21"/>
                    </w:rPr>
                    <w:t>等效声级</w:t>
                  </w:r>
                </w:p>
              </w:tc>
              <w:tc>
                <w:tcPr>
                  <w:tcW w:w="1643" w:type="dxa"/>
                  <w:vAlign w:val="center"/>
                </w:tcPr>
                <w:p>
                  <w:pPr>
                    <w:pStyle w:val="41"/>
                    <w:adjustRightInd/>
                    <w:snapToGrid/>
                    <w:spacing w:line="240" w:lineRule="auto"/>
                    <w:ind w:left="0" w:right="0"/>
                    <w:rPr>
                      <w:rFonts w:ascii="Times New Roman" w:hAnsi="Times New Roman"/>
                      <w:sz w:val="21"/>
                    </w:rPr>
                  </w:pPr>
                  <w:r>
                    <w:rPr>
                      <w:rFonts w:ascii="Times New Roman" w:hAnsi="Times New Roman"/>
                      <w:sz w:val="21"/>
                    </w:rPr>
                    <w:t>厂界四</w:t>
                  </w:r>
                  <w:r>
                    <w:rPr>
                      <w:rFonts w:hint="eastAsia" w:ascii="Times New Roman" w:hAnsi="Times New Roman"/>
                      <w:sz w:val="21"/>
                    </w:rPr>
                    <w:t>周</w:t>
                  </w:r>
                </w:p>
              </w:tc>
              <w:tc>
                <w:tcPr>
                  <w:tcW w:w="1646" w:type="dxa"/>
                  <w:vAlign w:val="center"/>
                </w:tcPr>
                <w:p>
                  <w:pPr>
                    <w:pStyle w:val="41"/>
                    <w:adjustRightInd/>
                    <w:snapToGrid/>
                    <w:spacing w:line="240" w:lineRule="auto"/>
                    <w:ind w:left="0" w:right="0"/>
                    <w:rPr>
                      <w:rFonts w:ascii="Times New Roman" w:hAnsi="Times New Roman"/>
                      <w:sz w:val="21"/>
                    </w:rPr>
                  </w:pPr>
                  <w:r>
                    <w:rPr>
                      <w:rFonts w:ascii="Times New Roman" w:hAnsi="Times New Roman"/>
                      <w:sz w:val="21"/>
                    </w:rPr>
                    <w:t>1次/</w:t>
                  </w:r>
                  <w:r>
                    <w:rPr>
                      <w:rFonts w:hint="eastAsia" w:ascii="Times New Roman" w:hAnsi="Times New Roman"/>
                      <w:sz w:val="21"/>
                    </w:rPr>
                    <w:t>季度</w:t>
                  </w:r>
                </w:p>
              </w:tc>
              <w:tc>
                <w:tcPr>
                  <w:tcW w:w="2014" w:type="dxa"/>
                  <w:vAlign w:val="center"/>
                </w:tcPr>
                <w:p>
                  <w:pPr>
                    <w:jc w:val="center"/>
                    <w:rPr>
                      <w:rFonts w:ascii="宋体" w:hAnsi="宋体" w:cs="宋体"/>
                      <w:szCs w:val="21"/>
                    </w:rPr>
                  </w:pPr>
                  <w:r>
                    <w:rPr>
                      <w:szCs w:val="21"/>
                    </w:rPr>
                    <w:t>委托有资质单位</w:t>
                  </w:r>
                </w:p>
              </w:tc>
            </w:tr>
          </w:tbl>
          <w:p>
            <w:pPr>
              <w:numPr>
                <w:ilvl w:val="0"/>
                <w:numId w:val="5"/>
              </w:numPr>
              <w:spacing w:line="360" w:lineRule="auto"/>
              <w:ind w:firstLine="482" w:firstLineChars="200"/>
              <w:rPr>
                <w:b/>
                <w:bCs/>
                <w:sz w:val="24"/>
              </w:rPr>
            </w:pPr>
            <w:r>
              <w:rPr>
                <w:rFonts w:hint="eastAsia"/>
                <w:b/>
                <w:bCs/>
                <w:sz w:val="24"/>
              </w:rPr>
              <w:t xml:space="preserve">固体废物  </w:t>
            </w:r>
          </w:p>
          <w:p>
            <w:pPr>
              <w:widowControl/>
              <w:spacing w:line="360" w:lineRule="auto"/>
              <w:ind w:firstLine="480" w:firstLineChars="200"/>
              <w:jc w:val="left"/>
              <w:rPr>
                <w:rFonts w:ascii="宋体" w:hAnsi="宋体" w:cs="宋体"/>
                <w:i/>
                <w:iCs/>
                <w:kern w:val="0"/>
                <w:sz w:val="24"/>
                <w:u w:val="single"/>
              </w:rPr>
            </w:pPr>
            <w:r>
              <w:rPr>
                <w:rFonts w:hint="eastAsia" w:ascii="宋体" w:hAnsi="宋体" w:cs="宋体"/>
                <w:i/>
                <w:iCs/>
                <w:kern w:val="0"/>
                <w:sz w:val="24"/>
                <w:u w:val="single"/>
              </w:rPr>
              <w:t>1、固体废物产生情况</w:t>
            </w:r>
          </w:p>
          <w:p>
            <w:pPr>
              <w:widowControl/>
              <w:spacing w:line="360" w:lineRule="auto"/>
              <w:ind w:firstLine="480" w:firstLineChars="200"/>
              <w:jc w:val="left"/>
              <w:rPr>
                <w:rFonts w:ascii="宋体" w:hAnsi="宋体" w:cs="宋体"/>
                <w:i/>
                <w:iCs/>
                <w:kern w:val="0"/>
                <w:sz w:val="24"/>
                <w:u w:val="single"/>
              </w:rPr>
            </w:pPr>
            <w:r>
              <w:rPr>
                <w:rFonts w:hint="eastAsia" w:ascii="宋体" w:hAnsi="宋体" w:cs="宋体"/>
                <w:i/>
                <w:iCs/>
                <w:kern w:val="0"/>
                <w:sz w:val="24"/>
                <w:u w:val="single"/>
              </w:rPr>
              <w:t>（1）固体废物产生及处置情况</w:t>
            </w:r>
          </w:p>
          <w:p>
            <w:pPr>
              <w:widowControl/>
              <w:spacing w:line="360" w:lineRule="auto"/>
              <w:ind w:firstLine="480" w:firstLineChars="200"/>
              <w:jc w:val="left"/>
              <w:rPr>
                <w:rFonts w:ascii="宋体" w:hAnsi="宋体" w:cs="宋体"/>
                <w:i/>
                <w:iCs/>
                <w:kern w:val="0"/>
                <w:sz w:val="24"/>
                <w:u w:val="single"/>
              </w:rPr>
            </w:pPr>
            <w:r>
              <w:rPr>
                <w:rFonts w:hint="eastAsia" w:ascii="宋体" w:hAnsi="宋体" w:cs="宋体"/>
                <w:i/>
                <w:iCs/>
                <w:kern w:val="0"/>
                <w:sz w:val="24"/>
                <w:u w:val="single"/>
              </w:rPr>
              <w:t>本项目产生的固废主要为一般工业固体废弃物、生活垃圾以及危险废物。 其中，一般工业固体废弃物包括废总成、钢铁等金属和塑料、橡胶、玻璃等非金属。危险废物包括废铅酸蓄电池、拆解废油、油泥以及废手套抹布等。固废具体产生及处置情况如下：</w:t>
            </w:r>
          </w:p>
          <w:p>
            <w:pPr>
              <w:widowControl/>
              <w:spacing w:line="360" w:lineRule="auto"/>
              <w:ind w:firstLine="480" w:firstLineChars="200"/>
              <w:jc w:val="left"/>
              <w:rPr>
                <w:rFonts w:ascii="宋体" w:hAnsi="宋体" w:cs="宋体"/>
                <w:i/>
                <w:iCs/>
                <w:kern w:val="0"/>
                <w:sz w:val="24"/>
                <w:u w:val="single"/>
              </w:rPr>
            </w:pPr>
            <w:r>
              <w:rPr>
                <w:rFonts w:ascii="宋体" w:hAnsi="宋体" w:cs="宋体"/>
                <w:i/>
                <w:iCs/>
                <w:kern w:val="0"/>
                <w:sz w:val="24"/>
                <w:u w:val="single"/>
              </w:rPr>
              <w:t>①</w:t>
            </w:r>
            <w:r>
              <w:rPr>
                <w:rFonts w:hint="eastAsia" w:ascii="宋体" w:hAnsi="宋体" w:cs="宋体"/>
                <w:i/>
                <w:iCs/>
                <w:kern w:val="0"/>
                <w:sz w:val="24"/>
                <w:u w:val="single"/>
              </w:rPr>
              <w:t>生活垃圾</w:t>
            </w:r>
          </w:p>
          <w:p>
            <w:pPr>
              <w:widowControl/>
              <w:spacing w:line="360" w:lineRule="auto"/>
              <w:ind w:firstLine="480" w:firstLineChars="200"/>
              <w:jc w:val="left"/>
              <w:rPr>
                <w:rFonts w:ascii="宋体" w:hAnsi="宋体" w:cs="宋体"/>
                <w:i/>
                <w:iCs/>
                <w:kern w:val="0"/>
                <w:sz w:val="24"/>
                <w:u w:val="single"/>
              </w:rPr>
            </w:pPr>
            <w:r>
              <w:rPr>
                <w:rFonts w:ascii="宋体" w:hAnsi="宋体" w:cs="宋体"/>
                <w:i/>
                <w:iCs/>
                <w:kern w:val="0"/>
                <w:sz w:val="24"/>
                <w:u w:val="single"/>
              </w:rPr>
              <w:t>本项目劳动定员</w:t>
            </w:r>
            <w:r>
              <w:rPr>
                <w:rFonts w:hint="eastAsia" w:ascii="宋体" w:hAnsi="宋体" w:cs="宋体"/>
                <w:i/>
                <w:iCs/>
                <w:kern w:val="0"/>
                <w:sz w:val="24"/>
                <w:u w:val="single"/>
              </w:rPr>
              <w:t>6</w:t>
            </w:r>
            <w:r>
              <w:rPr>
                <w:rFonts w:ascii="宋体" w:hAnsi="宋体" w:cs="宋体"/>
                <w:i/>
                <w:iCs/>
                <w:kern w:val="0"/>
                <w:sz w:val="24"/>
                <w:u w:val="single"/>
              </w:rPr>
              <w:t>人，产生生活垃圾按0.5kg/d</w:t>
            </w:r>
            <w:r>
              <w:rPr>
                <w:rFonts w:hint="eastAsia" w:ascii="宋体" w:hAnsi="宋体" w:cs="宋体"/>
                <w:i/>
                <w:iCs/>
                <w:kern w:val="0"/>
                <w:sz w:val="24"/>
                <w:u w:val="single"/>
              </w:rPr>
              <w:t>计</w:t>
            </w:r>
            <w:r>
              <w:rPr>
                <w:rFonts w:ascii="宋体" w:hAnsi="宋体" w:cs="宋体"/>
                <w:i/>
                <w:iCs/>
                <w:kern w:val="0"/>
                <w:sz w:val="24"/>
                <w:u w:val="single"/>
              </w:rPr>
              <w:t>，则本项目生活垃圾产生量为</w:t>
            </w:r>
            <w:r>
              <w:rPr>
                <w:rFonts w:hint="eastAsia" w:ascii="宋体" w:hAnsi="宋体" w:cs="宋体"/>
                <w:i/>
                <w:iCs/>
                <w:kern w:val="0"/>
                <w:sz w:val="24"/>
                <w:u w:val="single"/>
              </w:rPr>
              <w:t>3</w:t>
            </w:r>
            <w:r>
              <w:rPr>
                <w:rFonts w:ascii="宋体" w:hAnsi="宋体" w:cs="宋体"/>
                <w:i/>
                <w:iCs/>
                <w:kern w:val="0"/>
                <w:sz w:val="24"/>
                <w:u w:val="single"/>
              </w:rPr>
              <w:t>kg/d（</w:t>
            </w:r>
            <w:r>
              <w:rPr>
                <w:rFonts w:hint="eastAsia" w:ascii="宋体" w:hAnsi="宋体" w:cs="宋体"/>
                <w:i/>
                <w:iCs/>
                <w:kern w:val="0"/>
                <w:sz w:val="24"/>
                <w:u w:val="single"/>
              </w:rPr>
              <w:t>0.54</w:t>
            </w:r>
            <w:r>
              <w:rPr>
                <w:rFonts w:ascii="宋体" w:hAnsi="宋体" w:cs="宋体"/>
                <w:i/>
                <w:iCs/>
                <w:kern w:val="0"/>
                <w:sz w:val="24"/>
                <w:u w:val="single"/>
              </w:rPr>
              <w:t>t/a）</w:t>
            </w:r>
            <w:r>
              <w:rPr>
                <w:rFonts w:hint="eastAsia" w:ascii="宋体" w:hAnsi="宋体" w:cs="宋体"/>
                <w:i/>
                <w:iCs/>
                <w:kern w:val="0"/>
                <w:sz w:val="24"/>
                <w:u w:val="single"/>
              </w:rPr>
              <w:t>。暂存于垃圾箱，由环卫部门统一处理。布袋除尘器收集的粉尘产生量为0.04t/a，暂存于垃圾箱，由环卫部门统一处理。</w:t>
            </w:r>
          </w:p>
          <w:p>
            <w:pPr>
              <w:widowControl/>
              <w:spacing w:line="360" w:lineRule="auto"/>
              <w:ind w:firstLine="480" w:firstLineChars="200"/>
              <w:jc w:val="left"/>
              <w:rPr>
                <w:rFonts w:ascii="宋体" w:hAnsi="宋体" w:cs="宋体"/>
                <w:i/>
                <w:iCs/>
                <w:kern w:val="0"/>
                <w:sz w:val="24"/>
                <w:u w:val="single"/>
              </w:rPr>
            </w:pPr>
            <w:r>
              <w:rPr>
                <w:rFonts w:ascii="宋体" w:hAnsi="宋体" w:cs="宋体"/>
                <w:i/>
                <w:iCs/>
                <w:kern w:val="0"/>
                <w:sz w:val="24"/>
                <w:u w:val="single"/>
              </w:rPr>
              <w:t>②</w:t>
            </w:r>
            <w:r>
              <w:rPr>
                <w:rFonts w:hint="eastAsia" w:ascii="宋体" w:hAnsi="宋体" w:cs="宋体"/>
                <w:i/>
                <w:iCs/>
                <w:kern w:val="0"/>
                <w:sz w:val="24"/>
                <w:u w:val="single"/>
              </w:rPr>
              <w:t xml:space="preserve">一般工业固体废弃物 </w:t>
            </w:r>
          </w:p>
          <w:p>
            <w:pPr>
              <w:widowControl/>
              <w:spacing w:line="360" w:lineRule="auto"/>
              <w:ind w:firstLine="480" w:firstLineChars="200"/>
              <w:rPr>
                <w:rFonts w:ascii="宋体" w:hAnsi="宋体" w:cs="宋体"/>
                <w:i/>
                <w:iCs/>
                <w:kern w:val="0"/>
                <w:sz w:val="24"/>
                <w:u w:val="single"/>
              </w:rPr>
            </w:pPr>
            <w:r>
              <w:rPr>
                <w:rFonts w:hint="eastAsia" w:ascii="宋体" w:hAnsi="宋体" w:cs="宋体"/>
                <w:i/>
                <w:iCs/>
                <w:kern w:val="0"/>
                <w:sz w:val="24"/>
                <w:u w:val="single"/>
              </w:rPr>
              <w:t>本项目拆解环节产生的一般工业固体废弃物中，钢铁1370.5t/a、废总成铸铁件825t/a、废玻璃产生量为58.5t/a、橡胶产生量为162t/a、可用零部件有色金属175.5t/a，纤维皮革产生量为58.5t/a、废塑料产生量为42.5t/a，可用零件145t/a，残渣79.9t，以上可回收利用固废在拆解物储存区内分类收集、定点堆放，定期集中收集后统一外售。</w:t>
            </w:r>
          </w:p>
          <w:p>
            <w:pPr>
              <w:pStyle w:val="19"/>
              <w:ind w:left="0" w:leftChars="0"/>
              <w:jc w:val="center"/>
              <w:rPr>
                <w:rFonts w:ascii="宋体" w:hAnsi="宋体" w:cs="宋体"/>
                <w:b/>
                <w:i/>
                <w:iCs/>
                <w:sz w:val="24"/>
                <w:u w:val="single"/>
              </w:rPr>
            </w:pPr>
            <w:r>
              <w:rPr>
                <w:rFonts w:hint="eastAsia" w:ascii="宋体" w:hAnsi="宋体" w:cs="宋体"/>
                <w:b/>
                <w:i/>
                <w:iCs/>
                <w:sz w:val="24"/>
                <w:u w:val="single"/>
              </w:rPr>
              <w:t>表4-13  本项目一般固体废物汇总表</w:t>
            </w:r>
          </w:p>
          <w:tbl>
            <w:tblPr>
              <w:tblW w:w="8377"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left w:w="108" w:type="dxa"/>
                <w:right w:w="108" w:type="dxa"/>
              </w:tblCellMar>
            </w:tblPr>
            <w:tblGrid>
              <w:gridCol w:w="691"/>
              <w:gridCol w:w="1681"/>
              <w:gridCol w:w="1124"/>
              <w:gridCol w:w="1485"/>
              <w:gridCol w:w="1140"/>
              <w:gridCol w:w="1059"/>
              <w:gridCol w:w="1197"/>
            </w:tblGrid>
            <w:tr>
              <w:trPr>
                <w:trHeight w:val="93" w:hRule="atLeast"/>
              </w:trPr>
              <w:tc>
                <w:tcPr>
                  <w:tcW w:w="691" w:type="dxa"/>
                  <w:vAlign w:val="center"/>
                </w:tcPr>
                <w:p>
                  <w:pPr>
                    <w:widowControl/>
                    <w:jc w:val="center"/>
                    <w:rPr>
                      <w:rFonts w:ascii="宋体" w:hAnsi="宋体" w:cs="宋体"/>
                      <w:i/>
                      <w:iCs/>
                      <w:szCs w:val="21"/>
                      <w:u w:val="single"/>
                    </w:rPr>
                  </w:pPr>
                  <w:r>
                    <w:rPr>
                      <w:rFonts w:hint="eastAsia" w:ascii="宋体" w:hAnsi="宋体" w:cs="宋体"/>
                      <w:i/>
                      <w:iCs/>
                      <w:szCs w:val="21"/>
                      <w:u w:val="single"/>
                    </w:rPr>
                    <w:t>序号</w:t>
                  </w:r>
                </w:p>
              </w:tc>
              <w:tc>
                <w:tcPr>
                  <w:tcW w:w="1681" w:type="dxa"/>
                  <w:vAlign w:val="center"/>
                </w:tcPr>
                <w:p>
                  <w:pPr>
                    <w:widowControl/>
                    <w:jc w:val="center"/>
                    <w:rPr>
                      <w:rFonts w:ascii="宋体" w:hAnsi="宋体" w:cs="宋体"/>
                      <w:i/>
                      <w:iCs/>
                      <w:szCs w:val="21"/>
                      <w:u w:val="single"/>
                    </w:rPr>
                  </w:pPr>
                  <w:r>
                    <w:rPr>
                      <w:rFonts w:hint="eastAsia" w:ascii="宋体" w:hAnsi="宋体" w:cs="宋体"/>
                      <w:i/>
                      <w:iCs/>
                      <w:szCs w:val="21"/>
                      <w:u w:val="single"/>
                    </w:rPr>
                    <w:t>名称</w:t>
                  </w:r>
                </w:p>
              </w:tc>
              <w:tc>
                <w:tcPr>
                  <w:tcW w:w="1124" w:type="dxa"/>
                  <w:vAlign w:val="center"/>
                </w:tcPr>
                <w:p>
                  <w:pPr>
                    <w:widowControl/>
                    <w:jc w:val="center"/>
                    <w:rPr>
                      <w:rFonts w:ascii="宋体" w:hAnsi="宋体" w:cs="宋体"/>
                      <w:i/>
                      <w:iCs/>
                      <w:szCs w:val="21"/>
                      <w:u w:val="single"/>
                    </w:rPr>
                  </w:pPr>
                  <w:r>
                    <w:rPr>
                      <w:rFonts w:hint="eastAsia" w:ascii="宋体" w:hAnsi="宋体" w:cs="宋体"/>
                      <w:i/>
                      <w:iCs/>
                      <w:szCs w:val="21"/>
                      <w:u w:val="single"/>
                    </w:rPr>
                    <w:t>产生环节</w:t>
                  </w:r>
                </w:p>
              </w:tc>
              <w:tc>
                <w:tcPr>
                  <w:tcW w:w="1485" w:type="dxa"/>
                  <w:vAlign w:val="center"/>
                </w:tcPr>
                <w:p>
                  <w:pPr>
                    <w:widowControl/>
                    <w:jc w:val="center"/>
                    <w:rPr>
                      <w:rFonts w:ascii="宋体" w:hAnsi="宋体" w:cs="宋体"/>
                      <w:i/>
                      <w:iCs/>
                      <w:szCs w:val="21"/>
                      <w:u w:val="single"/>
                    </w:rPr>
                  </w:pPr>
                  <w:r>
                    <w:rPr>
                      <w:rFonts w:hint="eastAsia" w:ascii="宋体" w:hAnsi="宋体" w:cs="宋体"/>
                      <w:i/>
                      <w:iCs/>
                      <w:szCs w:val="21"/>
                      <w:u w:val="single"/>
                    </w:rPr>
                    <w:t>废物代码</w:t>
                  </w:r>
                </w:p>
              </w:tc>
              <w:tc>
                <w:tcPr>
                  <w:tcW w:w="1140" w:type="dxa"/>
                  <w:vAlign w:val="center"/>
                </w:tcPr>
                <w:p>
                  <w:pPr>
                    <w:widowControl/>
                    <w:jc w:val="center"/>
                    <w:rPr>
                      <w:rFonts w:ascii="宋体" w:hAnsi="宋体" w:cs="宋体"/>
                      <w:i/>
                      <w:iCs/>
                      <w:szCs w:val="21"/>
                      <w:u w:val="single"/>
                    </w:rPr>
                  </w:pPr>
                  <w:r>
                    <w:rPr>
                      <w:rFonts w:hint="eastAsia" w:ascii="宋体" w:hAnsi="宋体" w:cs="宋体"/>
                      <w:i/>
                      <w:iCs/>
                      <w:szCs w:val="21"/>
                      <w:u w:val="single"/>
                    </w:rPr>
                    <w:t>物理性质</w:t>
                  </w:r>
                </w:p>
              </w:tc>
              <w:tc>
                <w:tcPr>
                  <w:tcW w:w="1059" w:type="dxa"/>
                  <w:vAlign w:val="center"/>
                </w:tcPr>
                <w:p>
                  <w:pPr>
                    <w:widowControl/>
                    <w:jc w:val="center"/>
                    <w:rPr>
                      <w:rFonts w:ascii="宋体" w:hAnsi="宋体" w:cs="宋体"/>
                      <w:i/>
                      <w:iCs/>
                      <w:szCs w:val="21"/>
                      <w:u w:val="single"/>
                    </w:rPr>
                  </w:pPr>
                  <w:r>
                    <w:rPr>
                      <w:rFonts w:hint="eastAsia" w:ascii="宋体" w:hAnsi="宋体" w:cs="宋体"/>
                      <w:i/>
                      <w:iCs/>
                      <w:szCs w:val="21"/>
                      <w:u w:val="single"/>
                    </w:rPr>
                    <w:t>产生量t/a</w:t>
                  </w:r>
                </w:p>
              </w:tc>
              <w:tc>
                <w:tcPr>
                  <w:tcW w:w="1197" w:type="dxa"/>
                  <w:vAlign w:val="center"/>
                </w:tcPr>
                <w:p>
                  <w:pPr>
                    <w:widowControl/>
                    <w:jc w:val="center"/>
                    <w:rPr>
                      <w:rFonts w:ascii="宋体" w:hAnsi="宋体" w:cs="宋体"/>
                      <w:i/>
                      <w:iCs/>
                      <w:szCs w:val="21"/>
                      <w:u w:val="single"/>
                    </w:rPr>
                  </w:pPr>
                  <w:r>
                    <w:rPr>
                      <w:rFonts w:hint="eastAsia" w:ascii="宋体" w:hAnsi="宋体" w:cs="宋体"/>
                      <w:i/>
                      <w:iCs/>
                      <w:szCs w:val="21"/>
                      <w:u w:val="single"/>
                    </w:rPr>
                    <w:t>贮存方式</w:t>
                  </w:r>
                </w:p>
              </w:tc>
            </w:tr>
            <w:tr>
              <w:trPr>
                <w:trHeight w:val="448" w:hRule="atLeast"/>
              </w:trPr>
              <w:tc>
                <w:tcPr>
                  <w:tcW w:w="691" w:type="dxa"/>
                  <w:vAlign w:val="center"/>
                </w:tcPr>
                <w:p>
                  <w:pPr>
                    <w:widowControl/>
                    <w:jc w:val="center"/>
                    <w:rPr>
                      <w:rFonts w:ascii="宋体" w:hAnsi="宋体" w:cs="宋体"/>
                      <w:i/>
                      <w:iCs/>
                      <w:szCs w:val="21"/>
                      <w:u w:val="single"/>
                    </w:rPr>
                  </w:pPr>
                  <w:r>
                    <w:rPr>
                      <w:rFonts w:hint="eastAsia" w:ascii="宋体" w:hAnsi="宋体" w:cs="宋体"/>
                      <w:i/>
                      <w:iCs/>
                      <w:szCs w:val="21"/>
                      <w:u w:val="single"/>
                    </w:rPr>
                    <w:t>1</w:t>
                  </w:r>
                </w:p>
              </w:tc>
              <w:tc>
                <w:tcPr>
                  <w:tcW w:w="1681" w:type="dxa"/>
                  <w:vAlign w:val="center"/>
                </w:tcPr>
                <w:p>
                  <w:pPr>
                    <w:widowControl/>
                    <w:jc w:val="center"/>
                    <w:rPr>
                      <w:rFonts w:ascii="宋体" w:hAnsi="宋体" w:cs="宋体"/>
                      <w:i/>
                      <w:iCs/>
                      <w:szCs w:val="21"/>
                      <w:u w:val="single"/>
                    </w:rPr>
                  </w:pPr>
                  <w:r>
                    <w:rPr>
                      <w:rFonts w:hint="eastAsia" w:ascii="宋体" w:hAnsi="宋体" w:cs="宋体"/>
                      <w:i/>
                      <w:iCs/>
                      <w:kern w:val="0"/>
                      <w:szCs w:val="21"/>
                      <w:u w:val="single"/>
                    </w:rPr>
                    <w:t>钢铁</w:t>
                  </w:r>
                </w:p>
              </w:tc>
              <w:tc>
                <w:tcPr>
                  <w:tcW w:w="1124" w:type="dxa"/>
                  <w:vAlign w:val="center"/>
                </w:tcPr>
                <w:p>
                  <w:pPr>
                    <w:widowControl/>
                    <w:jc w:val="center"/>
                    <w:rPr>
                      <w:rFonts w:ascii="宋体" w:hAnsi="宋体" w:cs="宋体"/>
                      <w:i/>
                      <w:iCs/>
                      <w:szCs w:val="21"/>
                      <w:u w:val="single"/>
                    </w:rPr>
                  </w:pPr>
                  <w:r>
                    <w:rPr>
                      <w:rFonts w:hint="eastAsia" w:ascii="宋体" w:hAnsi="宋体" w:cs="宋体"/>
                      <w:i/>
                      <w:iCs/>
                      <w:szCs w:val="21"/>
                      <w:u w:val="single"/>
                    </w:rPr>
                    <w:t>拆解</w:t>
                  </w:r>
                </w:p>
              </w:tc>
              <w:tc>
                <w:tcPr>
                  <w:tcW w:w="1485" w:type="dxa"/>
                  <w:vAlign w:val="center"/>
                </w:tcPr>
                <w:p>
                  <w:pPr>
                    <w:widowControl/>
                    <w:jc w:val="center"/>
                    <w:rPr>
                      <w:rFonts w:ascii="宋体" w:hAnsi="宋体" w:cs="宋体"/>
                      <w:i/>
                      <w:iCs/>
                      <w:szCs w:val="21"/>
                      <w:u w:val="single"/>
                    </w:rPr>
                  </w:pPr>
                  <w:r>
                    <w:rPr>
                      <w:rFonts w:hint="eastAsia" w:ascii="宋体" w:hAnsi="宋体" w:cs="宋体"/>
                      <w:i/>
                      <w:iCs/>
                      <w:szCs w:val="21"/>
                      <w:u w:val="single"/>
                    </w:rPr>
                    <w:t>900-001-S17</w:t>
                  </w:r>
                </w:p>
              </w:tc>
              <w:tc>
                <w:tcPr>
                  <w:tcW w:w="1140" w:type="dxa"/>
                  <w:vAlign w:val="center"/>
                </w:tcPr>
                <w:p>
                  <w:pPr>
                    <w:widowControl/>
                    <w:jc w:val="center"/>
                    <w:rPr>
                      <w:rFonts w:ascii="宋体" w:hAnsi="宋体" w:cs="宋体"/>
                      <w:i/>
                      <w:iCs/>
                      <w:szCs w:val="21"/>
                      <w:u w:val="single"/>
                    </w:rPr>
                  </w:pPr>
                  <w:r>
                    <w:rPr>
                      <w:rFonts w:hint="eastAsia" w:ascii="宋体" w:hAnsi="宋体" w:cs="宋体"/>
                      <w:i/>
                      <w:iCs/>
                      <w:szCs w:val="21"/>
                      <w:u w:val="single"/>
                    </w:rPr>
                    <w:t>固体</w:t>
                  </w:r>
                </w:p>
              </w:tc>
              <w:tc>
                <w:tcPr>
                  <w:tcW w:w="1059" w:type="dxa"/>
                  <w:vAlign w:val="top"/>
                </w:tcPr>
                <w:p>
                  <w:pPr>
                    <w:widowControl/>
                    <w:jc w:val="center"/>
                    <w:textAlignment w:val="top"/>
                    <w:rPr>
                      <w:rFonts w:ascii="宋体" w:hAnsi="宋体" w:cs="宋体"/>
                      <w:i/>
                      <w:iCs/>
                      <w:szCs w:val="21"/>
                      <w:u w:val="single"/>
                    </w:rPr>
                  </w:pPr>
                  <w:r>
                    <w:rPr>
                      <w:rFonts w:hint="eastAsia" w:ascii="宋体" w:hAnsi="宋体" w:cs="宋体"/>
                      <w:i/>
                      <w:iCs/>
                      <w:color w:val="000000"/>
                      <w:kern w:val="0"/>
                      <w:szCs w:val="21"/>
                      <w:u w:val="single"/>
                    </w:rPr>
                    <w:t>1370.5</w:t>
                  </w:r>
                </w:p>
              </w:tc>
              <w:tc>
                <w:tcPr>
                  <w:tcW w:w="1197" w:type="dxa"/>
                  <w:vAlign w:val="center"/>
                </w:tcPr>
                <w:p>
                  <w:pPr>
                    <w:widowControl/>
                    <w:jc w:val="center"/>
                    <w:rPr>
                      <w:rFonts w:ascii="宋体" w:hAnsi="宋体" w:cs="宋体"/>
                      <w:i/>
                      <w:iCs/>
                      <w:szCs w:val="21"/>
                      <w:u w:val="single"/>
                    </w:rPr>
                  </w:pPr>
                  <w:r>
                    <w:rPr>
                      <w:rFonts w:hint="eastAsia" w:ascii="宋体" w:hAnsi="宋体" w:cs="宋体"/>
                      <w:i/>
                      <w:iCs/>
                      <w:szCs w:val="21"/>
                      <w:u w:val="single"/>
                    </w:rPr>
                    <w:t>分类堆放</w:t>
                  </w:r>
                </w:p>
              </w:tc>
            </w:tr>
            <w:tr>
              <w:trPr>
                <w:trHeight w:val="448" w:hRule="atLeast"/>
              </w:trPr>
              <w:tc>
                <w:tcPr>
                  <w:tcW w:w="691" w:type="dxa"/>
                  <w:vAlign w:val="center"/>
                </w:tcPr>
                <w:p>
                  <w:pPr>
                    <w:widowControl/>
                    <w:jc w:val="center"/>
                    <w:rPr>
                      <w:rFonts w:ascii="宋体" w:hAnsi="宋体" w:cs="宋体"/>
                      <w:i/>
                      <w:iCs/>
                      <w:szCs w:val="21"/>
                      <w:u w:val="single"/>
                    </w:rPr>
                  </w:pPr>
                  <w:r>
                    <w:rPr>
                      <w:rFonts w:hint="eastAsia" w:ascii="宋体" w:hAnsi="宋体" w:cs="宋体"/>
                      <w:i/>
                      <w:iCs/>
                      <w:szCs w:val="21"/>
                      <w:u w:val="single"/>
                    </w:rPr>
                    <w:t>2</w:t>
                  </w:r>
                </w:p>
              </w:tc>
              <w:tc>
                <w:tcPr>
                  <w:tcW w:w="1681" w:type="dxa"/>
                  <w:vAlign w:val="center"/>
                </w:tcPr>
                <w:p>
                  <w:pPr>
                    <w:widowControl/>
                    <w:jc w:val="center"/>
                    <w:rPr>
                      <w:rFonts w:ascii="宋体" w:hAnsi="宋体" w:cs="宋体"/>
                      <w:i/>
                      <w:iCs/>
                      <w:szCs w:val="21"/>
                      <w:u w:val="single"/>
                    </w:rPr>
                  </w:pPr>
                  <w:r>
                    <w:rPr>
                      <w:rFonts w:hint="eastAsia" w:ascii="宋体" w:hAnsi="宋体" w:cs="宋体"/>
                      <w:i/>
                      <w:iCs/>
                      <w:kern w:val="0"/>
                      <w:szCs w:val="21"/>
                      <w:u w:val="single"/>
                    </w:rPr>
                    <w:t>废总成铸铁件</w:t>
                  </w:r>
                </w:p>
              </w:tc>
              <w:tc>
                <w:tcPr>
                  <w:tcW w:w="1124" w:type="dxa"/>
                  <w:vAlign w:val="center"/>
                </w:tcPr>
                <w:p>
                  <w:pPr>
                    <w:widowControl/>
                    <w:jc w:val="center"/>
                    <w:rPr>
                      <w:rFonts w:ascii="宋体" w:hAnsi="宋体" w:cs="宋体"/>
                      <w:i/>
                      <w:iCs/>
                      <w:szCs w:val="21"/>
                      <w:u w:val="single"/>
                    </w:rPr>
                  </w:pPr>
                  <w:r>
                    <w:rPr>
                      <w:rFonts w:hint="eastAsia" w:ascii="宋体" w:hAnsi="宋体" w:cs="宋体"/>
                      <w:i/>
                      <w:iCs/>
                      <w:szCs w:val="21"/>
                      <w:u w:val="single"/>
                    </w:rPr>
                    <w:t>拆解</w:t>
                  </w:r>
                </w:p>
              </w:tc>
              <w:tc>
                <w:tcPr>
                  <w:tcW w:w="1485" w:type="dxa"/>
                  <w:vAlign w:val="center"/>
                </w:tcPr>
                <w:p>
                  <w:pPr>
                    <w:widowControl/>
                    <w:jc w:val="center"/>
                    <w:rPr>
                      <w:rFonts w:ascii="宋体" w:hAnsi="宋体" w:cs="宋体"/>
                      <w:i/>
                      <w:iCs/>
                      <w:szCs w:val="21"/>
                      <w:u w:val="single"/>
                    </w:rPr>
                  </w:pPr>
                  <w:r>
                    <w:rPr>
                      <w:rFonts w:hint="eastAsia" w:ascii="宋体" w:hAnsi="宋体" w:cs="宋体"/>
                      <w:i/>
                      <w:iCs/>
                      <w:szCs w:val="21"/>
                      <w:u w:val="single"/>
                    </w:rPr>
                    <w:t>900-001-S17</w:t>
                  </w:r>
                </w:p>
              </w:tc>
              <w:tc>
                <w:tcPr>
                  <w:tcW w:w="1140" w:type="dxa"/>
                  <w:vAlign w:val="center"/>
                </w:tcPr>
                <w:p>
                  <w:pPr>
                    <w:widowControl/>
                    <w:jc w:val="center"/>
                    <w:rPr>
                      <w:rFonts w:ascii="宋体" w:hAnsi="宋体" w:cs="宋体"/>
                      <w:i/>
                      <w:iCs/>
                      <w:szCs w:val="21"/>
                      <w:u w:val="single"/>
                    </w:rPr>
                  </w:pPr>
                  <w:r>
                    <w:rPr>
                      <w:rFonts w:hint="eastAsia" w:ascii="宋体" w:hAnsi="宋体" w:cs="宋体"/>
                      <w:i/>
                      <w:iCs/>
                      <w:szCs w:val="21"/>
                      <w:u w:val="single"/>
                    </w:rPr>
                    <w:t>固体</w:t>
                  </w:r>
                </w:p>
              </w:tc>
              <w:tc>
                <w:tcPr>
                  <w:tcW w:w="1059" w:type="dxa"/>
                  <w:vAlign w:val="top"/>
                </w:tcPr>
                <w:p>
                  <w:pPr>
                    <w:widowControl/>
                    <w:jc w:val="center"/>
                    <w:textAlignment w:val="top"/>
                    <w:rPr>
                      <w:rFonts w:ascii="宋体" w:hAnsi="宋体" w:cs="宋体"/>
                      <w:i/>
                      <w:iCs/>
                      <w:szCs w:val="21"/>
                      <w:u w:val="single"/>
                    </w:rPr>
                  </w:pPr>
                  <w:r>
                    <w:rPr>
                      <w:rFonts w:hint="eastAsia" w:ascii="宋体" w:hAnsi="宋体" w:cs="宋体"/>
                      <w:i/>
                      <w:iCs/>
                      <w:color w:val="000000"/>
                      <w:kern w:val="0"/>
                      <w:szCs w:val="21"/>
                      <w:u w:val="single"/>
                    </w:rPr>
                    <w:t>825</w:t>
                  </w:r>
                </w:p>
              </w:tc>
              <w:tc>
                <w:tcPr>
                  <w:tcW w:w="1197" w:type="dxa"/>
                  <w:vAlign w:val="center"/>
                </w:tcPr>
                <w:p>
                  <w:pPr>
                    <w:widowControl/>
                    <w:jc w:val="center"/>
                    <w:rPr>
                      <w:rFonts w:ascii="宋体" w:hAnsi="宋体" w:cs="宋体"/>
                      <w:i/>
                      <w:iCs/>
                      <w:szCs w:val="21"/>
                      <w:u w:val="single"/>
                    </w:rPr>
                  </w:pPr>
                  <w:r>
                    <w:rPr>
                      <w:rFonts w:hint="eastAsia" w:ascii="宋体" w:hAnsi="宋体" w:cs="宋体"/>
                      <w:i/>
                      <w:iCs/>
                      <w:szCs w:val="21"/>
                      <w:u w:val="single"/>
                    </w:rPr>
                    <w:t>分类堆放</w:t>
                  </w:r>
                </w:p>
              </w:tc>
            </w:tr>
            <w:tr>
              <w:trPr>
                <w:trHeight w:val="458" w:hRule="atLeast"/>
              </w:trPr>
              <w:tc>
                <w:tcPr>
                  <w:tcW w:w="691" w:type="dxa"/>
                  <w:vAlign w:val="center"/>
                </w:tcPr>
                <w:p>
                  <w:pPr>
                    <w:widowControl/>
                    <w:jc w:val="center"/>
                    <w:rPr>
                      <w:rFonts w:ascii="宋体" w:hAnsi="宋体" w:cs="宋体"/>
                      <w:i/>
                      <w:iCs/>
                      <w:szCs w:val="21"/>
                      <w:u w:val="single"/>
                    </w:rPr>
                  </w:pPr>
                  <w:r>
                    <w:rPr>
                      <w:rFonts w:hint="eastAsia" w:ascii="宋体" w:hAnsi="宋体" w:cs="宋体"/>
                      <w:i/>
                      <w:iCs/>
                      <w:szCs w:val="21"/>
                      <w:u w:val="single"/>
                    </w:rPr>
                    <w:t>3</w:t>
                  </w:r>
                </w:p>
              </w:tc>
              <w:tc>
                <w:tcPr>
                  <w:tcW w:w="1681" w:type="dxa"/>
                  <w:vAlign w:val="center"/>
                </w:tcPr>
                <w:p>
                  <w:pPr>
                    <w:widowControl/>
                    <w:jc w:val="center"/>
                    <w:rPr>
                      <w:rFonts w:ascii="宋体" w:hAnsi="宋体" w:cs="宋体"/>
                      <w:i/>
                      <w:iCs/>
                      <w:szCs w:val="21"/>
                      <w:u w:val="single"/>
                    </w:rPr>
                  </w:pPr>
                  <w:r>
                    <w:rPr>
                      <w:rFonts w:hint="eastAsia" w:ascii="宋体" w:hAnsi="宋体" w:cs="宋体"/>
                      <w:i/>
                      <w:iCs/>
                      <w:kern w:val="0"/>
                      <w:szCs w:val="21"/>
                      <w:u w:val="single"/>
                    </w:rPr>
                    <w:t>废玻璃</w:t>
                  </w:r>
                </w:p>
              </w:tc>
              <w:tc>
                <w:tcPr>
                  <w:tcW w:w="1124" w:type="dxa"/>
                  <w:vAlign w:val="center"/>
                </w:tcPr>
                <w:p>
                  <w:pPr>
                    <w:widowControl/>
                    <w:jc w:val="center"/>
                    <w:rPr>
                      <w:rFonts w:ascii="宋体" w:hAnsi="宋体" w:cs="宋体"/>
                      <w:i/>
                      <w:iCs/>
                      <w:szCs w:val="21"/>
                      <w:u w:val="single"/>
                    </w:rPr>
                  </w:pPr>
                  <w:r>
                    <w:rPr>
                      <w:rFonts w:hint="eastAsia" w:ascii="宋体" w:hAnsi="宋体" w:cs="宋体"/>
                      <w:i/>
                      <w:iCs/>
                      <w:szCs w:val="21"/>
                      <w:u w:val="single"/>
                    </w:rPr>
                    <w:t>预拆解</w:t>
                  </w:r>
                </w:p>
              </w:tc>
              <w:tc>
                <w:tcPr>
                  <w:tcW w:w="1485" w:type="dxa"/>
                  <w:vAlign w:val="center"/>
                </w:tcPr>
                <w:p>
                  <w:pPr>
                    <w:widowControl/>
                    <w:jc w:val="center"/>
                    <w:rPr>
                      <w:rFonts w:ascii="宋体" w:hAnsi="宋体" w:cs="宋体"/>
                      <w:i/>
                      <w:iCs/>
                      <w:szCs w:val="21"/>
                      <w:u w:val="single"/>
                    </w:rPr>
                  </w:pPr>
                  <w:r>
                    <w:rPr>
                      <w:rFonts w:hint="eastAsia" w:ascii="宋体" w:hAnsi="宋体" w:cs="宋体"/>
                      <w:i/>
                      <w:iCs/>
                      <w:szCs w:val="21"/>
                      <w:u w:val="single"/>
                    </w:rPr>
                    <w:t>900-004-S17</w:t>
                  </w:r>
                </w:p>
              </w:tc>
              <w:tc>
                <w:tcPr>
                  <w:tcW w:w="1140" w:type="dxa"/>
                  <w:vAlign w:val="center"/>
                </w:tcPr>
                <w:p>
                  <w:pPr>
                    <w:widowControl/>
                    <w:jc w:val="center"/>
                    <w:rPr>
                      <w:rFonts w:ascii="宋体" w:hAnsi="宋体" w:cs="宋体"/>
                      <w:i/>
                      <w:iCs/>
                      <w:szCs w:val="21"/>
                      <w:u w:val="single"/>
                    </w:rPr>
                  </w:pPr>
                  <w:r>
                    <w:rPr>
                      <w:rFonts w:hint="eastAsia" w:ascii="宋体" w:hAnsi="宋体" w:cs="宋体"/>
                      <w:i/>
                      <w:iCs/>
                      <w:szCs w:val="21"/>
                      <w:u w:val="single"/>
                    </w:rPr>
                    <w:t>固体</w:t>
                  </w:r>
                </w:p>
              </w:tc>
              <w:tc>
                <w:tcPr>
                  <w:tcW w:w="1059" w:type="dxa"/>
                  <w:vAlign w:val="top"/>
                </w:tcPr>
                <w:p>
                  <w:pPr>
                    <w:widowControl/>
                    <w:jc w:val="center"/>
                    <w:textAlignment w:val="top"/>
                    <w:rPr>
                      <w:rFonts w:ascii="宋体" w:hAnsi="宋体" w:cs="宋体"/>
                      <w:i/>
                      <w:iCs/>
                      <w:szCs w:val="21"/>
                      <w:u w:val="single"/>
                    </w:rPr>
                  </w:pPr>
                  <w:r>
                    <w:rPr>
                      <w:rFonts w:hint="eastAsia" w:ascii="宋体" w:hAnsi="宋体" w:cs="宋体"/>
                      <w:i/>
                      <w:iCs/>
                      <w:color w:val="000000"/>
                      <w:kern w:val="0"/>
                      <w:szCs w:val="21"/>
                      <w:u w:val="single"/>
                    </w:rPr>
                    <w:t>58.5</w:t>
                  </w:r>
                </w:p>
              </w:tc>
              <w:tc>
                <w:tcPr>
                  <w:tcW w:w="1197" w:type="dxa"/>
                  <w:vAlign w:val="center"/>
                </w:tcPr>
                <w:p>
                  <w:pPr>
                    <w:widowControl/>
                    <w:jc w:val="center"/>
                    <w:rPr>
                      <w:rFonts w:ascii="宋体" w:hAnsi="宋体" w:cs="宋体"/>
                      <w:i/>
                      <w:iCs/>
                      <w:szCs w:val="21"/>
                      <w:u w:val="single"/>
                    </w:rPr>
                  </w:pPr>
                  <w:r>
                    <w:rPr>
                      <w:rFonts w:hint="eastAsia" w:ascii="宋体" w:hAnsi="宋体" w:cs="宋体"/>
                      <w:i/>
                      <w:iCs/>
                      <w:szCs w:val="21"/>
                      <w:u w:val="single"/>
                    </w:rPr>
                    <w:t>分类堆放</w:t>
                  </w:r>
                </w:p>
              </w:tc>
            </w:tr>
            <w:tr>
              <w:trPr>
                <w:trHeight w:val="458" w:hRule="atLeast"/>
              </w:trPr>
              <w:tc>
                <w:tcPr>
                  <w:tcW w:w="691" w:type="dxa"/>
                  <w:vAlign w:val="center"/>
                </w:tcPr>
                <w:p>
                  <w:pPr>
                    <w:widowControl/>
                    <w:jc w:val="center"/>
                    <w:rPr>
                      <w:rFonts w:ascii="宋体" w:hAnsi="宋体" w:cs="宋体"/>
                      <w:i/>
                      <w:iCs/>
                      <w:szCs w:val="21"/>
                      <w:u w:val="single"/>
                    </w:rPr>
                  </w:pPr>
                  <w:r>
                    <w:rPr>
                      <w:rFonts w:hint="eastAsia" w:ascii="宋体" w:hAnsi="宋体" w:cs="宋体"/>
                      <w:i/>
                      <w:iCs/>
                      <w:szCs w:val="21"/>
                      <w:u w:val="single"/>
                    </w:rPr>
                    <w:t>4</w:t>
                  </w:r>
                </w:p>
              </w:tc>
              <w:tc>
                <w:tcPr>
                  <w:tcW w:w="1681" w:type="dxa"/>
                  <w:vAlign w:val="center"/>
                </w:tcPr>
                <w:p>
                  <w:pPr>
                    <w:widowControl/>
                    <w:jc w:val="center"/>
                    <w:rPr>
                      <w:rFonts w:ascii="宋体" w:hAnsi="宋体" w:cs="宋体"/>
                      <w:i/>
                      <w:iCs/>
                      <w:szCs w:val="21"/>
                      <w:u w:val="single"/>
                    </w:rPr>
                  </w:pPr>
                  <w:r>
                    <w:rPr>
                      <w:rFonts w:hint="eastAsia" w:ascii="宋体" w:hAnsi="宋体" w:cs="宋体"/>
                      <w:i/>
                      <w:iCs/>
                      <w:kern w:val="0"/>
                      <w:szCs w:val="21"/>
                      <w:u w:val="single"/>
                    </w:rPr>
                    <w:t>废橡胶</w:t>
                  </w:r>
                </w:p>
              </w:tc>
              <w:tc>
                <w:tcPr>
                  <w:tcW w:w="1124" w:type="dxa"/>
                  <w:vAlign w:val="center"/>
                </w:tcPr>
                <w:p>
                  <w:pPr>
                    <w:widowControl/>
                    <w:jc w:val="center"/>
                    <w:rPr>
                      <w:rFonts w:ascii="宋体" w:hAnsi="宋体" w:cs="宋体"/>
                      <w:i/>
                      <w:iCs/>
                      <w:szCs w:val="21"/>
                      <w:u w:val="single"/>
                    </w:rPr>
                  </w:pPr>
                  <w:r>
                    <w:rPr>
                      <w:rFonts w:hint="eastAsia" w:ascii="宋体" w:hAnsi="宋体" w:cs="宋体"/>
                      <w:i/>
                      <w:iCs/>
                      <w:szCs w:val="21"/>
                      <w:u w:val="single"/>
                    </w:rPr>
                    <w:t>拆解</w:t>
                  </w:r>
                </w:p>
              </w:tc>
              <w:tc>
                <w:tcPr>
                  <w:tcW w:w="1485" w:type="dxa"/>
                  <w:vAlign w:val="center"/>
                </w:tcPr>
                <w:p>
                  <w:pPr>
                    <w:widowControl/>
                    <w:jc w:val="center"/>
                    <w:rPr>
                      <w:rFonts w:ascii="宋体" w:hAnsi="宋体" w:cs="宋体"/>
                      <w:i/>
                      <w:iCs/>
                      <w:szCs w:val="21"/>
                      <w:u w:val="single"/>
                    </w:rPr>
                  </w:pPr>
                  <w:r>
                    <w:rPr>
                      <w:rFonts w:hint="eastAsia" w:ascii="宋体" w:hAnsi="宋体" w:cs="宋体"/>
                      <w:i/>
                      <w:iCs/>
                      <w:szCs w:val="21"/>
                      <w:u w:val="single"/>
                    </w:rPr>
                    <w:t>900-006-S17</w:t>
                  </w:r>
                </w:p>
              </w:tc>
              <w:tc>
                <w:tcPr>
                  <w:tcW w:w="1140" w:type="dxa"/>
                  <w:vAlign w:val="center"/>
                </w:tcPr>
                <w:p>
                  <w:pPr>
                    <w:widowControl/>
                    <w:jc w:val="center"/>
                    <w:rPr>
                      <w:rFonts w:ascii="宋体" w:hAnsi="宋体" w:cs="宋体"/>
                      <w:i/>
                      <w:iCs/>
                      <w:szCs w:val="21"/>
                      <w:u w:val="single"/>
                    </w:rPr>
                  </w:pPr>
                  <w:r>
                    <w:rPr>
                      <w:rFonts w:hint="eastAsia" w:ascii="宋体" w:hAnsi="宋体" w:cs="宋体"/>
                      <w:i/>
                      <w:iCs/>
                      <w:szCs w:val="21"/>
                      <w:u w:val="single"/>
                    </w:rPr>
                    <w:t>固体</w:t>
                  </w:r>
                </w:p>
              </w:tc>
              <w:tc>
                <w:tcPr>
                  <w:tcW w:w="1059" w:type="dxa"/>
                  <w:vAlign w:val="top"/>
                </w:tcPr>
                <w:p>
                  <w:pPr>
                    <w:widowControl/>
                    <w:jc w:val="center"/>
                    <w:textAlignment w:val="top"/>
                    <w:rPr>
                      <w:rFonts w:ascii="宋体" w:hAnsi="宋体" w:cs="宋体"/>
                      <w:i/>
                      <w:iCs/>
                      <w:szCs w:val="21"/>
                      <w:u w:val="single"/>
                    </w:rPr>
                  </w:pPr>
                  <w:r>
                    <w:rPr>
                      <w:rFonts w:hint="eastAsia" w:ascii="宋体" w:hAnsi="宋体" w:cs="宋体"/>
                      <w:i/>
                      <w:iCs/>
                      <w:color w:val="000000"/>
                      <w:szCs w:val="21"/>
                      <w:u w:val="single"/>
                    </w:rPr>
                    <w:t>162</w:t>
                  </w:r>
                </w:p>
              </w:tc>
              <w:tc>
                <w:tcPr>
                  <w:tcW w:w="1197" w:type="dxa"/>
                  <w:vAlign w:val="center"/>
                </w:tcPr>
                <w:p>
                  <w:pPr>
                    <w:widowControl/>
                    <w:jc w:val="center"/>
                    <w:rPr>
                      <w:rFonts w:ascii="宋体" w:hAnsi="宋体" w:cs="宋体"/>
                      <w:i/>
                      <w:iCs/>
                      <w:szCs w:val="21"/>
                      <w:u w:val="single"/>
                    </w:rPr>
                  </w:pPr>
                  <w:r>
                    <w:rPr>
                      <w:rFonts w:hint="eastAsia" w:ascii="宋体" w:hAnsi="宋体" w:cs="宋体"/>
                      <w:i/>
                      <w:iCs/>
                      <w:szCs w:val="21"/>
                      <w:u w:val="single"/>
                    </w:rPr>
                    <w:t>分类堆放</w:t>
                  </w:r>
                </w:p>
              </w:tc>
            </w:tr>
            <w:tr>
              <w:trPr>
                <w:trHeight w:val="458" w:hRule="atLeast"/>
              </w:trPr>
              <w:tc>
                <w:tcPr>
                  <w:tcW w:w="691" w:type="dxa"/>
                  <w:vAlign w:val="center"/>
                </w:tcPr>
                <w:p>
                  <w:pPr>
                    <w:widowControl/>
                    <w:jc w:val="center"/>
                    <w:rPr>
                      <w:rFonts w:ascii="宋体" w:hAnsi="宋体" w:cs="宋体"/>
                      <w:i/>
                      <w:iCs/>
                      <w:szCs w:val="21"/>
                      <w:u w:val="single"/>
                    </w:rPr>
                  </w:pPr>
                  <w:r>
                    <w:rPr>
                      <w:rFonts w:hint="eastAsia" w:ascii="宋体" w:hAnsi="宋体" w:cs="宋体"/>
                      <w:i/>
                      <w:iCs/>
                      <w:szCs w:val="21"/>
                      <w:u w:val="single"/>
                    </w:rPr>
                    <w:t>5</w:t>
                  </w:r>
                </w:p>
              </w:tc>
              <w:tc>
                <w:tcPr>
                  <w:tcW w:w="1681" w:type="dxa"/>
                  <w:vAlign w:val="center"/>
                </w:tcPr>
                <w:p>
                  <w:pPr>
                    <w:widowControl/>
                    <w:jc w:val="center"/>
                    <w:rPr>
                      <w:rFonts w:ascii="宋体" w:hAnsi="宋体" w:cs="宋体"/>
                      <w:i/>
                      <w:iCs/>
                      <w:szCs w:val="21"/>
                      <w:u w:val="single"/>
                    </w:rPr>
                  </w:pPr>
                  <w:r>
                    <w:rPr>
                      <w:rFonts w:hint="eastAsia" w:ascii="宋体" w:hAnsi="宋体" w:cs="宋体"/>
                      <w:i/>
                      <w:iCs/>
                      <w:kern w:val="0"/>
                      <w:szCs w:val="21"/>
                      <w:u w:val="single"/>
                    </w:rPr>
                    <w:t>纤维皮革</w:t>
                  </w:r>
                </w:p>
              </w:tc>
              <w:tc>
                <w:tcPr>
                  <w:tcW w:w="1124" w:type="dxa"/>
                  <w:vAlign w:val="center"/>
                </w:tcPr>
                <w:p>
                  <w:pPr>
                    <w:widowControl/>
                    <w:jc w:val="center"/>
                    <w:rPr>
                      <w:rFonts w:ascii="宋体" w:hAnsi="宋体" w:cs="宋体"/>
                      <w:i/>
                      <w:iCs/>
                      <w:szCs w:val="21"/>
                      <w:u w:val="single"/>
                    </w:rPr>
                  </w:pPr>
                  <w:r>
                    <w:rPr>
                      <w:rFonts w:hint="eastAsia" w:ascii="宋体" w:hAnsi="宋体" w:cs="宋体"/>
                      <w:i/>
                      <w:iCs/>
                      <w:szCs w:val="21"/>
                      <w:u w:val="single"/>
                    </w:rPr>
                    <w:t>拆解</w:t>
                  </w:r>
                </w:p>
              </w:tc>
              <w:tc>
                <w:tcPr>
                  <w:tcW w:w="1485" w:type="dxa"/>
                  <w:vAlign w:val="center"/>
                </w:tcPr>
                <w:p>
                  <w:pPr>
                    <w:widowControl/>
                    <w:jc w:val="center"/>
                    <w:rPr>
                      <w:rFonts w:ascii="宋体" w:hAnsi="宋体" w:cs="宋体"/>
                      <w:i/>
                      <w:iCs/>
                      <w:szCs w:val="21"/>
                      <w:u w:val="single"/>
                    </w:rPr>
                  </w:pPr>
                  <w:r>
                    <w:rPr>
                      <w:rFonts w:hint="eastAsia" w:ascii="宋体" w:hAnsi="宋体" w:cs="宋体"/>
                      <w:i/>
                      <w:iCs/>
                      <w:szCs w:val="21"/>
                      <w:u w:val="single"/>
                    </w:rPr>
                    <w:t>900-011-S17</w:t>
                  </w:r>
                </w:p>
              </w:tc>
              <w:tc>
                <w:tcPr>
                  <w:tcW w:w="1140" w:type="dxa"/>
                  <w:vAlign w:val="center"/>
                </w:tcPr>
                <w:p>
                  <w:pPr>
                    <w:widowControl/>
                    <w:jc w:val="center"/>
                    <w:rPr>
                      <w:rFonts w:ascii="宋体" w:hAnsi="宋体" w:cs="宋体"/>
                      <w:i/>
                      <w:iCs/>
                      <w:szCs w:val="21"/>
                      <w:u w:val="single"/>
                    </w:rPr>
                  </w:pPr>
                  <w:r>
                    <w:rPr>
                      <w:rFonts w:hint="eastAsia" w:ascii="宋体" w:hAnsi="宋体" w:cs="宋体"/>
                      <w:i/>
                      <w:iCs/>
                      <w:szCs w:val="21"/>
                      <w:u w:val="single"/>
                    </w:rPr>
                    <w:t>固体</w:t>
                  </w:r>
                </w:p>
              </w:tc>
              <w:tc>
                <w:tcPr>
                  <w:tcW w:w="1059" w:type="dxa"/>
                  <w:vAlign w:val="top"/>
                </w:tcPr>
                <w:p>
                  <w:pPr>
                    <w:widowControl/>
                    <w:jc w:val="center"/>
                    <w:textAlignment w:val="top"/>
                    <w:rPr>
                      <w:rFonts w:ascii="宋体" w:hAnsi="宋体" w:cs="宋体"/>
                      <w:i/>
                      <w:iCs/>
                      <w:szCs w:val="21"/>
                      <w:u w:val="single"/>
                    </w:rPr>
                  </w:pPr>
                  <w:r>
                    <w:rPr>
                      <w:rFonts w:hint="eastAsia" w:ascii="宋体" w:hAnsi="宋体" w:cs="宋体"/>
                      <w:i/>
                      <w:iCs/>
                      <w:color w:val="000000"/>
                      <w:kern w:val="0"/>
                      <w:szCs w:val="21"/>
                      <w:u w:val="single"/>
                    </w:rPr>
                    <w:t>58.5</w:t>
                  </w:r>
                </w:p>
              </w:tc>
              <w:tc>
                <w:tcPr>
                  <w:tcW w:w="1197" w:type="dxa"/>
                  <w:vAlign w:val="center"/>
                </w:tcPr>
                <w:p>
                  <w:pPr>
                    <w:widowControl/>
                    <w:jc w:val="center"/>
                    <w:rPr>
                      <w:rFonts w:ascii="宋体" w:hAnsi="宋体" w:cs="宋体"/>
                      <w:i/>
                      <w:iCs/>
                      <w:szCs w:val="21"/>
                      <w:u w:val="single"/>
                    </w:rPr>
                  </w:pPr>
                  <w:r>
                    <w:rPr>
                      <w:rFonts w:hint="eastAsia" w:ascii="宋体" w:hAnsi="宋体" w:cs="宋体"/>
                      <w:i/>
                      <w:iCs/>
                      <w:szCs w:val="21"/>
                      <w:u w:val="single"/>
                    </w:rPr>
                    <w:t>分类堆放</w:t>
                  </w:r>
                </w:p>
              </w:tc>
            </w:tr>
            <w:tr>
              <w:trPr>
                <w:trHeight w:val="458" w:hRule="atLeast"/>
              </w:trPr>
              <w:tc>
                <w:tcPr>
                  <w:tcW w:w="691" w:type="dxa"/>
                  <w:vAlign w:val="center"/>
                </w:tcPr>
                <w:p>
                  <w:pPr>
                    <w:widowControl/>
                    <w:jc w:val="center"/>
                    <w:rPr>
                      <w:rFonts w:ascii="宋体" w:hAnsi="宋体" w:cs="宋体"/>
                      <w:i/>
                      <w:iCs/>
                      <w:szCs w:val="21"/>
                      <w:u w:val="single"/>
                    </w:rPr>
                  </w:pPr>
                  <w:r>
                    <w:rPr>
                      <w:rFonts w:hint="eastAsia" w:ascii="宋体" w:hAnsi="宋体" w:cs="宋体"/>
                      <w:i/>
                      <w:iCs/>
                      <w:szCs w:val="21"/>
                      <w:u w:val="single"/>
                    </w:rPr>
                    <w:t>6</w:t>
                  </w:r>
                </w:p>
              </w:tc>
              <w:tc>
                <w:tcPr>
                  <w:tcW w:w="1681" w:type="dxa"/>
                  <w:vAlign w:val="center"/>
                </w:tcPr>
                <w:p>
                  <w:pPr>
                    <w:widowControl/>
                    <w:jc w:val="center"/>
                    <w:rPr>
                      <w:rFonts w:ascii="宋体" w:hAnsi="宋体" w:cs="宋体"/>
                      <w:i/>
                      <w:iCs/>
                      <w:szCs w:val="21"/>
                      <w:u w:val="single"/>
                    </w:rPr>
                  </w:pPr>
                  <w:r>
                    <w:rPr>
                      <w:rFonts w:hint="eastAsia" w:ascii="宋体" w:hAnsi="宋体" w:cs="宋体"/>
                      <w:i/>
                      <w:iCs/>
                      <w:kern w:val="0"/>
                      <w:szCs w:val="21"/>
                      <w:u w:val="single"/>
                    </w:rPr>
                    <w:t>废塑料</w:t>
                  </w:r>
                </w:p>
              </w:tc>
              <w:tc>
                <w:tcPr>
                  <w:tcW w:w="1124" w:type="dxa"/>
                  <w:vAlign w:val="center"/>
                </w:tcPr>
                <w:p>
                  <w:pPr>
                    <w:widowControl/>
                    <w:jc w:val="center"/>
                    <w:rPr>
                      <w:rFonts w:ascii="宋体" w:hAnsi="宋体" w:cs="宋体"/>
                      <w:i/>
                      <w:iCs/>
                      <w:szCs w:val="21"/>
                      <w:u w:val="single"/>
                    </w:rPr>
                  </w:pPr>
                  <w:r>
                    <w:rPr>
                      <w:rFonts w:hint="eastAsia" w:ascii="宋体" w:hAnsi="宋体" w:cs="宋体"/>
                      <w:i/>
                      <w:iCs/>
                      <w:szCs w:val="21"/>
                      <w:u w:val="single"/>
                    </w:rPr>
                    <w:t>拆解</w:t>
                  </w:r>
                </w:p>
              </w:tc>
              <w:tc>
                <w:tcPr>
                  <w:tcW w:w="1485" w:type="dxa"/>
                  <w:vAlign w:val="center"/>
                </w:tcPr>
                <w:p>
                  <w:pPr>
                    <w:widowControl/>
                    <w:jc w:val="center"/>
                    <w:rPr>
                      <w:rFonts w:ascii="宋体" w:hAnsi="宋体" w:cs="宋体"/>
                      <w:i/>
                      <w:iCs/>
                      <w:szCs w:val="21"/>
                      <w:u w:val="single"/>
                    </w:rPr>
                  </w:pPr>
                  <w:r>
                    <w:rPr>
                      <w:rFonts w:hint="eastAsia" w:ascii="宋体" w:hAnsi="宋体" w:cs="宋体"/>
                      <w:i/>
                      <w:iCs/>
                      <w:szCs w:val="21"/>
                      <w:u w:val="single"/>
                    </w:rPr>
                    <w:t>900-003-S17</w:t>
                  </w:r>
                </w:p>
              </w:tc>
              <w:tc>
                <w:tcPr>
                  <w:tcW w:w="1140" w:type="dxa"/>
                  <w:vAlign w:val="center"/>
                </w:tcPr>
                <w:p>
                  <w:pPr>
                    <w:widowControl/>
                    <w:jc w:val="center"/>
                    <w:rPr>
                      <w:rFonts w:ascii="宋体" w:hAnsi="宋体" w:cs="宋体"/>
                      <w:i/>
                      <w:iCs/>
                      <w:szCs w:val="21"/>
                      <w:u w:val="single"/>
                    </w:rPr>
                  </w:pPr>
                  <w:r>
                    <w:rPr>
                      <w:rFonts w:hint="eastAsia" w:ascii="宋体" w:hAnsi="宋体" w:cs="宋体"/>
                      <w:i/>
                      <w:iCs/>
                      <w:szCs w:val="21"/>
                      <w:u w:val="single"/>
                    </w:rPr>
                    <w:t>固体</w:t>
                  </w:r>
                </w:p>
              </w:tc>
              <w:tc>
                <w:tcPr>
                  <w:tcW w:w="1059" w:type="dxa"/>
                  <w:vAlign w:val="top"/>
                </w:tcPr>
                <w:p>
                  <w:pPr>
                    <w:widowControl/>
                    <w:jc w:val="center"/>
                    <w:textAlignment w:val="top"/>
                    <w:rPr>
                      <w:rFonts w:ascii="宋体" w:hAnsi="宋体" w:cs="宋体"/>
                      <w:i/>
                      <w:iCs/>
                      <w:szCs w:val="21"/>
                      <w:u w:val="single"/>
                    </w:rPr>
                  </w:pPr>
                  <w:r>
                    <w:rPr>
                      <w:rFonts w:hint="eastAsia" w:ascii="宋体" w:hAnsi="宋体" w:cs="宋体"/>
                      <w:i/>
                      <w:iCs/>
                      <w:color w:val="000000"/>
                      <w:kern w:val="0"/>
                      <w:szCs w:val="21"/>
                      <w:u w:val="single"/>
                    </w:rPr>
                    <w:t>42.5</w:t>
                  </w:r>
                </w:p>
              </w:tc>
              <w:tc>
                <w:tcPr>
                  <w:tcW w:w="1197" w:type="dxa"/>
                  <w:vAlign w:val="center"/>
                </w:tcPr>
                <w:p>
                  <w:pPr>
                    <w:widowControl/>
                    <w:jc w:val="center"/>
                    <w:rPr>
                      <w:rFonts w:ascii="宋体" w:hAnsi="宋体" w:cs="宋体"/>
                      <w:i/>
                      <w:iCs/>
                      <w:szCs w:val="21"/>
                      <w:u w:val="single"/>
                    </w:rPr>
                  </w:pPr>
                  <w:r>
                    <w:rPr>
                      <w:rFonts w:hint="eastAsia" w:ascii="宋体" w:hAnsi="宋体" w:cs="宋体"/>
                      <w:i/>
                      <w:iCs/>
                      <w:szCs w:val="21"/>
                      <w:u w:val="single"/>
                    </w:rPr>
                    <w:t>分类堆放</w:t>
                  </w:r>
                </w:p>
              </w:tc>
            </w:tr>
            <w:tr>
              <w:trPr>
                <w:trHeight w:val="458" w:hRule="atLeast"/>
              </w:trPr>
              <w:tc>
                <w:tcPr>
                  <w:tcW w:w="691" w:type="dxa"/>
                  <w:vAlign w:val="center"/>
                </w:tcPr>
                <w:p>
                  <w:pPr>
                    <w:widowControl/>
                    <w:jc w:val="center"/>
                    <w:rPr>
                      <w:rFonts w:ascii="宋体" w:hAnsi="宋体" w:cs="宋体"/>
                      <w:i/>
                      <w:iCs/>
                      <w:szCs w:val="21"/>
                      <w:u w:val="single"/>
                    </w:rPr>
                  </w:pPr>
                  <w:r>
                    <w:rPr>
                      <w:rFonts w:hint="eastAsia" w:ascii="宋体" w:hAnsi="宋体" w:cs="宋体"/>
                      <w:i/>
                      <w:iCs/>
                      <w:szCs w:val="21"/>
                      <w:u w:val="single"/>
                    </w:rPr>
                    <w:t>7</w:t>
                  </w:r>
                </w:p>
              </w:tc>
              <w:tc>
                <w:tcPr>
                  <w:tcW w:w="1681" w:type="dxa"/>
                  <w:vAlign w:val="center"/>
                </w:tcPr>
                <w:p>
                  <w:pPr>
                    <w:widowControl/>
                    <w:jc w:val="center"/>
                    <w:rPr>
                      <w:rFonts w:ascii="宋体" w:hAnsi="宋体" w:cs="宋体"/>
                      <w:i/>
                      <w:iCs/>
                      <w:szCs w:val="21"/>
                      <w:u w:val="single"/>
                    </w:rPr>
                  </w:pPr>
                  <w:r>
                    <w:rPr>
                      <w:rFonts w:hint="eastAsia" w:ascii="宋体" w:hAnsi="宋体" w:cs="宋体"/>
                      <w:i/>
                      <w:iCs/>
                      <w:kern w:val="0"/>
                      <w:szCs w:val="21"/>
                      <w:u w:val="single"/>
                    </w:rPr>
                    <w:t>可用有色金属</w:t>
                  </w:r>
                </w:p>
              </w:tc>
              <w:tc>
                <w:tcPr>
                  <w:tcW w:w="1124" w:type="dxa"/>
                  <w:vAlign w:val="center"/>
                </w:tcPr>
                <w:p>
                  <w:pPr>
                    <w:widowControl/>
                    <w:jc w:val="center"/>
                    <w:rPr>
                      <w:rFonts w:ascii="宋体" w:hAnsi="宋体" w:cs="宋体"/>
                      <w:i/>
                      <w:iCs/>
                      <w:szCs w:val="21"/>
                      <w:u w:val="single"/>
                    </w:rPr>
                  </w:pPr>
                  <w:r>
                    <w:rPr>
                      <w:rFonts w:hint="eastAsia" w:ascii="宋体" w:hAnsi="宋体" w:cs="宋体"/>
                      <w:i/>
                      <w:iCs/>
                      <w:szCs w:val="21"/>
                      <w:u w:val="single"/>
                    </w:rPr>
                    <w:t>拆解</w:t>
                  </w:r>
                </w:p>
              </w:tc>
              <w:tc>
                <w:tcPr>
                  <w:tcW w:w="1485" w:type="dxa"/>
                  <w:vAlign w:val="center"/>
                </w:tcPr>
                <w:p>
                  <w:pPr>
                    <w:widowControl/>
                    <w:jc w:val="center"/>
                    <w:rPr>
                      <w:rFonts w:ascii="宋体" w:hAnsi="宋体" w:cs="宋体"/>
                      <w:i/>
                      <w:iCs/>
                      <w:szCs w:val="21"/>
                      <w:u w:val="single"/>
                    </w:rPr>
                  </w:pPr>
                  <w:r>
                    <w:rPr>
                      <w:rFonts w:hint="eastAsia" w:ascii="宋体" w:hAnsi="宋体" w:cs="宋体"/>
                      <w:i/>
                      <w:iCs/>
                      <w:szCs w:val="21"/>
                      <w:u w:val="single"/>
                    </w:rPr>
                    <w:t>900-002-S17</w:t>
                  </w:r>
                </w:p>
              </w:tc>
              <w:tc>
                <w:tcPr>
                  <w:tcW w:w="1140" w:type="dxa"/>
                  <w:vAlign w:val="center"/>
                </w:tcPr>
                <w:p>
                  <w:pPr>
                    <w:widowControl/>
                    <w:jc w:val="center"/>
                    <w:rPr>
                      <w:rFonts w:ascii="宋体" w:hAnsi="宋体" w:cs="宋体"/>
                      <w:i/>
                      <w:iCs/>
                      <w:szCs w:val="21"/>
                      <w:u w:val="single"/>
                    </w:rPr>
                  </w:pPr>
                  <w:r>
                    <w:rPr>
                      <w:rFonts w:hint="eastAsia" w:ascii="宋体" w:hAnsi="宋体" w:cs="宋体"/>
                      <w:i/>
                      <w:iCs/>
                      <w:szCs w:val="21"/>
                      <w:u w:val="single"/>
                    </w:rPr>
                    <w:t>固体</w:t>
                  </w:r>
                </w:p>
              </w:tc>
              <w:tc>
                <w:tcPr>
                  <w:tcW w:w="1059" w:type="dxa"/>
                  <w:vAlign w:val="center"/>
                </w:tcPr>
                <w:p>
                  <w:pPr>
                    <w:widowControl/>
                    <w:jc w:val="center"/>
                    <w:rPr>
                      <w:rFonts w:ascii="宋体" w:hAnsi="宋体" w:cs="宋体"/>
                      <w:i/>
                      <w:iCs/>
                      <w:szCs w:val="21"/>
                      <w:u w:val="single"/>
                    </w:rPr>
                  </w:pPr>
                  <w:r>
                    <w:rPr>
                      <w:rFonts w:hint="eastAsia" w:ascii="宋体" w:hAnsi="宋体" w:cs="宋体"/>
                      <w:i/>
                      <w:iCs/>
                      <w:szCs w:val="21"/>
                      <w:u w:val="single"/>
                    </w:rPr>
                    <w:t>175.5</w:t>
                  </w:r>
                </w:p>
              </w:tc>
              <w:tc>
                <w:tcPr>
                  <w:tcW w:w="1197" w:type="dxa"/>
                  <w:vAlign w:val="center"/>
                </w:tcPr>
                <w:p>
                  <w:pPr>
                    <w:widowControl/>
                    <w:jc w:val="center"/>
                    <w:rPr>
                      <w:rFonts w:ascii="宋体" w:hAnsi="宋体" w:cs="宋体"/>
                      <w:i/>
                      <w:iCs/>
                      <w:szCs w:val="21"/>
                      <w:u w:val="single"/>
                    </w:rPr>
                  </w:pPr>
                  <w:r>
                    <w:rPr>
                      <w:rFonts w:hint="eastAsia" w:ascii="宋体" w:hAnsi="宋体" w:cs="宋体"/>
                      <w:i/>
                      <w:iCs/>
                      <w:szCs w:val="21"/>
                      <w:u w:val="single"/>
                    </w:rPr>
                    <w:t>分类堆放</w:t>
                  </w:r>
                </w:p>
              </w:tc>
            </w:tr>
            <w:tr>
              <w:trPr>
                <w:trHeight w:val="458" w:hRule="atLeast"/>
              </w:trPr>
              <w:tc>
                <w:tcPr>
                  <w:tcW w:w="691" w:type="dxa"/>
                  <w:vAlign w:val="center"/>
                </w:tcPr>
                <w:p>
                  <w:pPr>
                    <w:widowControl/>
                    <w:jc w:val="center"/>
                    <w:rPr>
                      <w:rFonts w:ascii="宋体" w:hAnsi="宋体" w:cs="宋体"/>
                      <w:i/>
                      <w:iCs/>
                      <w:szCs w:val="21"/>
                      <w:u w:val="single"/>
                    </w:rPr>
                  </w:pPr>
                  <w:r>
                    <w:rPr>
                      <w:rFonts w:hint="eastAsia" w:ascii="宋体" w:hAnsi="宋体" w:cs="宋体"/>
                      <w:i/>
                      <w:iCs/>
                      <w:szCs w:val="21"/>
                      <w:u w:val="single"/>
                    </w:rPr>
                    <w:t>8</w:t>
                  </w:r>
                </w:p>
              </w:tc>
              <w:tc>
                <w:tcPr>
                  <w:tcW w:w="1681" w:type="dxa"/>
                  <w:vAlign w:val="center"/>
                </w:tcPr>
                <w:p>
                  <w:pPr>
                    <w:widowControl/>
                    <w:jc w:val="center"/>
                    <w:rPr>
                      <w:rFonts w:ascii="宋体" w:hAnsi="宋体" w:cs="宋体"/>
                      <w:i/>
                      <w:iCs/>
                      <w:kern w:val="0"/>
                      <w:szCs w:val="21"/>
                      <w:u w:val="single"/>
                    </w:rPr>
                  </w:pPr>
                  <w:r>
                    <w:rPr>
                      <w:rFonts w:hint="eastAsia" w:ascii="宋体" w:hAnsi="宋体" w:cs="宋体"/>
                      <w:i/>
                      <w:iCs/>
                      <w:kern w:val="0"/>
                      <w:szCs w:val="21"/>
                      <w:u w:val="single"/>
                    </w:rPr>
                    <w:t>可用零件</w:t>
                  </w:r>
                </w:p>
              </w:tc>
              <w:tc>
                <w:tcPr>
                  <w:tcW w:w="1124" w:type="dxa"/>
                  <w:vAlign w:val="center"/>
                </w:tcPr>
                <w:p>
                  <w:pPr>
                    <w:widowControl/>
                    <w:jc w:val="center"/>
                    <w:rPr>
                      <w:rFonts w:ascii="宋体" w:hAnsi="宋体" w:cs="宋体"/>
                      <w:i/>
                      <w:iCs/>
                      <w:szCs w:val="21"/>
                      <w:u w:val="single"/>
                    </w:rPr>
                  </w:pPr>
                  <w:r>
                    <w:rPr>
                      <w:rFonts w:hint="eastAsia" w:ascii="宋体" w:hAnsi="宋体" w:cs="宋体"/>
                      <w:i/>
                      <w:iCs/>
                      <w:szCs w:val="21"/>
                      <w:u w:val="single"/>
                    </w:rPr>
                    <w:t>拆解</w:t>
                  </w:r>
                </w:p>
              </w:tc>
              <w:tc>
                <w:tcPr>
                  <w:tcW w:w="1485" w:type="dxa"/>
                  <w:vAlign w:val="center"/>
                </w:tcPr>
                <w:p>
                  <w:pPr>
                    <w:widowControl/>
                    <w:jc w:val="center"/>
                    <w:rPr>
                      <w:rFonts w:ascii="宋体" w:hAnsi="宋体" w:cs="宋体"/>
                      <w:i/>
                      <w:iCs/>
                      <w:szCs w:val="21"/>
                      <w:u w:val="single"/>
                    </w:rPr>
                  </w:pPr>
                  <w:r>
                    <w:rPr>
                      <w:rFonts w:hint="eastAsia" w:ascii="宋体" w:hAnsi="宋体" w:cs="宋体"/>
                      <w:i/>
                      <w:iCs/>
                      <w:szCs w:val="21"/>
                      <w:u w:val="single"/>
                    </w:rPr>
                    <w:t>900-002-S17</w:t>
                  </w:r>
                </w:p>
              </w:tc>
              <w:tc>
                <w:tcPr>
                  <w:tcW w:w="1140" w:type="dxa"/>
                  <w:vAlign w:val="center"/>
                </w:tcPr>
                <w:p>
                  <w:pPr>
                    <w:widowControl/>
                    <w:jc w:val="center"/>
                    <w:rPr>
                      <w:rFonts w:ascii="宋体" w:hAnsi="宋体" w:cs="宋体"/>
                      <w:i/>
                      <w:iCs/>
                      <w:szCs w:val="21"/>
                      <w:u w:val="single"/>
                    </w:rPr>
                  </w:pPr>
                  <w:r>
                    <w:rPr>
                      <w:rFonts w:hint="eastAsia" w:ascii="宋体" w:hAnsi="宋体" w:cs="宋体"/>
                      <w:i/>
                      <w:iCs/>
                      <w:szCs w:val="21"/>
                      <w:u w:val="single"/>
                    </w:rPr>
                    <w:t>固体</w:t>
                  </w:r>
                </w:p>
              </w:tc>
              <w:tc>
                <w:tcPr>
                  <w:tcW w:w="1059" w:type="dxa"/>
                  <w:vAlign w:val="center"/>
                </w:tcPr>
                <w:p>
                  <w:pPr>
                    <w:widowControl/>
                    <w:jc w:val="center"/>
                    <w:rPr>
                      <w:rFonts w:ascii="宋体" w:hAnsi="宋体" w:cs="宋体"/>
                      <w:i/>
                      <w:iCs/>
                      <w:szCs w:val="21"/>
                      <w:u w:val="single"/>
                    </w:rPr>
                  </w:pPr>
                  <w:r>
                    <w:rPr>
                      <w:rFonts w:hint="eastAsia" w:ascii="宋体" w:hAnsi="宋体" w:cs="宋体"/>
                      <w:i/>
                      <w:iCs/>
                      <w:szCs w:val="21"/>
                      <w:u w:val="single"/>
                    </w:rPr>
                    <w:t>145</w:t>
                  </w:r>
                </w:p>
              </w:tc>
              <w:tc>
                <w:tcPr>
                  <w:tcW w:w="1197" w:type="dxa"/>
                  <w:vAlign w:val="center"/>
                </w:tcPr>
                <w:p>
                  <w:pPr>
                    <w:widowControl/>
                    <w:jc w:val="center"/>
                    <w:rPr>
                      <w:rFonts w:ascii="宋体" w:hAnsi="宋体" w:cs="宋体"/>
                      <w:i/>
                      <w:iCs/>
                      <w:szCs w:val="21"/>
                      <w:u w:val="single"/>
                    </w:rPr>
                  </w:pPr>
                  <w:r>
                    <w:rPr>
                      <w:rFonts w:hint="eastAsia" w:ascii="宋体" w:hAnsi="宋体" w:cs="宋体"/>
                      <w:i/>
                      <w:iCs/>
                      <w:szCs w:val="21"/>
                      <w:u w:val="single"/>
                    </w:rPr>
                    <w:t>分类堆放</w:t>
                  </w:r>
                </w:p>
              </w:tc>
            </w:tr>
            <w:tr>
              <w:trPr>
                <w:trHeight w:val="458" w:hRule="atLeast"/>
              </w:trPr>
              <w:tc>
                <w:tcPr>
                  <w:tcW w:w="691" w:type="dxa"/>
                  <w:vAlign w:val="center"/>
                </w:tcPr>
                <w:p>
                  <w:pPr>
                    <w:widowControl/>
                    <w:jc w:val="center"/>
                    <w:rPr>
                      <w:rFonts w:ascii="宋体" w:hAnsi="宋体" w:cs="宋体"/>
                      <w:i/>
                      <w:iCs/>
                      <w:szCs w:val="21"/>
                      <w:u w:val="single"/>
                    </w:rPr>
                  </w:pPr>
                  <w:r>
                    <w:rPr>
                      <w:rFonts w:hint="eastAsia" w:ascii="宋体" w:hAnsi="宋体" w:cs="宋体"/>
                      <w:i/>
                      <w:iCs/>
                      <w:szCs w:val="21"/>
                      <w:u w:val="single"/>
                    </w:rPr>
                    <w:t>9</w:t>
                  </w:r>
                </w:p>
              </w:tc>
              <w:tc>
                <w:tcPr>
                  <w:tcW w:w="1681" w:type="dxa"/>
                  <w:vAlign w:val="center"/>
                </w:tcPr>
                <w:p>
                  <w:pPr>
                    <w:widowControl/>
                    <w:jc w:val="center"/>
                    <w:rPr>
                      <w:rFonts w:ascii="宋体" w:hAnsi="宋体" w:cs="宋体"/>
                      <w:i/>
                      <w:iCs/>
                      <w:kern w:val="0"/>
                      <w:szCs w:val="21"/>
                      <w:u w:val="single"/>
                    </w:rPr>
                  </w:pPr>
                  <w:r>
                    <w:rPr>
                      <w:rFonts w:hint="eastAsia" w:ascii="宋体" w:hAnsi="宋体" w:cs="宋体"/>
                      <w:i/>
                      <w:iCs/>
                      <w:szCs w:val="21"/>
                      <w:u w:val="single"/>
                    </w:rPr>
                    <w:t>锈蚀残渣</w:t>
                  </w:r>
                </w:p>
              </w:tc>
              <w:tc>
                <w:tcPr>
                  <w:tcW w:w="1124" w:type="dxa"/>
                  <w:vAlign w:val="center"/>
                </w:tcPr>
                <w:p>
                  <w:pPr>
                    <w:widowControl/>
                    <w:jc w:val="center"/>
                    <w:rPr>
                      <w:rFonts w:ascii="宋体" w:hAnsi="宋体" w:cs="宋体"/>
                      <w:i/>
                      <w:iCs/>
                      <w:szCs w:val="21"/>
                      <w:u w:val="single"/>
                    </w:rPr>
                  </w:pPr>
                  <w:r>
                    <w:rPr>
                      <w:rFonts w:hint="eastAsia" w:ascii="宋体" w:hAnsi="宋体" w:cs="宋体"/>
                      <w:i/>
                      <w:iCs/>
                      <w:szCs w:val="21"/>
                      <w:u w:val="single"/>
                    </w:rPr>
                    <w:t>拆解</w:t>
                  </w:r>
                </w:p>
              </w:tc>
              <w:tc>
                <w:tcPr>
                  <w:tcW w:w="1485" w:type="dxa"/>
                  <w:vAlign w:val="center"/>
                </w:tcPr>
                <w:p>
                  <w:pPr>
                    <w:widowControl/>
                    <w:jc w:val="center"/>
                    <w:rPr>
                      <w:rFonts w:ascii="宋体" w:hAnsi="宋体" w:cs="宋体"/>
                      <w:i/>
                      <w:iCs/>
                      <w:szCs w:val="21"/>
                      <w:u w:val="single"/>
                    </w:rPr>
                  </w:pPr>
                  <w:r>
                    <w:rPr>
                      <w:rFonts w:ascii="宋体" w:hAnsi="宋体" w:cs="宋体"/>
                      <w:i/>
                      <w:iCs/>
                      <w:color w:val="000000"/>
                      <w:kern w:val="0"/>
                      <w:szCs w:val="21"/>
                      <w:u w:val="single"/>
                    </w:rPr>
                    <w:t>313-001-S01</w:t>
                  </w:r>
                </w:p>
              </w:tc>
              <w:tc>
                <w:tcPr>
                  <w:tcW w:w="1140" w:type="dxa"/>
                  <w:vAlign w:val="center"/>
                </w:tcPr>
                <w:p>
                  <w:pPr>
                    <w:widowControl/>
                    <w:jc w:val="center"/>
                    <w:rPr>
                      <w:rFonts w:ascii="宋体" w:hAnsi="宋体" w:cs="宋体"/>
                      <w:i/>
                      <w:iCs/>
                      <w:szCs w:val="21"/>
                      <w:u w:val="single"/>
                    </w:rPr>
                  </w:pPr>
                  <w:r>
                    <w:rPr>
                      <w:rFonts w:hint="eastAsia" w:ascii="宋体" w:hAnsi="宋体" w:cs="宋体"/>
                      <w:i/>
                      <w:iCs/>
                      <w:szCs w:val="21"/>
                      <w:u w:val="single"/>
                    </w:rPr>
                    <w:t>固体</w:t>
                  </w:r>
                </w:p>
              </w:tc>
              <w:tc>
                <w:tcPr>
                  <w:tcW w:w="1059" w:type="dxa"/>
                  <w:vAlign w:val="center"/>
                </w:tcPr>
                <w:p>
                  <w:pPr>
                    <w:widowControl/>
                    <w:jc w:val="center"/>
                    <w:rPr>
                      <w:rFonts w:ascii="宋体" w:hAnsi="宋体" w:cs="宋体"/>
                      <w:i/>
                      <w:iCs/>
                      <w:szCs w:val="21"/>
                      <w:u w:val="single"/>
                    </w:rPr>
                  </w:pPr>
                  <w:r>
                    <w:rPr>
                      <w:rFonts w:hint="eastAsia" w:ascii="宋体" w:hAnsi="宋体" w:cs="宋体"/>
                      <w:i/>
                      <w:iCs/>
                      <w:szCs w:val="21"/>
                      <w:u w:val="single"/>
                    </w:rPr>
                    <w:t>79.9</w:t>
                  </w:r>
                </w:p>
              </w:tc>
              <w:tc>
                <w:tcPr>
                  <w:tcW w:w="1197" w:type="dxa"/>
                  <w:vAlign w:val="center"/>
                </w:tcPr>
                <w:p>
                  <w:pPr>
                    <w:widowControl/>
                    <w:jc w:val="center"/>
                    <w:rPr>
                      <w:rFonts w:ascii="宋体" w:hAnsi="宋体" w:cs="宋体"/>
                      <w:i/>
                      <w:iCs/>
                      <w:szCs w:val="21"/>
                      <w:u w:val="single"/>
                    </w:rPr>
                  </w:pPr>
                  <w:r>
                    <w:rPr>
                      <w:rFonts w:hint="eastAsia" w:ascii="宋体" w:hAnsi="宋体" w:cs="宋体"/>
                      <w:i/>
                      <w:iCs/>
                      <w:szCs w:val="21"/>
                      <w:u w:val="single"/>
                    </w:rPr>
                    <w:t>分类堆放</w:t>
                  </w:r>
                </w:p>
              </w:tc>
            </w:tr>
            <w:tr>
              <w:trPr>
                <w:trHeight w:val="491" w:hRule="atLeast"/>
              </w:trPr>
              <w:tc>
                <w:tcPr>
                  <w:tcW w:w="691" w:type="dxa"/>
                  <w:vAlign w:val="center"/>
                </w:tcPr>
                <w:p>
                  <w:pPr>
                    <w:widowControl/>
                    <w:jc w:val="center"/>
                    <w:rPr>
                      <w:rFonts w:ascii="宋体" w:hAnsi="宋体" w:cs="宋体"/>
                      <w:i/>
                      <w:iCs/>
                      <w:szCs w:val="21"/>
                      <w:u w:val="single"/>
                    </w:rPr>
                  </w:pPr>
                  <w:r>
                    <w:rPr>
                      <w:rFonts w:hint="eastAsia" w:ascii="宋体" w:hAnsi="宋体" w:cs="宋体"/>
                      <w:i/>
                      <w:iCs/>
                      <w:szCs w:val="21"/>
                      <w:u w:val="single"/>
                    </w:rPr>
                    <w:t>10</w:t>
                  </w:r>
                </w:p>
              </w:tc>
              <w:tc>
                <w:tcPr>
                  <w:tcW w:w="1681" w:type="dxa"/>
                  <w:vAlign w:val="center"/>
                </w:tcPr>
                <w:p>
                  <w:pPr>
                    <w:widowControl/>
                    <w:jc w:val="center"/>
                    <w:rPr>
                      <w:rFonts w:ascii="宋体" w:hAnsi="宋体" w:cs="宋体"/>
                      <w:i/>
                      <w:iCs/>
                      <w:kern w:val="0"/>
                      <w:szCs w:val="21"/>
                      <w:u w:val="single"/>
                    </w:rPr>
                  </w:pPr>
                  <w:r>
                    <w:rPr>
                      <w:rFonts w:hint="eastAsia" w:ascii="宋体" w:hAnsi="宋体" w:cs="宋体"/>
                      <w:i/>
                      <w:iCs/>
                      <w:kern w:val="0"/>
                      <w:szCs w:val="21"/>
                      <w:u w:val="single"/>
                    </w:rPr>
                    <w:t>布袋除尘器收集的粉尘</w:t>
                  </w:r>
                </w:p>
              </w:tc>
              <w:tc>
                <w:tcPr>
                  <w:tcW w:w="1124" w:type="dxa"/>
                  <w:vAlign w:val="center"/>
                </w:tcPr>
                <w:p>
                  <w:pPr>
                    <w:widowControl/>
                    <w:jc w:val="center"/>
                    <w:rPr>
                      <w:rFonts w:ascii="宋体" w:hAnsi="宋体" w:cs="宋体"/>
                      <w:i/>
                      <w:iCs/>
                      <w:szCs w:val="21"/>
                      <w:u w:val="single"/>
                    </w:rPr>
                  </w:pPr>
                  <w:r>
                    <w:rPr>
                      <w:rFonts w:hint="eastAsia" w:ascii="宋体" w:hAnsi="宋体" w:cs="宋体"/>
                      <w:i/>
                      <w:iCs/>
                      <w:szCs w:val="21"/>
                      <w:u w:val="single"/>
                    </w:rPr>
                    <w:t>废气治理</w:t>
                  </w:r>
                </w:p>
              </w:tc>
              <w:tc>
                <w:tcPr>
                  <w:tcW w:w="1485" w:type="dxa"/>
                  <w:vAlign w:val="center"/>
                </w:tcPr>
                <w:p>
                  <w:pPr>
                    <w:widowControl/>
                    <w:jc w:val="center"/>
                    <w:rPr>
                      <w:rFonts w:ascii="宋体" w:hAnsi="宋体" w:cs="宋体"/>
                      <w:i/>
                      <w:iCs/>
                      <w:szCs w:val="21"/>
                      <w:u w:val="single"/>
                    </w:rPr>
                  </w:pPr>
                  <w:r>
                    <w:rPr>
                      <w:rFonts w:hint="eastAsia" w:ascii="宋体" w:hAnsi="宋体" w:cs="宋体"/>
                      <w:i/>
                      <w:iCs/>
                      <w:szCs w:val="21"/>
                      <w:u w:val="single"/>
                    </w:rPr>
                    <w:t>900-099-S59</w:t>
                  </w:r>
                </w:p>
              </w:tc>
              <w:tc>
                <w:tcPr>
                  <w:tcW w:w="1140" w:type="dxa"/>
                  <w:vAlign w:val="center"/>
                </w:tcPr>
                <w:p>
                  <w:pPr>
                    <w:widowControl/>
                    <w:jc w:val="center"/>
                    <w:rPr>
                      <w:rFonts w:ascii="宋体" w:hAnsi="宋体" w:cs="宋体"/>
                      <w:i/>
                      <w:iCs/>
                      <w:szCs w:val="21"/>
                      <w:u w:val="single"/>
                    </w:rPr>
                  </w:pPr>
                  <w:r>
                    <w:rPr>
                      <w:rFonts w:hint="eastAsia" w:ascii="宋体" w:hAnsi="宋体" w:cs="宋体"/>
                      <w:i/>
                      <w:iCs/>
                      <w:szCs w:val="21"/>
                      <w:u w:val="single"/>
                    </w:rPr>
                    <w:t>固体</w:t>
                  </w:r>
                </w:p>
              </w:tc>
              <w:tc>
                <w:tcPr>
                  <w:tcW w:w="1059" w:type="dxa"/>
                  <w:vAlign w:val="center"/>
                </w:tcPr>
                <w:p>
                  <w:pPr>
                    <w:widowControl/>
                    <w:jc w:val="center"/>
                    <w:rPr>
                      <w:rFonts w:ascii="宋体" w:hAnsi="宋体" w:cs="宋体"/>
                      <w:i/>
                      <w:iCs/>
                      <w:szCs w:val="21"/>
                      <w:u w:val="single"/>
                    </w:rPr>
                  </w:pPr>
                  <w:r>
                    <w:rPr>
                      <w:rFonts w:hint="eastAsia" w:ascii="宋体" w:hAnsi="宋体" w:cs="宋体"/>
                      <w:i/>
                      <w:iCs/>
                      <w:szCs w:val="21"/>
                      <w:u w:val="single"/>
                    </w:rPr>
                    <w:t>0.02</w:t>
                  </w:r>
                </w:p>
              </w:tc>
              <w:tc>
                <w:tcPr>
                  <w:tcW w:w="1197" w:type="dxa"/>
                  <w:vAlign w:val="center"/>
                </w:tcPr>
                <w:p>
                  <w:pPr>
                    <w:widowControl/>
                    <w:jc w:val="center"/>
                    <w:rPr>
                      <w:rFonts w:ascii="宋体" w:hAnsi="宋体" w:cs="宋体"/>
                      <w:i/>
                      <w:iCs/>
                      <w:szCs w:val="21"/>
                      <w:u w:val="single"/>
                    </w:rPr>
                  </w:pPr>
                  <w:r>
                    <w:rPr>
                      <w:rFonts w:hint="eastAsia" w:ascii="宋体" w:hAnsi="宋体" w:cs="宋体"/>
                      <w:i/>
                      <w:iCs/>
                      <w:szCs w:val="21"/>
                      <w:u w:val="single"/>
                    </w:rPr>
                    <w:t>分类堆放</w:t>
                  </w:r>
                </w:p>
              </w:tc>
            </w:tr>
            <w:tr>
              <w:trPr>
                <w:trHeight w:val="458" w:hRule="atLeast"/>
              </w:trPr>
              <w:tc>
                <w:tcPr>
                  <w:tcW w:w="691" w:type="dxa"/>
                  <w:vAlign w:val="center"/>
                </w:tcPr>
                <w:p>
                  <w:pPr>
                    <w:widowControl/>
                    <w:jc w:val="center"/>
                    <w:rPr>
                      <w:rFonts w:ascii="宋体" w:hAnsi="宋体" w:cs="宋体"/>
                      <w:i/>
                      <w:iCs/>
                      <w:szCs w:val="21"/>
                      <w:u w:val="single"/>
                    </w:rPr>
                  </w:pPr>
                  <w:r>
                    <w:rPr>
                      <w:rFonts w:hint="eastAsia" w:ascii="宋体" w:hAnsi="宋体" w:cs="宋体"/>
                      <w:i/>
                      <w:iCs/>
                      <w:szCs w:val="21"/>
                      <w:u w:val="single"/>
                    </w:rPr>
                    <w:t>11</w:t>
                  </w:r>
                </w:p>
              </w:tc>
              <w:tc>
                <w:tcPr>
                  <w:tcW w:w="1681" w:type="dxa"/>
                  <w:vAlign w:val="center"/>
                </w:tcPr>
                <w:p>
                  <w:pPr>
                    <w:widowControl/>
                    <w:jc w:val="center"/>
                    <w:rPr>
                      <w:rFonts w:ascii="宋体" w:hAnsi="宋体" w:cs="宋体"/>
                      <w:i/>
                      <w:iCs/>
                      <w:kern w:val="0"/>
                      <w:szCs w:val="21"/>
                      <w:u w:val="single"/>
                    </w:rPr>
                  </w:pPr>
                  <w:r>
                    <w:rPr>
                      <w:rFonts w:hint="eastAsia" w:ascii="宋体" w:hAnsi="宋体" w:cs="宋体"/>
                      <w:i/>
                      <w:iCs/>
                      <w:szCs w:val="21"/>
                      <w:u w:val="single"/>
                    </w:rPr>
                    <w:t>生活垃圾</w:t>
                  </w:r>
                </w:p>
              </w:tc>
              <w:tc>
                <w:tcPr>
                  <w:tcW w:w="1124" w:type="dxa"/>
                  <w:vAlign w:val="center"/>
                </w:tcPr>
                <w:p>
                  <w:pPr>
                    <w:widowControl/>
                    <w:jc w:val="center"/>
                    <w:rPr>
                      <w:rFonts w:ascii="宋体" w:hAnsi="宋体" w:cs="宋体"/>
                      <w:i/>
                      <w:iCs/>
                      <w:szCs w:val="21"/>
                      <w:u w:val="single"/>
                    </w:rPr>
                  </w:pPr>
                  <w:r>
                    <w:rPr>
                      <w:rFonts w:hint="eastAsia" w:ascii="宋体" w:hAnsi="宋体" w:cs="宋体"/>
                      <w:i/>
                      <w:iCs/>
                      <w:szCs w:val="21"/>
                      <w:u w:val="single"/>
                    </w:rPr>
                    <w:t>职工生活</w:t>
                  </w:r>
                </w:p>
              </w:tc>
              <w:tc>
                <w:tcPr>
                  <w:tcW w:w="1485" w:type="dxa"/>
                  <w:vAlign w:val="center"/>
                </w:tcPr>
                <w:p>
                  <w:pPr>
                    <w:widowControl/>
                    <w:jc w:val="center"/>
                    <w:rPr>
                      <w:rFonts w:ascii="宋体" w:hAnsi="宋体" w:cs="宋体"/>
                      <w:i/>
                      <w:iCs/>
                      <w:color w:val="000000"/>
                      <w:kern w:val="0"/>
                      <w:szCs w:val="21"/>
                      <w:u w:val="single"/>
                    </w:rPr>
                  </w:pPr>
                  <w:r>
                    <w:rPr>
                      <w:rFonts w:hint="eastAsia" w:ascii="宋体" w:hAnsi="宋体" w:cs="宋体"/>
                      <w:i/>
                      <w:iCs/>
                      <w:color w:val="000000"/>
                      <w:kern w:val="0"/>
                      <w:szCs w:val="21"/>
                      <w:u w:val="single"/>
                    </w:rPr>
                    <w:t>900-099-S64</w:t>
                  </w:r>
                </w:p>
              </w:tc>
              <w:tc>
                <w:tcPr>
                  <w:tcW w:w="1140" w:type="dxa"/>
                  <w:vAlign w:val="center"/>
                </w:tcPr>
                <w:p>
                  <w:pPr>
                    <w:widowControl/>
                    <w:jc w:val="center"/>
                    <w:rPr>
                      <w:rFonts w:ascii="宋体" w:hAnsi="宋体" w:cs="宋体"/>
                      <w:i/>
                      <w:iCs/>
                      <w:szCs w:val="21"/>
                      <w:u w:val="single"/>
                    </w:rPr>
                  </w:pPr>
                  <w:r>
                    <w:rPr>
                      <w:rFonts w:hint="eastAsia" w:ascii="宋体" w:hAnsi="宋体" w:cs="宋体"/>
                      <w:i/>
                      <w:iCs/>
                      <w:szCs w:val="21"/>
                      <w:u w:val="single"/>
                    </w:rPr>
                    <w:t>固体</w:t>
                  </w:r>
                </w:p>
              </w:tc>
              <w:tc>
                <w:tcPr>
                  <w:tcW w:w="1059" w:type="dxa"/>
                  <w:vAlign w:val="center"/>
                </w:tcPr>
                <w:p>
                  <w:pPr>
                    <w:widowControl/>
                    <w:jc w:val="center"/>
                    <w:rPr>
                      <w:rFonts w:ascii="宋体" w:hAnsi="宋体" w:cs="宋体"/>
                      <w:i/>
                      <w:iCs/>
                      <w:szCs w:val="21"/>
                      <w:u w:val="single"/>
                    </w:rPr>
                  </w:pPr>
                  <w:r>
                    <w:rPr>
                      <w:rFonts w:hint="eastAsia" w:ascii="宋体" w:hAnsi="宋体" w:cs="宋体"/>
                      <w:i/>
                      <w:iCs/>
                      <w:szCs w:val="21"/>
                      <w:u w:val="single"/>
                    </w:rPr>
                    <w:t>0.54</w:t>
                  </w:r>
                </w:p>
              </w:tc>
              <w:tc>
                <w:tcPr>
                  <w:tcW w:w="1197" w:type="dxa"/>
                  <w:vAlign w:val="center"/>
                </w:tcPr>
                <w:p>
                  <w:pPr>
                    <w:widowControl/>
                    <w:jc w:val="center"/>
                    <w:rPr>
                      <w:rFonts w:ascii="宋体" w:hAnsi="宋体" w:cs="宋体"/>
                      <w:i/>
                      <w:iCs/>
                      <w:szCs w:val="21"/>
                      <w:u w:val="single"/>
                    </w:rPr>
                  </w:pPr>
                  <w:r>
                    <w:rPr>
                      <w:rFonts w:hint="eastAsia" w:ascii="宋体" w:hAnsi="宋体" w:cs="宋体"/>
                      <w:i/>
                      <w:iCs/>
                      <w:szCs w:val="21"/>
                      <w:u w:val="single"/>
                    </w:rPr>
                    <w:t>分类堆放</w:t>
                  </w:r>
                </w:p>
              </w:tc>
            </w:tr>
          </w:tbl>
          <w:p>
            <w:pPr>
              <w:widowControl/>
              <w:spacing w:line="360" w:lineRule="auto"/>
              <w:ind w:firstLine="480" w:firstLineChars="200"/>
              <w:jc w:val="left"/>
              <w:rPr>
                <w:rFonts w:ascii="宋体" w:hAnsi="宋体" w:cs="宋体"/>
                <w:i/>
                <w:iCs/>
                <w:kern w:val="0"/>
                <w:sz w:val="24"/>
                <w:u w:val="single"/>
              </w:rPr>
            </w:pPr>
            <w:r>
              <w:rPr>
                <w:rFonts w:ascii="宋体" w:hAnsi="宋体" w:cs="宋体"/>
                <w:i/>
                <w:iCs/>
                <w:kern w:val="0"/>
                <w:sz w:val="24"/>
                <w:u w:val="single"/>
              </w:rPr>
              <w:t>③</w:t>
            </w:r>
            <w:r>
              <w:rPr>
                <w:rFonts w:hint="eastAsia" w:ascii="宋体" w:hAnsi="宋体" w:cs="宋体"/>
                <w:i/>
                <w:iCs/>
                <w:kern w:val="0"/>
                <w:sz w:val="24"/>
                <w:u w:val="single"/>
              </w:rPr>
              <w:t xml:space="preserve">危险废物 </w:t>
            </w:r>
          </w:p>
          <w:p>
            <w:pPr>
              <w:spacing w:line="360" w:lineRule="auto"/>
              <w:ind w:firstLine="480" w:firstLineChars="200"/>
              <w:rPr>
                <w:i/>
                <w:iCs/>
                <w:u w:val="single"/>
              </w:rPr>
            </w:pPr>
            <w:r>
              <w:rPr>
                <w:rFonts w:hint="eastAsia" w:ascii="宋体" w:hAnsi="宋体" w:cs="宋体"/>
                <w:i/>
                <w:iCs/>
                <w:kern w:val="0"/>
                <w:sz w:val="24"/>
                <w:u w:val="single"/>
              </w:rPr>
              <w:t>拆解预处理时拆下的废铅酸蓄电池、拆解废油、废防冻液、废制动液、废油箱、废尾气净化装置、废机油滤清器、废含汞开关、电路板、电容器以及废手套、抹布、废活性炭、油泥等为危险废物。本项目活性炭吸附装置</w:t>
            </w:r>
            <w:r>
              <w:rPr>
                <w:i/>
                <w:iCs/>
                <w:sz w:val="24"/>
                <w:szCs w:val="28"/>
                <w:u w:val="single"/>
              </w:rPr>
              <w:t xml:space="preserve">单次装填活性炭 </w:t>
            </w:r>
            <w:r>
              <w:rPr>
                <w:rFonts w:hint="eastAsia"/>
                <w:i/>
                <w:iCs/>
                <w:sz w:val="24"/>
                <w:szCs w:val="28"/>
                <w:u w:val="single"/>
              </w:rPr>
              <w:t>25</w:t>
            </w:r>
            <w:r>
              <w:rPr>
                <w:i/>
                <w:iCs/>
                <w:sz w:val="24"/>
                <w:szCs w:val="28"/>
                <w:u w:val="single"/>
              </w:rPr>
              <w:t>kg</w:t>
            </w:r>
            <w:r>
              <w:rPr>
                <w:rFonts w:hint="eastAsia"/>
                <w:i/>
                <w:iCs/>
                <w:sz w:val="24"/>
                <w:szCs w:val="28"/>
                <w:u w:val="single"/>
              </w:rPr>
              <w:t>，活性炭更换周期不低于40d，</w:t>
            </w:r>
            <w:r>
              <w:rPr>
                <w:rFonts w:hint="eastAsia" w:ascii="宋体" w:hAnsi="宋体" w:cs="宋体"/>
                <w:i/>
                <w:iCs/>
                <w:kern w:val="0"/>
                <w:sz w:val="24"/>
                <w:u w:val="single"/>
              </w:rPr>
              <w:t>废活性炭年产生量为0.23t。以上危险废物分别暂存于厂区的危废贮存库内，定期交由有危险废物资质的单位处置。危险废物定期转运，转运周期不超过一年，危险废物产生情况汇总表见表4-14。</w:t>
            </w:r>
          </w:p>
          <w:p>
            <w:pPr>
              <w:ind w:firstLine="2891" w:firstLineChars="1200"/>
              <w:rPr>
                <w:rFonts w:ascii="宋体" w:hAnsi="宋体" w:cs="宋体"/>
                <w:b/>
                <w:i/>
                <w:iCs/>
                <w:sz w:val="24"/>
                <w:u w:val="single"/>
              </w:rPr>
            </w:pPr>
            <w:r>
              <w:rPr>
                <w:rFonts w:hint="eastAsia" w:ascii="宋体" w:hAnsi="宋体" w:cs="宋体"/>
                <w:b/>
                <w:i/>
                <w:iCs/>
                <w:sz w:val="24"/>
                <w:u w:val="single"/>
              </w:rPr>
              <w:t>表4-14   危险废物汇总表</w:t>
            </w:r>
          </w:p>
          <w:tbl>
            <w:tblPr>
              <w:tblW w:w="8146" w:type="dxa"/>
              <w:tblBorders>
                <w:top w:val="single" w:color="auto" w:sz="12" w:space="0"/>
                <w:left w:val="none" w:color="auto" w:sz="0" w:space="0"/>
                <w:bottom w:val="single" w:color="auto" w:sz="12" w:space="0"/>
                <w:right w:val="none" w:color="auto" w:sz="0" w:space="0"/>
                <w:insideH w:val="single" w:color="auto" w:sz="8" w:space="0"/>
                <w:insideV w:val="single" w:color="auto" w:sz="8" w:space="0"/>
              </w:tblBorders>
              <w:tblLayout w:type="fixed"/>
              <w:tblCellMar>
                <w:left w:w="28" w:type="dxa"/>
                <w:right w:w="28" w:type="dxa"/>
              </w:tblCellMar>
            </w:tblPr>
            <w:tblGrid>
              <w:gridCol w:w="1749"/>
              <w:gridCol w:w="767"/>
              <w:gridCol w:w="1065"/>
              <w:gridCol w:w="696"/>
              <w:gridCol w:w="1099"/>
              <w:gridCol w:w="1249"/>
              <w:gridCol w:w="376"/>
              <w:gridCol w:w="1145"/>
            </w:tblGrid>
            <w:tr>
              <w:trPr>
                <w:trHeight w:val="542" w:hRule="atLeast"/>
              </w:trPr>
              <w:tc>
                <w:tcPr>
                  <w:tcW w:w="1749" w:type="dxa"/>
                  <w:vAlign w:val="center"/>
                </w:tcPr>
                <w:p>
                  <w:pPr>
                    <w:widowControl/>
                    <w:jc w:val="center"/>
                    <w:rPr>
                      <w:i/>
                      <w:iCs/>
                      <w:szCs w:val="21"/>
                      <w:u w:val="single"/>
                    </w:rPr>
                  </w:pPr>
                  <w:r>
                    <w:rPr>
                      <w:rFonts w:hint="eastAsia" w:ascii="宋体" w:hAnsi="宋体" w:cs="宋体"/>
                      <w:i/>
                      <w:iCs/>
                      <w:kern w:val="0"/>
                      <w:szCs w:val="21"/>
                      <w:u w:val="single"/>
                    </w:rPr>
                    <w:t>危险废物名称</w:t>
                  </w:r>
                </w:p>
              </w:tc>
              <w:tc>
                <w:tcPr>
                  <w:tcW w:w="767" w:type="dxa"/>
                  <w:vAlign w:val="center"/>
                </w:tcPr>
                <w:p>
                  <w:pPr>
                    <w:widowControl/>
                    <w:jc w:val="center"/>
                    <w:rPr>
                      <w:i/>
                      <w:iCs/>
                      <w:szCs w:val="21"/>
                      <w:u w:val="single"/>
                    </w:rPr>
                  </w:pPr>
                  <w:r>
                    <w:rPr>
                      <w:rFonts w:hint="eastAsia" w:ascii="宋体" w:hAnsi="宋体" w:cs="宋体"/>
                      <w:i/>
                      <w:iCs/>
                      <w:kern w:val="0"/>
                      <w:szCs w:val="21"/>
                      <w:u w:val="single"/>
                    </w:rPr>
                    <w:t>危险废物类别</w:t>
                  </w:r>
                </w:p>
              </w:tc>
              <w:tc>
                <w:tcPr>
                  <w:tcW w:w="1065" w:type="dxa"/>
                  <w:vAlign w:val="center"/>
                </w:tcPr>
                <w:p>
                  <w:pPr>
                    <w:widowControl/>
                    <w:jc w:val="center"/>
                    <w:rPr>
                      <w:rFonts w:ascii="宋体" w:hAnsi="宋体" w:cs="宋体"/>
                      <w:i/>
                      <w:iCs/>
                      <w:kern w:val="0"/>
                      <w:szCs w:val="21"/>
                      <w:u w:val="single"/>
                    </w:rPr>
                  </w:pPr>
                  <w:r>
                    <w:rPr>
                      <w:rFonts w:hint="eastAsia" w:ascii="宋体" w:hAnsi="宋体" w:cs="宋体"/>
                      <w:i/>
                      <w:iCs/>
                      <w:kern w:val="0"/>
                      <w:szCs w:val="21"/>
                      <w:u w:val="single"/>
                    </w:rPr>
                    <w:t>危险废物</w:t>
                  </w:r>
                </w:p>
                <w:p>
                  <w:pPr>
                    <w:widowControl/>
                    <w:jc w:val="center"/>
                    <w:rPr>
                      <w:i/>
                      <w:iCs/>
                      <w:szCs w:val="21"/>
                      <w:u w:val="single"/>
                    </w:rPr>
                  </w:pPr>
                  <w:r>
                    <w:rPr>
                      <w:rFonts w:hint="eastAsia" w:ascii="宋体" w:hAnsi="宋体" w:cs="宋体"/>
                      <w:i/>
                      <w:iCs/>
                      <w:kern w:val="0"/>
                      <w:szCs w:val="21"/>
                      <w:u w:val="single"/>
                    </w:rPr>
                    <w:t>代码</w:t>
                  </w:r>
                </w:p>
              </w:tc>
              <w:tc>
                <w:tcPr>
                  <w:tcW w:w="696" w:type="dxa"/>
                  <w:vAlign w:val="center"/>
                </w:tcPr>
                <w:p>
                  <w:pPr>
                    <w:pStyle w:val="13"/>
                    <w:jc w:val="center"/>
                    <w:rPr>
                      <w:i/>
                      <w:iCs/>
                      <w:sz w:val="21"/>
                      <w:szCs w:val="21"/>
                      <w:u w:val="single"/>
                    </w:rPr>
                  </w:pPr>
                  <w:r>
                    <w:rPr>
                      <w:rFonts w:hint="eastAsia"/>
                      <w:i/>
                      <w:iCs/>
                      <w:sz w:val="21"/>
                      <w:szCs w:val="21"/>
                      <w:u w:val="single"/>
                    </w:rPr>
                    <w:t>产生量t/a</w:t>
                  </w:r>
                </w:p>
              </w:tc>
              <w:tc>
                <w:tcPr>
                  <w:tcW w:w="1099" w:type="dxa"/>
                  <w:vAlign w:val="center"/>
                </w:tcPr>
                <w:p>
                  <w:pPr>
                    <w:pStyle w:val="13"/>
                    <w:jc w:val="center"/>
                    <w:rPr>
                      <w:i/>
                      <w:iCs/>
                      <w:sz w:val="21"/>
                      <w:szCs w:val="21"/>
                      <w:u w:val="single"/>
                    </w:rPr>
                  </w:pPr>
                  <w:r>
                    <w:rPr>
                      <w:rFonts w:hint="eastAsia"/>
                      <w:i/>
                      <w:iCs/>
                      <w:sz w:val="21"/>
                      <w:szCs w:val="21"/>
                      <w:u w:val="single"/>
                    </w:rPr>
                    <w:t>最大暂存量t/a</w:t>
                  </w:r>
                </w:p>
              </w:tc>
              <w:tc>
                <w:tcPr>
                  <w:tcW w:w="1249" w:type="dxa"/>
                  <w:vAlign w:val="center"/>
                </w:tcPr>
                <w:p>
                  <w:pPr>
                    <w:pStyle w:val="13"/>
                    <w:jc w:val="center"/>
                    <w:rPr>
                      <w:i/>
                      <w:iCs/>
                      <w:sz w:val="21"/>
                      <w:szCs w:val="21"/>
                      <w:u w:val="single"/>
                    </w:rPr>
                  </w:pPr>
                  <w:r>
                    <w:rPr>
                      <w:rFonts w:hint="eastAsia"/>
                      <w:i/>
                      <w:iCs/>
                      <w:sz w:val="21"/>
                      <w:szCs w:val="21"/>
                      <w:u w:val="single"/>
                    </w:rPr>
                    <w:t>产生工序及装置</w:t>
                  </w:r>
                </w:p>
              </w:tc>
              <w:tc>
                <w:tcPr>
                  <w:tcW w:w="376" w:type="dxa"/>
                  <w:vAlign w:val="center"/>
                </w:tcPr>
                <w:p>
                  <w:pPr>
                    <w:pStyle w:val="13"/>
                    <w:jc w:val="center"/>
                    <w:rPr>
                      <w:i/>
                      <w:iCs/>
                      <w:sz w:val="21"/>
                      <w:szCs w:val="21"/>
                      <w:u w:val="single"/>
                    </w:rPr>
                  </w:pPr>
                  <w:r>
                    <w:rPr>
                      <w:rFonts w:hint="eastAsia"/>
                      <w:i/>
                      <w:iCs/>
                      <w:sz w:val="21"/>
                      <w:szCs w:val="21"/>
                      <w:u w:val="single"/>
                    </w:rPr>
                    <w:t>形态</w:t>
                  </w:r>
                </w:p>
              </w:tc>
              <w:tc>
                <w:tcPr>
                  <w:tcW w:w="1145" w:type="dxa"/>
                  <w:vAlign w:val="center"/>
                </w:tcPr>
                <w:p>
                  <w:pPr>
                    <w:pStyle w:val="13"/>
                    <w:jc w:val="center"/>
                    <w:rPr>
                      <w:i/>
                      <w:iCs/>
                      <w:sz w:val="21"/>
                      <w:szCs w:val="21"/>
                      <w:u w:val="single"/>
                    </w:rPr>
                  </w:pPr>
                  <w:r>
                    <w:rPr>
                      <w:rFonts w:hint="eastAsia"/>
                      <w:i/>
                      <w:iCs/>
                      <w:sz w:val="21"/>
                      <w:szCs w:val="21"/>
                      <w:u w:val="single"/>
                    </w:rPr>
                    <w:t>污染防治</w:t>
                  </w:r>
                </w:p>
                <w:p>
                  <w:pPr>
                    <w:pStyle w:val="13"/>
                    <w:jc w:val="center"/>
                    <w:rPr>
                      <w:i/>
                      <w:iCs/>
                      <w:sz w:val="21"/>
                      <w:szCs w:val="21"/>
                      <w:u w:val="single"/>
                    </w:rPr>
                  </w:pPr>
                  <w:r>
                    <w:rPr>
                      <w:rFonts w:hint="eastAsia"/>
                      <w:i/>
                      <w:iCs/>
                      <w:sz w:val="21"/>
                      <w:szCs w:val="21"/>
                      <w:u w:val="single"/>
                    </w:rPr>
                    <w:t>措施</w:t>
                  </w:r>
                </w:p>
              </w:tc>
            </w:tr>
            <w:tr>
              <w:trPr>
                <w:trHeight w:val="87" w:hRule="atLeast"/>
              </w:trPr>
              <w:tc>
                <w:tcPr>
                  <w:tcW w:w="1749" w:type="dxa"/>
                  <w:vAlign w:val="center"/>
                </w:tcPr>
                <w:p>
                  <w:pPr>
                    <w:widowControl/>
                    <w:jc w:val="center"/>
                    <w:rPr>
                      <w:i/>
                      <w:iCs/>
                      <w:szCs w:val="21"/>
                      <w:u w:val="single"/>
                    </w:rPr>
                  </w:pPr>
                  <w:r>
                    <w:rPr>
                      <w:rFonts w:hint="eastAsia" w:ascii="宋体" w:hAnsi="宋体" w:cs="宋体"/>
                      <w:i/>
                      <w:iCs/>
                      <w:kern w:val="0"/>
                      <w:szCs w:val="21"/>
                      <w:u w:val="single"/>
                    </w:rPr>
                    <w:t>废铅酸蓄电池</w:t>
                  </w:r>
                </w:p>
              </w:tc>
              <w:tc>
                <w:tcPr>
                  <w:tcW w:w="767" w:type="dxa"/>
                  <w:vAlign w:val="center"/>
                </w:tcPr>
                <w:p>
                  <w:pPr>
                    <w:pStyle w:val="41"/>
                    <w:adjustRightInd/>
                    <w:snapToGrid/>
                    <w:spacing w:line="240" w:lineRule="auto"/>
                    <w:ind w:left="0" w:right="0"/>
                    <w:rPr>
                      <w:i/>
                      <w:iCs/>
                      <w:sz w:val="21"/>
                      <w:u w:val="single"/>
                    </w:rPr>
                  </w:pPr>
                  <w:r>
                    <w:rPr>
                      <w:rFonts w:hint="eastAsia" w:ascii="Times New Roman" w:hAnsi="Times New Roman"/>
                      <w:i/>
                      <w:iCs/>
                      <w:sz w:val="21"/>
                      <w:u w:val="single"/>
                    </w:rPr>
                    <w:t>HW31</w:t>
                  </w:r>
                </w:p>
              </w:tc>
              <w:tc>
                <w:tcPr>
                  <w:tcW w:w="1065" w:type="dxa"/>
                  <w:vAlign w:val="center"/>
                </w:tcPr>
                <w:p>
                  <w:pPr>
                    <w:pStyle w:val="41"/>
                    <w:adjustRightInd/>
                    <w:snapToGrid/>
                    <w:spacing w:line="240" w:lineRule="auto"/>
                    <w:ind w:left="0" w:right="0"/>
                    <w:rPr>
                      <w:i/>
                      <w:iCs/>
                      <w:sz w:val="21"/>
                      <w:u w:val="single"/>
                    </w:rPr>
                  </w:pPr>
                  <w:r>
                    <w:rPr>
                      <w:rFonts w:hint="eastAsia" w:ascii="Times New Roman" w:hAnsi="Times New Roman"/>
                      <w:i/>
                      <w:iCs/>
                      <w:sz w:val="21"/>
                      <w:u w:val="single"/>
                    </w:rPr>
                    <w:t>900-052-31</w:t>
                  </w:r>
                </w:p>
              </w:tc>
              <w:tc>
                <w:tcPr>
                  <w:tcW w:w="696" w:type="dxa"/>
                  <w:vAlign w:val="center"/>
                </w:tcPr>
                <w:p>
                  <w:pPr>
                    <w:pStyle w:val="13"/>
                    <w:jc w:val="center"/>
                    <w:rPr>
                      <w:i/>
                      <w:iCs/>
                      <w:sz w:val="21"/>
                      <w:szCs w:val="21"/>
                      <w:u w:val="single"/>
                    </w:rPr>
                  </w:pPr>
                  <w:r>
                    <w:rPr>
                      <w:rFonts w:hint="eastAsia"/>
                      <w:i/>
                      <w:iCs/>
                      <w:sz w:val="21"/>
                      <w:szCs w:val="21"/>
                      <w:u w:val="single"/>
                    </w:rPr>
                    <w:t>1.5</w:t>
                  </w:r>
                </w:p>
              </w:tc>
              <w:tc>
                <w:tcPr>
                  <w:tcW w:w="1099" w:type="dxa"/>
                  <w:vAlign w:val="center"/>
                </w:tcPr>
                <w:p>
                  <w:pPr>
                    <w:pStyle w:val="13"/>
                    <w:jc w:val="center"/>
                    <w:rPr>
                      <w:rFonts w:ascii="宋体" w:hAnsi="宋体" w:cs="宋体"/>
                      <w:i/>
                      <w:iCs/>
                      <w:szCs w:val="21"/>
                      <w:u w:val="single"/>
                    </w:rPr>
                  </w:pPr>
                  <w:r>
                    <w:rPr>
                      <w:rFonts w:hint="eastAsia"/>
                      <w:i/>
                      <w:iCs/>
                      <w:sz w:val="21"/>
                      <w:szCs w:val="21"/>
                      <w:u w:val="single"/>
                    </w:rPr>
                    <w:t>1.5</w:t>
                  </w:r>
                </w:p>
              </w:tc>
              <w:tc>
                <w:tcPr>
                  <w:tcW w:w="1249" w:type="dxa"/>
                  <w:vAlign w:val="center"/>
                </w:tcPr>
                <w:p>
                  <w:pPr>
                    <w:widowControl/>
                    <w:jc w:val="center"/>
                    <w:rPr>
                      <w:i/>
                      <w:iCs/>
                      <w:szCs w:val="21"/>
                      <w:u w:val="single"/>
                    </w:rPr>
                  </w:pPr>
                  <w:r>
                    <w:rPr>
                      <w:rFonts w:hint="eastAsia" w:ascii="宋体" w:hAnsi="宋体" w:cs="宋体"/>
                      <w:i/>
                      <w:iCs/>
                      <w:kern w:val="0"/>
                      <w:szCs w:val="21"/>
                      <w:u w:val="single"/>
                    </w:rPr>
                    <w:t>预拆解过程</w:t>
                  </w:r>
                </w:p>
              </w:tc>
              <w:tc>
                <w:tcPr>
                  <w:tcW w:w="376" w:type="dxa"/>
                  <w:vAlign w:val="center"/>
                </w:tcPr>
                <w:p>
                  <w:pPr>
                    <w:pStyle w:val="13"/>
                    <w:jc w:val="center"/>
                    <w:rPr>
                      <w:i/>
                      <w:iCs/>
                      <w:sz w:val="21"/>
                      <w:szCs w:val="21"/>
                      <w:u w:val="single"/>
                    </w:rPr>
                  </w:pPr>
                  <w:r>
                    <w:rPr>
                      <w:rFonts w:hint="eastAsia"/>
                      <w:i/>
                      <w:iCs/>
                      <w:sz w:val="21"/>
                      <w:szCs w:val="21"/>
                      <w:u w:val="single"/>
                    </w:rPr>
                    <w:t>固</w:t>
                  </w:r>
                </w:p>
              </w:tc>
              <w:tc>
                <w:tcPr>
                  <w:tcW w:w="1145" w:type="dxa"/>
                  <w:vMerge w:val="restart"/>
                  <w:vAlign w:val="center"/>
                </w:tcPr>
                <w:p>
                  <w:pPr>
                    <w:pStyle w:val="13"/>
                    <w:jc w:val="center"/>
                    <w:rPr>
                      <w:i/>
                      <w:iCs/>
                      <w:sz w:val="21"/>
                      <w:szCs w:val="21"/>
                      <w:u w:val="single"/>
                    </w:rPr>
                  </w:pPr>
                  <w:r>
                    <w:rPr>
                      <w:rFonts w:hint="eastAsia"/>
                      <w:i/>
                      <w:iCs/>
                      <w:sz w:val="21"/>
                      <w:szCs w:val="21"/>
                      <w:u w:val="single"/>
                    </w:rPr>
                    <w:t>设置危险废物贮存库进行分类收集、分类存放，并委托相关资质单位进行处理</w:t>
                  </w:r>
                </w:p>
              </w:tc>
            </w:tr>
            <w:tr>
              <w:trPr>
                <w:trHeight w:val="87" w:hRule="atLeast"/>
              </w:trPr>
              <w:tc>
                <w:tcPr>
                  <w:tcW w:w="1749" w:type="dxa"/>
                  <w:vAlign w:val="center"/>
                </w:tcPr>
                <w:p>
                  <w:pPr>
                    <w:widowControl/>
                    <w:jc w:val="center"/>
                    <w:rPr>
                      <w:rFonts w:ascii="宋体" w:hAnsi="宋体" w:cs="宋体"/>
                      <w:i/>
                      <w:iCs/>
                      <w:kern w:val="0"/>
                      <w:szCs w:val="21"/>
                      <w:u w:val="single"/>
                    </w:rPr>
                  </w:pPr>
                  <w:r>
                    <w:rPr>
                      <w:rFonts w:hint="eastAsia" w:ascii="宋体" w:hAnsi="宋体" w:cs="宋体"/>
                      <w:i/>
                      <w:iCs/>
                      <w:kern w:val="0"/>
                      <w:szCs w:val="21"/>
                      <w:u w:val="single"/>
                    </w:rPr>
                    <w:t>废防冻液</w:t>
                  </w:r>
                </w:p>
              </w:tc>
              <w:tc>
                <w:tcPr>
                  <w:tcW w:w="767" w:type="dxa"/>
                  <w:vAlign w:val="center"/>
                </w:tcPr>
                <w:p>
                  <w:pPr>
                    <w:pStyle w:val="41"/>
                    <w:adjustRightInd/>
                    <w:snapToGrid/>
                    <w:spacing w:line="240" w:lineRule="auto"/>
                    <w:ind w:left="0" w:right="0"/>
                    <w:rPr>
                      <w:rFonts w:ascii="Times New Roman" w:hAnsi="Times New Roman"/>
                      <w:i/>
                      <w:iCs/>
                      <w:sz w:val="21"/>
                      <w:u w:val="single"/>
                    </w:rPr>
                  </w:pPr>
                  <w:r>
                    <w:rPr>
                      <w:rFonts w:hint="eastAsia" w:ascii="Times New Roman" w:hAnsi="Times New Roman"/>
                      <w:i/>
                      <w:iCs/>
                      <w:sz w:val="21"/>
                      <w:u w:val="single"/>
                    </w:rPr>
                    <w:t>HW06</w:t>
                  </w:r>
                </w:p>
              </w:tc>
              <w:tc>
                <w:tcPr>
                  <w:tcW w:w="1065" w:type="dxa"/>
                  <w:vAlign w:val="center"/>
                </w:tcPr>
                <w:p>
                  <w:pPr>
                    <w:pStyle w:val="41"/>
                    <w:adjustRightInd/>
                    <w:snapToGrid/>
                    <w:spacing w:line="240" w:lineRule="auto"/>
                    <w:ind w:left="0" w:right="0"/>
                    <w:rPr>
                      <w:rFonts w:ascii="Times New Roman" w:hAnsi="Times New Roman"/>
                      <w:i/>
                      <w:iCs/>
                      <w:sz w:val="21"/>
                      <w:u w:val="single"/>
                    </w:rPr>
                  </w:pPr>
                  <w:r>
                    <w:rPr>
                      <w:rFonts w:hint="eastAsia" w:ascii="Times New Roman" w:hAnsi="Times New Roman"/>
                      <w:i/>
                      <w:iCs/>
                      <w:sz w:val="21"/>
                      <w:u w:val="single"/>
                    </w:rPr>
                    <w:t>900-404-06</w:t>
                  </w:r>
                </w:p>
              </w:tc>
              <w:tc>
                <w:tcPr>
                  <w:tcW w:w="696" w:type="dxa"/>
                  <w:vAlign w:val="center"/>
                </w:tcPr>
                <w:p>
                  <w:pPr>
                    <w:pStyle w:val="13"/>
                    <w:jc w:val="center"/>
                    <w:rPr>
                      <w:i/>
                      <w:iCs/>
                      <w:sz w:val="21"/>
                      <w:szCs w:val="21"/>
                      <w:u w:val="single"/>
                    </w:rPr>
                  </w:pPr>
                  <w:r>
                    <w:rPr>
                      <w:rFonts w:hint="eastAsia"/>
                      <w:i/>
                      <w:iCs/>
                      <w:sz w:val="21"/>
                      <w:szCs w:val="21"/>
                      <w:u w:val="single"/>
                    </w:rPr>
                    <w:t>0.3</w:t>
                  </w:r>
                </w:p>
              </w:tc>
              <w:tc>
                <w:tcPr>
                  <w:tcW w:w="1099" w:type="dxa"/>
                  <w:vAlign w:val="center"/>
                </w:tcPr>
                <w:p>
                  <w:pPr>
                    <w:pStyle w:val="13"/>
                    <w:jc w:val="center"/>
                    <w:rPr>
                      <w:rFonts w:ascii="宋体" w:hAnsi="宋体" w:cs="宋体"/>
                      <w:i/>
                      <w:iCs/>
                      <w:szCs w:val="21"/>
                      <w:u w:val="single"/>
                    </w:rPr>
                  </w:pPr>
                  <w:r>
                    <w:rPr>
                      <w:rFonts w:hint="eastAsia"/>
                      <w:i/>
                      <w:iCs/>
                      <w:sz w:val="21"/>
                      <w:szCs w:val="21"/>
                      <w:u w:val="single"/>
                    </w:rPr>
                    <w:t>0.3</w:t>
                  </w:r>
                </w:p>
              </w:tc>
              <w:tc>
                <w:tcPr>
                  <w:tcW w:w="1249" w:type="dxa"/>
                  <w:vAlign w:val="center"/>
                </w:tcPr>
                <w:p>
                  <w:pPr>
                    <w:widowControl/>
                    <w:jc w:val="center"/>
                    <w:rPr>
                      <w:rFonts w:ascii="宋体" w:hAnsi="宋体" w:cs="宋体"/>
                      <w:i/>
                      <w:iCs/>
                      <w:kern w:val="0"/>
                      <w:szCs w:val="21"/>
                      <w:u w:val="single"/>
                    </w:rPr>
                  </w:pPr>
                  <w:r>
                    <w:rPr>
                      <w:rFonts w:hint="eastAsia" w:ascii="宋体" w:hAnsi="宋体" w:cs="宋体"/>
                      <w:i/>
                      <w:iCs/>
                      <w:kern w:val="0"/>
                      <w:szCs w:val="21"/>
                      <w:u w:val="single"/>
                    </w:rPr>
                    <w:t>预拆解过程</w:t>
                  </w:r>
                </w:p>
              </w:tc>
              <w:tc>
                <w:tcPr>
                  <w:tcW w:w="376" w:type="dxa"/>
                  <w:vAlign w:val="center"/>
                </w:tcPr>
                <w:p>
                  <w:pPr>
                    <w:pStyle w:val="13"/>
                    <w:jc w:val="center"/>
                    <w:rPr>
                      <w:i/>
                      <w:iCs/>
                      <w:sz w:val="21"/>
                      <w:szCs w:val="21"/>
                      <w:u w:val="single"/>
                    </w:rPr>
                  </w:pPr>
                  <w:r>
                    <w:rPr>
                      <w:rFonts w:hint="eastAsia"/>
                      <w:i/>
                      <w:iCs/>
                      <w:sz w:val="21"/>
                      <w:szCs w:val="21"/>
                      <w:u w:val="single"/>
                    </w:rPr>
                    <w:t>液</w:t>
                  </w:r>
                </w:p>
              </w:tc>
              <w:tc>
                <w:tcPr>
                  <w:tcW w:w="1145" w:type="dxa"/>
                  <w:vMerge w:val="continue"/>
                  <w:vAlign w:val="center"/>
                </w:tcPr>
                <w:p>
                  <w:pPr>
                    <w:pStyle w:val="13"/>
                    <w:jc w:val="center"/>
                    <w:rPr>
                      <w:i/>
                      <w:iCs/>
                      <w:sz w:val="21"/>
                      <w:szCs w:val="21"/>
                      <w:u w:val="single"/>
                    </w:rPr>
                  </w:pPr>
                </w:p>
              </w:tc>
            </w:tr>
            <w:tr>
              <w:trPr>
                <w:trHeight w:val="87" w:hRule="atLeast"/>
              </w:trPr>
              <w:tc>
                <w:tcPr>
                  <w:tcW w:w="1749" w:type="dxa"/>
                  <w:vAlign w:val="center"/>
                </w:tcPr>
                <w:p>
                  <w:pPr>
                    <w:widowControl/>
                    <w:jc w:val="center"/>
                    <w:rPr>
                      <w:rFonts w:ascii="宋体" w:hAnsi="宋体" w:cs="宋体"/>
                      <w:i/>
                      <w:iCs/>
                      <w:kern w:val="0"/>
                      <w:szCs w:val="21"/>
                      <w:u w:val="single"/>
                    </w:rPr>
                  </w:pPr>
                  <w:r>
                    <w:rPr>
                      <w:rFonts w:hint="eastAsia" w:ascii="宋体" w:hAnsi="宋体" w:cs="宋体"/>
                      <w:i/>
                      <w:iCs/>
                      <w:kern w:val="0"/>
                      <w:szCs w:val="21"/>
                      <w:u w:val="single"/>
                    </w:rPr>
                    <w:t>废机油</w:t>
                  </w:r>
                </w:p>
              </w:tc>
              <w:tc>
                <w:tcPr>
                  <w:tcW w:w="767" w:type="dxa"/>
                  <w:vAlign w:val="center"/>
                </w:tcPr>
                <w:p>
                  <w:pPr>
                    <w:widowControl/>
                    <w:jc w:val="center"/>
                    <w:rPr>
                      <w:i/>
                      <w:iCs/>
                      <w:szCs w:val="21"/>
                      <w:u w:val="single"/>
                    </w:rPr>
                  </w:pPr>
                  <w:r>
                    <w:rPr>
                      <w:i/>
                      <w:iCs/>
                      <w:kern w:val="0"/>
                      <w:szCs w:val="21"/>
                      <w:u w:val="single"/>
                    </w:rPr>
                    <w:t>HW08</w:t>
                  </w:r>
                </w:p>
              </w:tc>
              <w:tc>
                <w:tcPr>
                  <w:tcW w:w="1065" w:type="dxa"/>
                  <w:vAlign w:val="center"/>
                </w:tcPr>
                <w:p>
                  <w:pPr>
                    <w:widowControl/>
                    <w:jc w:val="center"/>
                    <w:rPr>
                      <w:i/>
                      <w:iCs/>
                      <w:szCs w:val="21"/>
                      <w:u w:val="single"/>
                    </w:rPr>
                  </w:pPr>
                  <w:r>
                    <w:rPr>
                      <w:i/>
                      <w:iCs/>
                      <w:kern w:val="0"/>
                      <w:szCs w:val="21"/>
                      <w:u w:val="single"/>
                    </w:rPr>
                    <w:t>900-199-08</w:t>
                  </w:r>
                </w:p>
              </w:tc>
              <w:tc>
                <w:tcPr>
                  <w:tcW w:w="696" w:type="dxa"/>
                  <w:vAlign w:val="center"/>
                </w:tcPr>
                <w:p>
                  <w:pPr>
                    <w:pStyle w:val="13"/>
                    <w:jc w:val="center"/>
                    <w:rPr>
                      <w:i/>
                      <w:iCs/>
                      <w:sz w:val="21"/>
                      <w:szCs w:val="21"/>
                      <w:u w:val="single"/>
                    </w:rPr>
                  </w:pPr>
                  <w:r>
                    <w:rPr>
                      <w:rFonts w:hint="eastAsia"/>
                      <w:i/>
                      <w:iCs/>
                      <w:sz w:val="21"/>
                      <w:szCs w:val="21"/>
                      <w:u w:val="single"/>
                    </w:rPr>
                    <w:t>3.3</w:t>
                  </w:r>
                </w:p>
              </w:tc>
              <w:tc>
                <w:tcPr>
                  <w:tcW w:w="1099" w:type="dxa"/>
                  <w:vAlign w:val="center"/>
                </w:tcPr>
                <w:p>
                  <w:pPr>
                    <w:pStyle w:val="13"/>
                    <w:jc w:val="center"/>
                    <w:rPr>
                      <w:rFonts w:ascii="宋体" w:hAnsi="宋体" w:cs="宋体"/>
                      <w:i/>
                      <w:iCs/>
                      <w:szCs w:val="21"/>
                      <w:u w:val="single"/>
                    </w:rPr>
                  </w:pPr>
                  <w:r>
                    <w:rPr>
                      <w:rFonts w:hint="eastAsia"/>
                      <w:i/>
                      <w:iCs/>
                      <w:sz w:val="21"/>
                      <w:szCs w:val="21"/>
                      <w:u w:val="single"/>
                    </w:rPr>
                    <w:t>3.3</w:t>
                  </w:r>
                </w:p>
              </w:tc>
              <w:tc>
                <w:tcPr>
                  <w:tcW w:w="1249" w:type="dxa"/>
                  <w:vAlign w:val="center"/>
                </w:tcPr>
                <w:p>
                  <w:pPr>
                    <w:widowControl/>
                    <w:jc w:val="center"/>
                    <w:rPr>
                      <w:rFonts w:ascii="宋体" w:hAnsi="宋体" w:cs="宋体"/>
                      <w:i/>
                      <w:iCs/>
                      <w:kern w:val="0"/>
                      <w:szCs w:val="21"/>
                      <w:u w:val="single"/>
                    </w:rPr>
                  </w:pPr>
                  <w:r>
                    <w:rPr>
                      <w:rFonts w:hint="eastAsia" w:ascii="宋体" w:hAnsi="宋体" w:cs="宋体"/>
                      <w:i/>
                      <w:iCs/>
                      <w:kern w:val="0"/>
                      <w:szCs w:val="21"/>
                      <w:u w:val="single"/>
                    </w:rPr>
                    <w:t>预拆解过程</w:t>
                  </w:r>
                </w:p>
              </w:tc>
              <w:tc>
                <w:tcPr>
                  <w:tcW w:w="376" w:type="dxa"/>
                  <w:vAlign w:val="center"/>
                </w:tcPr>
                <w:p>
                  <w:pPr>
                    <w:pStyle w:val="13"/>
                    <w:jc w:val="center"/>
                    <w:rPr>
                      <w:i/>
                      <w:iCs/>
                      <w:sz w:val="21"/>
                      <w:szCs w:val="21"/>
                      <w:u w:val="single"/>
                    </w:rPr>
                  </w:pPr>
                  <w:r>
                    <w:rPr>
                      <w:rFonts w:hint="eastAsia"/>
                      <w:i/>
                      <w:iCs/>
                      <w:sz w:val="21"/>
                      <w:szCs w:val="21"/>
                      <w:u w:val="single"/>
                    </w:rPr>
                    <w:t>液</w:t>
                  </w:r>
                </w:p>
              </w:tc>
              <w:tc>
                <w:tcPr>
                  <w:tcW w:w="1145" w:type="dxa"/>
                  <w:vMerge w:val="continue"/>
                  <w:vAlign w:val="center"/>
                </w:tcPr>
                <w:p>
                  <w:pPr>
                    <w:pStyle w:val="13"/>
                    <w:jc w:val="center"/>
                    <w:rPr>
                      <w:i/>
                      <w:iCs/>
                      <w:sz w:val="21"/>
                      <w:szCs w:val="21"/>
                      <w:u w:val="single"/>
                    </w:rPr>
                  </w:pPr>
                </w:p>
              </w:tc>
            </w:tr>
            <w:tr>
              <w:trPr>
                <w:trHeight w:val="87" w:hRule="atLeast"/>
              </w:trPr>
              <w:tc>
                <w:tcPr>
                  <w:tcW w:w="1749" w:type="dxa"/>
                  <w:vAlign w:val="center"/>
                </w:tcPr>
                <w:p>
                  <w:pPr>
                    <w:widowControl/>
                    <w:jc w:val="center"/>
                    <w:rPr>
                      <w:rFonts w:ascii="宋体" w:hAnsi="宋体" w:cs="宋体"/>
                      <w:i/>
                      <w:iCs/>
                      <w:kern w:val="0"/>
                      <w:szCs w:val="21"/>
                      <w:u w:val="single"/>
                    </w:rPr>
                  </w:pPr>
                  <w:r>
                    <w:rPr>
                      <w:rFonts w:hint="eastAsia" w:ascii="宋体" w:hAnsi="宋体" w:cs="宋体"/>
                      <w:i/>
                      <w:iCs/>
                      <w:kern w:val="0"/>
                      <w:szCs w:val="21"/>
                      <w:u w:val="single"/>
                    </w:rPr>
                    <w:t>剩余燃油</w:t>
                  </w:r>
                </w:p>
              </w:tc>
              <w:tc>
                <w:tcPr>
                  <w:tcW w:w="767" w:type="dxa"/>
                  <w:vAlign w:val="center"/>
                </w:tcPr>
                <w:p>
                  <w:pPr>
                    <w:widowControl/>
                    <w:jc w:val="center"/>
                    <w:rPr>
                      <w:i/>
                      <w:iCs/>
                      <w:szCs w:val="21"/>
                      <w:u w:val="single"/>
                    </w:rPr>
                  </w:pPr>
                  <w:r>
                    <w:rPr>
                      <w:i/>
                      <w:iCs/>
                      <w:kern w:val="0"/>
                      <w:szCs w:val="21"/>
                      <w:u w:val="single"/>
                    </w:rPr>
                    <w:t>HW08</w:t>
                  </w:r>
                </w:p>
              </w:tc>
              <w:tc>
                <w:tcPr>
                  <w:tcW w:w="1065" w:type="dxa"/>
                  <w:vAlign w:val="center"/>
                </w:tcPr>
                <w:p>
                  <w:pPr>
                    <w:widowControl/>
                    <w:jc w:val="center"/>
                    <w:rPr>
                      <w:i/>
                      <w:iCs/>
                      <w:szCs w:val="21"/>
                      <w:u w:val="single"/>
                    </w:rPr>
                  </w:pPr>
                  <w:r>
                    <w:rPr>
                      <w:i/>
                      <w:iCs/>
                      <w:kern w:val="0"/>
                      <w:szCs w:val="21"/>
                      <w:u w:val="single"/>
                    </w:rPr>
                    <w:t>900-199-08</w:t>
                  </w:r>
                </w:p>
              </w:tc>
              <w:tc>
                <w:tcPr>
                  <w:tcW w:w="696" w:type="dxa"/>
                  <w:vAlign w:val="center"/>
                </w:tcPr>
                <w:p>
                  <w:pPr>
                    <w:pStyle w:val="13"/>
                    <w:jc w:val="center"/>
                    <w:rPr>
                      <w:i/>
                      <w:iCs/>
                      <w:sz w:val="21"/>
                      <w:szCs w:val="21"/>
                      <w:u w:val="single"/>
                    </w:rPr>
                  </w:pPr>
                  <w:r>
                    <w:rPr>
                      <w:rFonts w:hint="eastAsia"/>
                      <w:i/>
                      <w:iCs/>
                      <w:sz w:val="21"/>
                      <w:szCs w:val="21"/>
                      <w:u w:val="single"/>
                    </w:rPr>
                    <w:t>0.5</w:t>
                  </w:r>
                </w:p>
              </w:tc>
              <w:tc>
                <w:tcPr>
                  <w:tcW w:w="1099" w:type="dxa"/>
                  <w:vAlign w:val="center"/>
                </w:tcPr>
                <w:p>
                  <w:pPr>
                    <w:pStyle w:val="13"/>
                    <w:jc w:val="center"/>
                    <w:rPr>
                      <w:rFonts w:ascii="宋体" w:hAnsi="宋体" w:cs="宋体"/>
                      <w:i/>
                      <w:iCs/>
                      <w:szCs w:val="21"/>
                      <w:u w:val="single"/>
                    </w:rPr>
                  </w:pPr>
                  <w:r>
                    <w:rPr>
                      <w:rFonts w:hint="eastAsia"/>
                      <w:i/>
                      <w:iCs/>
                      <w:sz w:val="21"/>
                      <w:szCs w:val="21"/>
                      <w:u w:val="single"/>
                    </w:rPr>
                    <w:t>0.5</w:t>
                  </w:r>
                </w:p>
              </w:tc>
              <w:tc>
                <w:tcPr>
                  <w:tcW w:w="1249" w:type="dxa"/>
                  <w:vAlign w:val="center"/>
                </w:tcPr>
                <w:p>
                  <w:pPr>
                    <w:widowControl/>
                    <w:jc w:val="center"/>
                    <w:rPr>
                      <w:rFonts w:ascii="宋体" w:hAnsi="宋体" w:cs="宋体"/>
                      <w:i/>
                      <w:iCs/>
                      <w:kern w:val="0"/>
                      <w:szCs w:val="21"/>
                      <w:u w:val="single"/>
                    </w:rPr>
                  </w:pPr>
                  <w:r>
                    <w:rPr>
                      <w:rFonts w:hint="eastAsia" w:ascii="宋体" w:hAnsi="宋体" w:cs="宋体"/>
                      <w:i/>
                      <w:iCs/>
                      <w:kern w:val="0"/>
                      <w:szCs w:val="21"/>
                      <w:u w:val="single"/>
                    </w:rPr>
                    <w:t>预拆解过程</w:t>
                  </w:r>
                </w:p>
              </w:tc>
              <w:tc>
                <w:tcPr>
                  <w:tcW w:w="376" w:type="dxa"/>
                  <w:vAlign w:val="center"/>
                </w:tcPr>
                <w:p>
                  <w:pPr>
                    <w:pStyle w:val="13"/>
                    <w:jc w:val="center"/>
                    <w:rPr>
                      <w:i/>
                      <w:iCs/>
                      <w:sz w:val="21"/>
                      <w:szCs w:val="21"/>
                      <w:u w:val="single"/>
                    </w:rPr>
                  </w:pPr>
                  <w:r>
                    <w:rPr>
                      <w:rFonts w:hint="eastAsia"/>
                      <w:i/>
                      <w:iCs/>
                      <w:sz w:val="21"/>
                      <w:szCs w:val="21"/>
                      <w:u w:val="single"/>
                    </w:rPr>
                    <w:t>液</w:t>
                  </w:r>
                </w:p>
              </w:tc>
              <w:tc>
                <w:tcPr>
                  <w:tcW w:w="1145" w:type="dxa"/>
                  <w:vMerge w:val="continue"/>
                  <w:vAlign w:val="center"/>
                </w:tcPr>
                <w:p>
                  <w:pPr>
                    <w:pStyle w:val="13"/>
                    <w:jc w:val="center"/>
                    <w:rPr>
                      <w:i/>
                      <w:iCs/>
                      <w:sz w:val="21"/>
                      <w:szCs w:val="21"/>
                      <w:u w:val="single"/>
                    </w:rPr>
                  </w:pPr>
                </w:p>
              </w:tc>
            </w:tr>
            <w:tr>
              <w:trPr>
                <w:trHeight w:val="298" w:hRule="atLeast"/>
              </w:trPr>
              <w:tc>
                <w:tcPr>
                  <w:tcW w:w="1749" w:type="dxa"/>
                  <w:vAlign w:val="center"/>
                </w:tcPr>
                <w:p>
                  <w:pPr>
                    <w:widowControl/>
                    <w:jc w:val="center"/>
                    <w:rPr>
                      <w:i/>
                      <w:iCs/>
                      <w:szCs w:val="21"/>
                      <w:u w:val="single"/>
                    </w:rPr>
                  </w:pPr>
                  <w:r>
                    <w:rPr>
                      <w:rFonts w:hint="eastAsia" w:ascii="宋体" w:hAnsi="宋体" w:cs="宋体"/>
                      <w:i/>
                      <w:iCs/>
                      <w:kern w:val="0"/>
                      <w:szCs w:val="21"/>
                      <w:u w:val="single"/>
                    </w:rPr>
                    <w:t>废制动液</w:t>
                  </w:r>
                </w:p>
              </w:tc>
              <w:tc>
                <w:tcPr>
                  <w:tcW w:w="767" w:type="dxa"/>
                  <w:vAlign w:val="center"/>
                </w:tcPr>
                <w:p>
                  <w:pPr>
                    <w:pStyle w:val="41"/>
                    <w:adjustRightInd/>
                    <w:snapToGrid/>
                    <w:spacing w:line="240" w:lineRule="auto"/>
                    <w:ind w:left="0" w:right="0"/>
                    <w:rPr>
                      <w:rFonts w:ascii="Times New Roman" w:hAnsi="Times New Roman"/>
                      <w:i/>
                      <w:iCs/>
                      <w:sz w:val="21"/>
                      <w:u w:val="single"/>
                    </w:rPr>
                  </w:pPr>
                  <w:r>
                    <w:rPr>
                      <w:rFonts w:hint="eastAsia" w:ascii="Times New Roman" w:hAnsi="Times New Roman"/>
                      <w:i/>
                      <w:iCs/>
                      <w:sz w:val="21"/>
                      <w:u w:val="single"/>
                    </w:rPr>
                    <w:t>HW06</w:t>
                  </w:r>
                </w:p>
              </w:tc>
              <w:tc>
                <w:tcPr>
                  <w:tcW w:w="1065" w:type="dxa"/>
                  <w:vAlign w:val="center"/>
                </w:tcPr>
                <w:p>
                  <w:pPr>
                    <w:pStyle w:val="41"/>
                    <w:adjustRightInd/>
                    <w:snapToGrid/>
                    <w:spacing w:line="240" w:lineRule="auto"/>
                    <w:ind w:left="0" w:right="0"/>
                    <w:rPr>
                      <w:rFonts w:ascii="Times New Roman" w:hAnsi="Times New Roman"/>
                      <w:i/>
                      <w:iCs/>
                      <w:sz w:val="21"/>
                      <w:u w:val="single"/>
                    </w:rPr>
                  </w:pPr>
                  <w:r>
                    <w:rPr>
                      <w:rFonts w:hint="eastAsia" w:ascii="Times New Roman" w:hAnsi="Times New Roman"/>
                      <w:i/>
                      <w:iCs/>
                      <w:sz w:val="21"/>
                      <w:u w:val="single"/>
                    </w:rPr>
                    <w:t>900-404-06</w:t>
                  </w:r>
                </w:p>
              </w:tc>
              <w:tc>
                <w:tcPr>
                  <w:tcW w:w="696" w:type="dxa"/>
                  <w:vAlign w:val="center"/>
                </w:tcPr>
                <w:p>
                  <w:pPr>
                    <w:pStyle w:val="13"/>
                    <w:jc w:val="center"/>
                    <w:rPr>
                      <w:i/>
                      <w:iCs/>
                      <w:sz w:val="21"/>
                      <w:szCs w:val="21"/>
                      <w:u w:val="single"/>
                    </w:rPr>
                  </w:pPr>
                  <w:r>
                    <w:rPr>
                      <w:rFonts w:hint="eastAsia"/>
                      <w:i/>
                      <w:iCs/>
                      <w:sz w:val="21"/>
                      <w:szCs w:val="21"/>
                      <w:u w:val="single"/>
                    </w:rPr>
                    <w:t>0.3</w:t>
                  </w:r>
                </w:p>
              </w:tc>
              <w:tc>
                <w:tcPr>
                  <w:tcW w:w="1099" w:type="dxa"/>
                  <w:vAlign w:val="center"/>
                </w:tcPr>
                <w:p>
                  <w:pPr>
                    <w:pStyle w:val="13"/>
                    <w:jc w:val="center"/>
                    <w:rPr>
                      <w:rFonts w:ascii="宋体" w:hAnsi="宋体" w:cs="宋体"/>
                      <w:i/>
                      <w:iCs/>
                      <w:szCs w:val="21"/>
                      <w:u w:val="single"/>
                    </w:rPr>
                  </w:pPr>
                  <w:r>
                    <w:rPr>
                      <w:rFonts w:hint="eastAsia"/>
                      <w:i/>
                      <w:iCs/>
                      <w:sz w:val="21"/>
                      <w:szCs w:val="21"/>
                      <w:u w:val="single"/>
                    </w:rPr>
                    <w:t>0.3</w:t>
                  </w:r>
                </w:p>
              </w:tc>
              <w:tc>
                <w:tcPr>
                  <w:tcW w:w="1249" w:type="dxa"/>
                  <w:vAlign w:val="center"/>
                </w:tcPr>
                <w:p>
                  <w:pPr>
                    <w:widowControl/>
                    <w:jc w:val="center"/>
                    <w:rPr>
                      <w:i/>
                      <w:iCs/>
                      <w:szCs w:val="21"/>
                      <w:u w:val="single"/>
                    </w:rPr>
                  </w:pPr>
                  <w:r>
                    <w:rPr>
                      <w:rFonts w:hint="eastAsia" w:ascii="宋体" w:hAnsi="宋体" w:cs="宋体"/>
                      <w:i/>
                      <w:iCs/>
                      <w:kern w:val="0"/>
                      <w:szCs w:val="21"/>
                      <w:u w:val="single"/>
                    </w:rPr>
                    <w:t>预拆解过程</w:t>
                  </w:r>
                </w:p>
              </w:tc>
              <w:tc>
                <w:tcPr>
                  <w:tcW w:w="376" w:type="dxa"/>
                  <w:vAlign w:val="center"/>
                </w:tcPr>
                <w:p>
                  <w:pPr>
                    <w:pStyle w:val="13"/>
                    <w:jc w:val="center"/>
                    <w:rPr>
                      <w:i/>
                      <w:iCs/>
                      <w:sz w:val="21"/>
                      <w:szCs w:val="21"/>
                      <w:u w:val="single"/>
                    </w:rPr>
                  </w:pPr>
                  <w:r>
                    <w:rPr>
                      <w:rFonts w:hint="eastAsia"/>
                      <w:i/>
                      <w:iCs/>
                      <w:sz w:val="21"/>
                      <w:szCs w:val="21"/>
                      <w:u w:val="single"/>
                    </w:rPr>
                    <w:t>液</w:t>
                  </w:r>
                </w:p>
              </w:tc>
              <w:tc>
                <w:tcPr>
                  <w:tcW w:w="1145" w:type="dxa"/>
                  <w:vMerge w:val="continue"/>
                  <w:vAlign w:val="center"/>
                </w:tcPr>
                <w:p>
                  <w:pPr>
                    <w:pStyle w:val="13"/>
                    <w:jc w:val="center"/>
                    <w:rPr>
                      <w:i/>
                      <w:iCs/>
                      <w:sz w:val="21"/>
                      <w:szCs w:val="21"/>
                      <w:u w:val="single"/>
                    </w:rPr>
                  </w:pPr>
                </w:p>
              </w:tc>
            </w:tr>
            <w:tr>
              <w:trPr>
                <w:trHeight w:val="284" w:hRule="atLeast"/>
              </w:trPr>
              <w:tc>
                <w:tcPr>
                  <w:tcW w:w="1749" w:type="dxa"/>
                  <w:vAlign w:val="center"/>
                </w:tcPr>
                <w:p>
                  <w:pPr>
                    <w:widowControl/>
                    <w:jc w:val="center"/>
                    <w:rPr>
                      <w:i/>
                      <w:iCs/>
                      <w:szCs w:val="21"/>
                      <w:u w:val="single"/>
                    </w:rPr>
                  </w:pPr>
                  <w:r>
                    <w:rPr>
                      <w:rFonts w:hint="eastAsia" w:ascii="宋体" w:hAnsi="宋体" w:cs="宋体"/>
                      <w:i/>
                      <w:iCs/>
                      <w:kern w:val="0"/>
                      <w:szCs w:val="21"/>
                      <w:u w:val="single"/>
                    </w:rPr>
                    <w:t>废油箱</w:t>
                  </w:r>
                </w:p>
              </w:tc>
              <w:tc>
                <w:tcPr>
                  <w:tcW w:w="767" w:type="dxa"/>
                  <w:vAlign w:val="center"/>
                </w:tcPr>
                <w:p>
                  <w:pPr>
                    <w:widowControl/>
                    <w:jc w:val="center"/>
                    <w:rPr>
                      <w:i/>
                      <w:iCs/>
                      <w:szCs w:val="21"/>
                      <w:u w:val="single"/>
                    </w:rPr>
                  </w:pPr>
                  <w:r>
                    <w:rPr>
                      <w:i/>
                      <w:iCs/>
                      <w:kern w:val="0"/>
                      <w:szCs w:val="21"/>
                      <w:u w:val="single"/>
                    </w:rPr>
                    <w:t>HW08</w:t>
                  </w:r>
                </w:p>
              </w:tc>
              <w:tc>
                <w:tcPr>
                  <w:tcW w:w="1065" w:type="dxa"/>
                  <w:vAlign w:val="center"/>
                </w:tcPr>
                <w:p>
                  <w:pPr>
                    <w:widowControl/>
                    <w:jc w:val="center"/>
                    <w:rPr>
                      <w:i/>
                      <w:iCs/>
                      <w:szCs w:val="21"/>
                      <w:u w:val="single"/>
                    </w:rPr>
                  </w:pPr>
                  <w:r>
                    <w:rPr>
                      <w:i/>
                      <w:iCs/>
                      <w:kern w:val="0"/>
                      <w:szCs w:val="21"/>
                      <w:u w:val="single"/>
                    </w:rPr>
                    <w:t>900-2</w:t>
                  </w:r>
                  <w:r>
                    <w:rPr>
                      <w:rFonts w:hint="eastAsia"/>
                      <w:i/>
                      <w:iCs/>
                      <w:kern w:val="0"/>
                      <w:szCs w:val="21"/>
                      <w:u w:val="single"/>
                    </w:rPr>
                    <w:t>49</w:t>
                  </w:r>
                  <w:r>
                    <w:rPr>
                      <w:i/>
                      <w:iCs/>
                      <w:kern w:val="0"/>
                      <w:szCs w:val="21"/>
                      <w:u w:val="single"/>
                    </w:rPr>
                    <w:t>-08</w:t>
                  </w:r>
                </w:p>
              </w:tc>
              <w:tc>
                <w:tcPr>
                  <w:tcW w:w="696" w:type="dxa"/>
                  <w:vAlign w:val="center"/>
                </w:tcPr>
                <w:p>
                  <w:pPr>
                    <w:pStyle w:val="13"/>
                    <w:jc w:val="center"/>
                    <w:rPr>
                      <w:i/>
                      <w:iCs/>
                      <w:sz w:val="21"/>
                      <w:szCs w:val="21"/>
                      <w:u w:val="single"/>
                    </w:rPr>
                  </w:pPr>
                  <w:r>
                    <w:rPr>
                      <w:rFonts w:hint="eastAsia"/>
                      <w:i/>
                      <w:iCs/>
                      <w:sz w:val="21"/>
                      <w:szCs w:val="21"/>
                      <w:u w:val="single"/>
                    </w:rPr>
                    <w:t>3.6</w:t>
                  </w:r>
                </w:p>
              </w:tc>
              <w:tc>
                <w:tcPr>
                  <w:tcW w:w="1099" w:type="dxa"/>
                  <w:vAlign w:val="center"/>
                </w:tcPr>
                <w:p>
                  <w:pPr>
                    <w:pStyle w:val="13"/>
                    <w:jc w:val="center"/>
                    <w:rPr>
                      <w:rFonts w:ascii="宋体" w:hAnsi="宋体" w:cs="宋体"/>
                      <w:i/>
                      <w:iCs/>
                      <w:szCs w:val="21"/>
                      <w:u w:val="single"/>
                    </w:rPr>
                  </w:pPr>
                  <w:r>
                    <w:rPr>
                      <w:rFonts w:hint="eastAsia"/>
                      <w:i/>
                      <w:iCs/>
                      <w:sz w:val="21"/>
                      <w:szCs w:val="21"/>
                      <w:u w:val="single"/>
                    </w:rPr>
                    <w:t>3.6</w:t>
                  </w:r>
                </w:p>
              </w:tc>
              <w:tc>
                <w:tcPr>
                  <w:tcW w:w="1249" w:type="dxa"/>
                  <w:vAlign w:val="center"/>
                </w:tcPr>
                <w:p>
                  <w:pPr>
                    <w:widowControl/>
                    <w:jc w:val="center"/>
                    <w:rPr>
                      <w:i/>
                      <w:iCs/>
                      <w:szCs w:val="21"/>
                      <w:u w:val="single"/>
                    </w:rPr>
                  </w:pPr>
                  <w:r>
                    <w:rPr>
                      <w:rFonts w:hint="eastAsia" w:ascii="宋体" w:hAnsi="宋体" w:cs="宋体"/>
                      <w:i/>
                      <w:iCs/>
                      <w:kern w:val="0"/>
                      <w:szCs w:val="21"/>
                      <w:u w:val="single"/>
                    </w:rPr>
                    <w:t>拆解过程</w:t>
                  </w:r>
                </w:p>
              </w:tc>
              <w:tc>
                <w:tcPr>
                  <w:tcW w:w="376" w:type="dxa"/>
                  <w:vAlign w:val="center"/>
                </w:tcPr>
                <w:p>
                  <w:pPr>
                    <w:pStyle w:val="13"/>
                    <w:jc w:val="center"/>
                    <w:rPr>
                      <w:i/>
                      <w:iCs/>
                      <w:sz w:val="21"/>
                      <w:szCs w:val="21"/>
                      <w:u w:val="single"/>
                    </w:rPr>
                  </w:pPr>
                  <w:r>
                    <w:rPr>
                      <w:rFonts w:hint="eastAsia"/>
                      <w:i/>
                      <w:iCs/>
                      <w:sz w:val="21"/>
                      <w:szCs w:val="21"/>
                      <w:u w:val="single"/>
                    </w:rPr>
                    <w:t>固</w:t>
                  </w:r>
                </w:p>
              </w:tc>
              <w:tc>
                <w:tcPr>
                  <w:tcW w:w="1145" w:type="dxa"/>
                  <w:vMerge w:val="continue"/>
                  <w:vAlign w:val="center"/>
                </w:tcPr>
                <w:p>
                  <w:pPr>
                    <w:pStyle w:val="13"/>
                    <w:jc w:val="center"/>
                    <w:rPr>
                      <w:i/>
                      <w:iCs/>
                      <w:sz w:val="21"/>
                      <w:szCs w:val="21"/>
                      <w:u w:val="single"/>
                    </w:rPr>
                  </w:pPr>
                </w:p>
              </w:tc>
            </w:tr>
            <w:tr>
              <w:trPr>
                <w:trHeight w:val="93" w:hRule="atLeast"/>
              </w:trPr>
              <w:tc>
                <w:tcPr>
                  <w:tcW w:w="1749" w:type="dxa"/>
                  <w:vAlign w:val="center"/>
                </w:tcPr>
                <w:p>
                  <w:pPr>
                    <w:widowControl/>
                    <w:jc w:val="center"/>
                    <w:rPr>
                      <w:i/>
                      <w:iCs/>
                      <w:szCs w:val="21"/>
                      <w:u w:val="single"/>
                    </w:rPr>
                  </w:pPr>
                  <w:r>
                    <w:rPr>
                      <w:rFonts w:hint="eastAsia" w:ascii="宋体" w:hAnsi="宋体" w:cs="宋体"/>
                      <w:i/>
                      <w:iCs/>
                      <w:kern w:val="0"/>
                      <w:szCs w:val="21"/>
                      <w:u w:val="single"/>
                    </w:rPr>
                    <w:t>废尾气净化装置</w:t>
                  </w:r>
                </w:p>
              </w:tc>
              <w:tc>
                <w:tcPr>
                  <w:tcW w:w="767" w:type="dxa"/>
                  <w:vAlign w:val="center"/>
                </w:tcPr>
                <w:p>
                  <w:pPr>
                    <w:widowControl/>
                    <w:jc w:val="center"/>
                    <w:rPr>
                      <w:i/>
                      <w:iCs/>
                      <w:szCs w:val="21"/>
                      <w:u w:val="single"/>
                    </w:rPr>
                  </w:pPr>
                  <w:r>
                    <w:rPr>
                      <w:i/>
                      <w:iCs/>
                      <w:kern w:val="0"/>
                      <w:szCs w:val="21"/>
                      <w:u w:val="single"/>
                    </w:rPr>
                    <w:t>HW50</w:t>
                  </w:r>
                </w:p>
              </w:tc>
              <w:tc>
                <w:tcPr>
                  <w:tcW w:w="1065" w:type="dxa"/>
                  <w:vAlign w:val="center"/>
                </w:tcPr>
                <w:p>
                  <w:pPr>
                    <w:widowControl/>
                    <w:jc w:val="center"/>
                    <w:rPr>
                      <w:i/>
                      <w:iCs/>
                      <w:szCs w:val="21"/>
                      <w:u w:val="single"/>
                    </w:rPr>
                  </w:pPr>
                  <w:r>
                    <w:rPr>
                      <w:i/>
                      <w:iCs/>
                      <w:kern w:val="0"/>
                      <w:szCs w:val="21"/>
                      <w:u w:val="single"/>
                    </w:rPr>
                    <w:t>900-049-50</w:t>
                  </w:r>
                </w:p>
              </w:tc>
              <w:tc>
                <w:tcPr>
                  <w:tcW w:w="696" w:type="dxa"/>
                  <w:vAlign w:val="center"/>
                </w:tcPr>
                <w:p>
                  <w:pPr>
                    <w:pStyle w:val="13"/>
                    <w:jc w:val="center"/>
                    <w:rPr>
                      <w:i/>
                      <w:iCs/>
                      <w:sz w:val="21"/>
                      <w:szCs w:val="21"/>
                      <w:u w:val="single"/>
                    </w:rPr>
                  </w:pPr>
                  <w:r>
                    <w:rPr>
                      <w:rFonts w:hint="eastAsia"/>
                      <w:i/>
                      <w:iCs/>
                      <w:sz w:val="21"/>
                      <w:szCs w:val="21"/>
                      <w:u w:val="single"/>
                    </w:rPr>
                    <w:t>0.15</w:t>
                  </w:r>
                </w:p>
              </w:tc>
              <w:tc>
                <w:tcPr>
                  <w:tcW w:w="1099" w:type="dxa"/>
                  <w:vAlign w:val="center"/>
                </w:tcPr>
                <w:p>
                  <w:pPr>
                    <w:pStyle w:val="13"/>
                    <w:jc w:val="center"/>
                    <w:rPr>
                      <w:rFonts w:ascii="宋体" w:hAnsi="宋体" w:cs="宋体"/>
                      <w:i/>
                      <w:iCs/>
                      <w:szCs w:val="21"/>
                      <w:u w:val="single"/>
                    </w:rPr>
                  </w:pPr>
                  <w:r>
                    <w:rPr>
                      <w:rFonts w:hint="eastAsia"/>
                      <w:i/>
                      <w:iCs/>
                      <w:sz w:val="21"/>
                      <w:szCs w:val="21"/>
                      <w:u w:val="single"/>
                    </w:rPr>
                    <w:t>0.15</w:t>
                  </w:r>
                </w:p>
              </w:tc>
              <w:tc>
                <w:tcPr>
                  <w:tcW w:w="1249" w:type="dxa"/>
                  <w:vAlign w:val="center"/>
                </w:tcPr>
                <w:p>
                  <w:pPr>
                    <w:widowControl/>
                    <w:jc w:val="center"/>
                    <w:rPr>
                      <w:i/>
                      <w:iCs/>
                      <w:szCs w:val="21"/>
                      <w:u w:val="single"/>
                    </w:rPr>
                  </w:pPr>
                  <w:r>
                    <w:rPr>
                      <w:rFonts w:hint="eastAsia" w:ascii="宋体" w:hAnsi="宋体" w:cs="宋体"/>
                      <w:i/>
                      <w:iCs/>
                      <w:kern w:val="0"/>
                      <w:szCs w:val="21"/>
                      <w:u w:val="single"/>
                    </w:rPr>
                    <w:t>拆解过程</w:t>
                  </w:r>
                </w:p>
              </w:tc>
              <w:tc>
                <w:tcPr>
                  <w:tcW w:w="376" w:type="dxa"/>
                  <w:vAlign w:val="center"/>
                </w:tcPr>
                <w:p>
                  <w:pPr>
                    <w:pStyle w:val="13"/>
                    <w:jc w:val="center"/>
                    <w:rPr>
                      <w:i/>
                      <w:iCs/>
                      <w:sz w:val="21"/>
                      <w:szCs w:val="21"/>
                      <w:u w:val="single"/>
                    </w:rPr>
                  </w:pPr>
                  <w:r>
                    <w:rPr>
                      <w:rFonts w:hint="eastAsia"/>
                      <w:i/>
                      <w:iCs/>
                      <w:sz w:val="21"/>
                      <w:szCs w:val="21"/>
                      <w:u w:val="single"/>
                    </w:rPr>
                    <w:t>固</w:t>
                  </w:r>
                </w:p>
              </w:tc>
              <w:tc>
                <w:tcPr>
                  <w:tcW w:w="1145" w:type="dxa"/>
                  <w:vMerge w:val="continue"/>
                  <w:vAlign w:val="center"/>
                </w:tcPr>
                <w:p>
                  <w:pPr>
                    <w:pStyle w:val="13"/>
                    <w:jc w:val="center"/>
                    <w:rPr>
                      <w:i/>
                      <w:iCs/>
                      <w:sz w:val="21"/>
                      <w:szCs w:val="21"/>
                      <w:u w:val="single"/>
                    </w:rPr>
                  </w:pPr>
                </w:p>
              </w:tc>
            </w:tr>
            <w:tr>
              <w:trPr>
                <w:trHeight w:val="298" w:hRule="atLeast"/>
              </w:trPr>
              <w:tc>
                <w:tcPr>
                  <w:tcW w:w="1749" w:type="dxa"/>
                  <w:vAlign w:val="center"/>
                </w:tcPr>
                <w:p>
                  <w:pPr>
                    <w:widowControl/>
                    <w:jc w:val="center"/>
                    <w:rPr>
                      <w:i/>
                      <w:iCs/>
                      <w:szCs w:val="21"/>
                      <w:u w:val="single"/>
                    </w:rPr>
                  </w:pPr>
                  <w:r>
                    <w:rPr>
                      <w:rFonts w:hint="eastAsia" w:ascii="宋体" w:hAnsi="宋体" w:cs="宋体"/>
                      <w:i/>
                      <w:iCs/>
                      <w:kern w:val="0"/>
                      <w:szCs w:val="21"/>
                      <w:u w:val="single"/>
                    </w:rPr>
                    <w:t>废机油滤清器</w:t>
                  </w:r>
                </w:p>
              </w:tc>
              <w:tc>
                <w:tcPr>
                  <w:tcW w:w="767" w:type="dxa"/>
                  <w:vAlign w:val="center"/>
                </w:tcPr>
                <w:p>
                  <w:pPr>
                    <w:widowControl/>
                    <w:jc w:val="center"/>
                    <w:rPr>
                      <w:i/>
                      <w:iCs/>
                      <w:szCs w:val="21"/>
                      <w:u w:val="single"/>
                    </w:rPr>
                  </w:pPr>
                  <w:r>
                    <w:rPr>
                      <w:i/>
                      <w:iCs/>
                      <w:kern w:val="0"/>
                      <w:szCs w:val="21"/>
                      <w:u w:val="single"/>
                    </w:rPr>
                    <w:t>HW08</w:t>
                  </w:r>
                </w:p>
              </w:tc>
              <w:tc>
                <w:tcPr>
                  <w:tcW w:w="1065" w:type="dxa"/>
                  <w:vAlign w:val="center"/>
                </w:tcPr>
                <w:p>
                  <w:pPr>
                    <w:widowControl/>
                    <w:jc w:val="center"/>
                    <w:rPr>
                      <w:i/>
                      <w:iCs/>
                      <w:szCs w:val="21"/>
                      <w:u w:val="single"/>
                    </w:rPr>
                  </w:pPr>
                  <w:r>
                    <w:rPr>
                      <w:i/>
                      <w:iCs/>
                      <w:kern w:val="0"/>
                      <w:szCs w:val="21"/>
                      <w:u w:val="single"/>
                    </w:rPr>
                    <w:t>900-249-08</w:t>
                  </w:r>
                </w:p>
              </w:tc>
              <w:tc>
                <w:tcPr>
                  <w:tcW w:w="696" w:type="dxa"/>
                  <w:vAlign w:val="center"/>
                </w:tcPr>
                <w:p>
                  <w:pPr>
                    <w:pStyle w:val="13"/>
                    <w:jc w:val="center"/>
                    <w:rPr>
                      <w:i/>
                      <w:iCs/>
                      <w:sz w:val="21"/>
                      <w:szCs w:val="21"/>
                      <w:u w:val="single"/>
                    </w:rPr>
                  </w:pPr>
                  <w:r>
                    <w:rPr>
                      <w:rFonts w:hint="eastAsia"/>
                      <w:i/>
                      <w:iCs/>
                      <w:sz w:val="21"/>
                      <w:szCs w:val="21"/>
                      <w:u w:val="single"/>
                    </w:rPr>
                    <w:t>0.15</w:t>
                  </w:r>
                </w:p>
              </w:tc>
              <w:tc>
                <w:tcPr>
                  <w:tcW w:w="1099" w:type="dxa"/>
                  <w:vAlign w:val="center"/>
                </w:tcPr>
                <w:p>
                  <w:pPr>
                    <w:pStyle w:val="13"/>
                    <w:jc w:val="center"/>
                    <w:rPr>
                      <w:rFonts w:ascii="宋体" w:hAnsi="宋体" w:cs="宋体"/>
                      <w:i/>
                      <w:iCs/>
                      <w:szCs w:val="21"/>
                      <w:u w:val="single"/>
                    </w:rPr>
                  </w:pPr>
                  <w:r>
                    <w:rPr>
                      <w:rFonts w:hint="eastAsia"/>
                      <w:i/>
                      <w:iCs/>
                      <w:sz w:val="21"/>
                      <w:szCs w:val="21"/>
                      <w:u w:val="single"/>
                    </w:rPr>
                    <w:t>0.15</w:t>
                  </w:r>
                </w:p>
              </w:tc>
              <w:tc>
                <w:tcPr>
                  <w:tcW w:w="1249" w:type="dxa"/>
                  <w:vAlign w:val="center"/>
                </w:tcPr>
                <w:p>
                  <w:pPr>
                    <w:widowControl/>
                    <w:jc w:val="center"/>
                    <w:rPr>
                      <w:i/>
                      <w:iCs/>
                      <w:szCs w:val="21"/>
                      <w:u w:val="single"/>
                    </w:rPr>
                  </w:pPr>
                  <w:r>
                    <w:rPr>
                      <w:rFonts w:hint="eastAsia" w:ascii="宋体" w:hAnsi="宋体" w:cs="宋体"/>
                      <w:i/>
                      <w:iCs/>
                      <w:kern w:val="0"/>
                      <w:szCs w:val="21"/>
                      <w:u w:val="single"/>
                    </w:rPr>
                    <w:t>拆解过程</w:t>
                  </w:r>
                </w:p>
              </w:tc>
              <w:tc>
                <w:tcPr>
                  <w:tcW w:w="376" w:type="dxa"/>
                  <w:vAlign w:val="center"/>
                </w:tcPr>
                <w:p>
                  <w:pPr>
                    <w:pStyle w:val="13"/>
                    <w:jc w:val="center"/>
                    <w:rPr>
                      <w:i/>
                      <w:iCs/>
                      <w:sz w:val="21"/>
                      <w:szCs w:val="21"/>
                      <w:u w:val="single"/>
                    </w:rPr>
                  </w:pPr>
                  <w:r>
                    <w:rPr>
                      <w:rFonts w:hint="eastAsia"/>
                      <w:i/>
                      <w:iCs/>
                      <w:sz w:val="21"/>
                      <w:szCs w:val="21"/>
                      <w:u w:val="single"/>
                    </w:rPr>
                    <w:t>固</w:t>
                  </w:r>
                </w:p>
              </w:tc>
              <w:tc>
                <w:tcPr>
                  <w:tcW w:w="1145" w:type="dxa"/>
                  <w:vMerge w:val="continue"/>
                  <w:vAlign w:val="center"/>
                </w:tcPr>
                <w:p>
                  <w:pPr>
                    <w:pStyle w:val="13"/>
                    <w:jc w:val="center"/>
                    <w:rPr>
                      <w:i/>
                      <w:iCs/>
                      <w:sz w:val="21"/>
                      <w:szCs w:val="21"/>
                      <w:u w:val="single"/>
                    </w:rPr>
                  </w:pPr>
                </w:p>
              </w:tc>
            </w:tr>
            <w:tr>
              <w:trPr>
                <w:trHeight w:val="609" w:hRule="atLeast"/>
              </w:trPr>
              <w:tc>
                <w:tcPr>
                  <w:tcW w:w="1749" w:type="dxa"/>
                  <w:vAlign w:val="center"/>
                </w:tcPr>
                <w:p>
                  <w:pPr>
                    <w:widowControl/>
                    <w:jc w:val="center"/>
                    <w:rPr>
                      <w:i/>
                      <w:iCs/>
                      <w:szCs w:val="21"/>
                      <w:u w:val="single"/>
                    </w:rPr>
                  </w:pPr>
                  <w:r>
                    <w:rPr>
                      <w:rFonts w:hint="eastAsia" w:ascii="宋体" w:hAnsi="宋体" w:cs="宋体"/>
                      <w:i/>
                      <w:iCs/>
                      <w:kern w:val="0"/>
                      <w:szCs w:val="21"/>
                      <w:u w:val="single"/>
                    </w:rPr>
                    <w:t>废含汞开关、电路板</w:t>
                  </w:r>
                </w:p>
              </w:tc>
              <w:tc>
                <w:tcPr>
                  <w:tcW w:w="767" w:type="dxa"/>
                  <w:vAlign w:val="center"/>
                </w:tcPr>
                <w:p>
                  <w:pPr>
                    <w:widowControl/>
                    <w:jc w:val="center"/>
                    <w:rPr>
                      <w:i/>
                      <w:iCs/>
                      <w:szCs w:val="21"/>
                      <w:u w:val="single"/>
                    </w:rPr>
                  </w:pPr>
                  <w:r>
                    <w:rPr>
                      <w:i/>
                      <w:iCs/>
                      <w:kern w:val="0"/>
                      <w:szCs w:val="21"/>
                      <w:u w:val="single"/>
                    </w:rPr>
                    <w:t>HW49</w:t>
                  </w:r>
                </w:p>
              </w:tc>
              <w:tc>
                <w:tcPr>
                  <w:tcW w:w="1065" w:type="dxa"/>
                  <w:vAlign w:val="center"/>
                </w:tcPr>
                <w:p>
                  <w:pPr>
                    <w:widowControl/>
                    <w:jc w:val="center"/>
                    <w:rPr>
                      <w:i/>
                      <w:iCs/>
                      <w:szCs w:val="21"/>
                      <w:u w:val="single"/>
                    </w:rPr>
                  </w:pPr>
                  <w:r>
                    <w:rPr>
                      <w:i/>
                      <w:iCs/>
                      <w:kern w:val="0"/>
                      <w:szCs w:val="21"/>
                      <w:u w:val="single"/>
                    </w:rPr>
                    <w:t>900-045-49</w:t>
                  </w:r>
                </w:p>
              </w:tc>
              <w:tc>
                <w:tcPr>
                  <w:tcW w:w="696" w:type="dxa"/>
                  <w:vAlign w:val="center"/>
                </w:tcPr>
                <w:p>
                  <w:pPr>
                    <w:pStyle w:val="13"/>
                    <w:jc w:val="center"/>
                    <w:rPr>
                      <w:i/>
                      <w:iCs/>
                      <w:sz w:val="21"/>
                      <w:szCs w:val="21"/>
                      <w:u w:val="single"/>
                    </w:rPr>
                  </w:pPr>
                  <w:r>
                    <w:rPr>
                      <w:rFonts w:hint="eastAsia"/>
                      <w:i/>
                      <w:iCs/>
                      <w:sz w:val="21"/>
                      <w:szCs w:val="21"/>
                      <w:u w:val="single"/>
                    </w:rPr>
                    <w:t>0.15</w:t>
                  </w:r>
                </w:p>
              </w:tc>
              <w:tc>
                <w:tcPr>
                  <w:tcW w:w="1099" w:type="dxa"/>
                  <w:vAlign w:val="center"/>
                </w:tcPr>
                <w:p>
                  <w:pPr>
                    <w:pStyle w:val="13"/>
                    <w:jc w:val="center"/>
                    <w:rPr>
                      <w:rFonts w:ascii="宋体" w:hAnsi="宋体" w:cs="宋体"/>
                      <w:i/>
                      <w:iCs/>
                      <w:szCs w:val="21"/>
                      <w:u w:val="single"/>
                    </w:rPr>
                  </w:pPr>
                  <w:r>
                    <w:rPr>
                      <w:rFonts w:hint="eastAsia"/>
                      <w:i/>
                      <w:iCs/>
                      <w:sz w:val="21"/>
                      <w:szCs w:val="21"/>
                      <w:u w:val="single"/>
                    </w:rPr>
                    <w:t>0.15</w:t>
                  </w:r>
                </w:p>
              </w:tc>
              <w:tc>
                <w:tcPr>
                  <w:tcW w:w="1249" w:type="dxa"/>
                  <w:vAlign w:val="center"/>
                </w:tcPr>
                <w:p>
                  <w:pPr>
                    <w:widowControl/>
                    <w:jc w:val="center"/>
                    <w:rPr>
                      <w:i/>
                      <w:iCs/>
                      <w:szCs w:val="21"/>
                      <w:u w:val="single"/>
                    </w:rPr>
                  </w:pPr>
                  <w:r>
                    <w:rPr>
                      <w:rFonts w:hint="eastAsia" w:ascii="宋体" w:hAnsi="宋体" w:cs="宋体"/>
                      <w:i/>
                      <w:iCs/>
                      <w:kern w:val="0"/>
                      <w:szCs w:val="21"/>
                      <w:u w:val="single"/>
                    </w:rPr>
                    <w:t>拆解过程</w:t>
                  </w:r>
                </w:p>
              </w:tc>
              <w:tc>
                <w:tcPr>
                  <w:tcW w:w="376" w:type="dxa"/>
                  <w:vAlign w:val="center"/>
                </w:tcPr>
                <w:p>
                  <w:pPr>
                    <w:pStyle w:val="13"/>
                    <w:jc w:val="center"/>
                    <w:rPr>
                      <w:i/>
                      <w:iCs/>
                      <w:sz w:val="21"/>
                      <w:szCs w:val="21"/>
                      <w:u w:val="single"/>
                    </w:rPr>
                  </w:pPr>
                  <w:r>
                    <w:rPr>
                      <w:rFonts w:hint="eastAsia"/>
                      <w:i/>
                      <w:iCs/>
                      <w:sz w:val="21"/>
                      <w:szCs w:val="21"/>
                      <w:u w:val="single"/>
                    </w:rPr>
                    <w:t>固</w:t>
                  </w:r>
                </w:p>
              </w:tc>
              <w:tc>
                <w:tcPr>
                  <w:tcW w:w="1145" w:type="dxa"/>
                  <w:vMerge w:val="continue"/>
                  <w:vAlign w:val="center"/>
                </w:tcPr>
                <w:p>
                  <w:pPr>
                    <w:pStyle w:val="13"/>
                    <w:jc w:val="center"/>
                    <w:rPr>
                      <w:i/>
                      <w:iCs/>
                      <w:sz w:val="21"/>
                      <w:szCs w:val="21"/>
                      <w:u w:val="single"/>
                    </w:rPr>
                  </w:pPr>
                </w:p>
              </w:tc>
            </w:tr>
            <w:tr>
              <w:trPr>
                <w:trHeight w:val="284" w:hRule="atLeast"/>
              </w:trPr>
              <w:tc>
                <w:tcPr>
                  <w:tcW w:w="1749" w:type="dxa"/>
                  <w:vAlign w:val="center"/>
                </w:tcPr>
                <w:p>
                  <w:pPr>
                    <w:widowControl/>
                    <w:jc w:val="center"/>
                    <w:rPr>
                      <w:i/>
                      <w:iCs/>
                      <w:szCs w:val="21"/>
                      <w:u w:val="single"/>
                    </w:rPr>
                  </w:pPr>
                  <w:r>
                    <w:rPr>
                      <w:rFonts w:hint="eastAsia" w:ascii="宋体" w:hAnsi="宋体" w:cs="宋体"/>
                      <w:i/>
                      <w:iCs/>
                      <w:kern w:val="0"/>
                      <w:szCs w:val="21"/>
                      <w:u w:val="single"/>
                    </w:rPr>
                    <w:t>电容器</w:t>
                  </w:r>
                </w:p>
              </w:tc>
              <w:tc>
                <w:tcPr>
                  <w:tcW w:w="767" w:type="dxa"/>
                  <w:vAlign w:val="center"/>
                </w:tcPr>
                <w:p>
                  <w:pPr>
                    <w:widowControl/>
                    <w:jc w:val="center"/>
                    <w:rPr>
                      <w:i/>
                      <w:iCs/>
                      <w:szCs w:val="21"/>
                      <w:u w:val="single"/>
                    </w:rPr>
                  </w:pPr>
                  <w:r>
                    <w:rPr>
                      <w:i/>
                      <w:iCs/>
                      <w:kern w:val="0"/>
                      <w:szCs w:val="21"/>
                      <w:u w:val="single"/>
                    </w:rPr>
                    <w:t>HW10</w:t>
                  </w:r>
                </w:p>
              </w:tc>
              <w:tc>
                <w:tcPr>
                  <w:tcW w:w="1065" w:type="dxa"/>
                  <w:vAlign w:val="center"/>
                </w:tcPr>
                <w:p>
                  <w:pPr>
                    <w:widowControl/>
                    <w:jc w:val="center"/>
                    <w:rPr>
                      <w:i/>
                      <w:iCs/>
                      <w:szCs w:val="21"/>
                      <w:u w:val="single"/>
                    </w:rPr>
                  </w:pPr>
                  <w:r>
                    <w:rPr>
                      <w:i/>
                      <w:iCs/>
                      <w:kern w:val="0"/>
                      <w:szCs w:val="21"/>
                      <w:u w:val="single"/>
                    </w:rPr>
                    <w:t>900-008-10</w:t>
                  </w:r>
                </w:p>
              </w:tc>
              <w:tc>
                <w:tcPr>
                  <w:tcW w:w="696" w:type="dxa"/>
                  <w:vAlign w:val="center"/>
                </w:tcPr>
                <w:p>
                  <w:pPr>
                    <w:pStyle w:val="13"/>
                    <w:jc w:val="center"/>
                    <w:rPr>
                      <w:i/>
                      <w:iCs/>
                      <w:sz w:val="21"/>
                      <w:szCs w:val="21"/>
                      <w:u w:val="single"/>
                    </w:rPr>
                  </w:pPr>
                  <w:r>
                    <w:rPr>
                      <w:rFonts w:hint="eastAsia"/>
                      <w:i/>
                      <w:iCs/>
                      <w:sz w:val="21"/>
                      <w:szCs w:val="21"/>
                      <w:u w:val="single"/>
                    </w:rPr>
                    <w:t>0.15</w:t>
                  </w:r>
                </w:p>
              </w:tc>
              <w:tc>
                <w:tcPr>
                  <w:tcW w:w="1099" w:type="dxa"/>
                  <w:vAlign w:val="center"/>
                </w:tcPr>
                <w:p>
                  <w:pPr>
                    <w:pStyle w:val="13"/>
                    <w:jc w:val="center"/>
                    <w:rPr>
                      <w:rFonts w:ascii="宋体" w:hAnsi="宋体" w:cs="宋体"/>
                      <w:i/>
                      <w:iCs/>
                      <w:szCs w:val="21"/>
                      <w:u w:val="single"/>
                    </w:rPr>
                  </w:pPr>
                  <w:r>
                    <w:rPr>
                      <w:rFonts w:hint="eastAsia"/>
                      <w:i/>
                      <w:iCs/>
                      <w:sz w:val="21"/>
                      <w:szCs w:val="21"/>
                      <w:u w:val="single"/>
                    </w:rPr>
                    <w:t>0.15</w:t>
                  </w:r>
                </w:p>
              </w:tc>
              <w:tc>
                <w:tcPr>
                  <w:tcW w:w="1249" w:type="dxa"/>
                  <w:vAlign w:val="center"/>
                </w:tcPr>
                <w:p>
                  <w:pPr>
                    <w:widowControl/>
                    <w:jc w:val="center"/>
                    <w:rPr>
                      <w:i/>
                      <w:iCs/>
                      <w:szCs w:val="21"/>
                      <w:u w:val="single"/>
                    </w:rPr>
                  </w:pPr>
                  <w:r>
                    <w:rPr>
                      <w:rFonts w:hint="eastAsia" w:ascii="宋体" w:hAnsi="宋体" w:cs="宋体"/>
                      <w:i/>
                      <w:iCs/>
                      <w:kern w:val="0"/>
                      <w:szCs w:val="21"/>
                      <w:u w:val="single"/>
                    </w:rPr>
                    <w:t>拆解过程</w:t>
                  </w:r>
                </w:p>
              </w:tc>
              <w:tc>
                <w:tcPr>
                  <w:tcW w:w="376" w:type="dxa"/>
                  <w:vAlign w:val="center"/>
                </w:tcPr>
                <w:p>
                  <w:pPr>
                    <w:pStyle w:val="13"/>
                    <w:jc w:val="center"/>
                    <w:rPr>
                      <w:i/>
                      <w:iCs/>
                      <w:sz w:val="21"/>
                      <w:szCs w:val="21"/>
                      <w:u w:val="single"/>
                    </w:rPr>
                  </w:pPr>
                  <w:r>
                    <w:rPr>
                      <w:rFonts w:hint="eastAsia"/>
                      <w:i/>
                      <w:iCs/>
                      <w:sz w:val="21"/>
                      <w:szCs w:val="21"/>
                      <w:u w:val="single"/>
                    </w:rPr>
                    <w:t>固</w:t>
                  </w:r>
                </w:p>
              </w:tc>
              <w:tc>
                <w:tcPr>
                  <w:tcW w:w="1145" w:type="dxa"/>
                  <w:vMerge w:val="continue"/>
                  <w:vAlign w:val="center"/>
                </w:tcPr>
                <w:p>
                  <w:pPr>
                    <w:pStyle w:val="13"/>
                    <w:jc w:val="center"/>
                    <w:rPr>
                      <w:i/>
                      <w:iCs/>
                      <w:sz w:val="21"/>
                      <w:szCs w:val="21"/>
                      <w:u w:val="single"/>
                    </w:rPr>
                  </w:pPr>
                </w:p>
              </w:tc>
            </w:tr>
            <w:tr>
              <w:trPr>
                <w:trHeight w:val="430" w:hRule="atLeast"/>
              </w:trPr>
              <w:tc>
                <w:tcPr>
                  <w:tcW w:w="1749" w:type="dxa"/>
                  <w:vAlign w:val="center"/>
                </w:tcPr>
                <w:p>
                  <w:pPr>
                    <w:widowControl/>
                    <w:jc w:val="center"/>
                    <w:rPr>
                      <w:rFonts w:ascii="宋体" w:hAnsi="宋体" w:cs="宋体"/>
                      <w:i/>
                      <w:iCs/>
                      <w:kern w:val="0"/>
                      <w:szCs w:val="21"/>
                      <w:u w:val="single"/>
                    </w:rPr>
                  </w:pPr>
                  <w:r>
                    <w:rPr>
                      <w:rFonts w:hint="eastAsia" w:ascii="宋体" w:hAnsi="宋体" w:cs="宋体"/>
                      <w:i/>
                      <w:iCs/>
                      <w:kern w:val="0"/>
                      <w:szCs w:val="21"/>
                      <w:u w:val="single"/>
                    </w:rPr>
                    <w:t>油泥</w:t>
                  </w:r>
                </w:p>
              </w:tc>
              <w:tc>
                <w:tcPr>
                  <w:tcW w:w="767" w:type="dxa"/>
                  <w:vAlign w:val="center"/>
                </w:tcPr>
                <w:p>
                  <w:pPr>
                    <w:adjustRightInd w:val="0"/>
                    <w:snapToGrid w:val="0"/>
                    <w:jc w:val="center"/>
                    <w:rPr>
                      <w:i/>
                      <w:iCs/>
                      <w:szCs w:val="21"/>
                      <w:u w:val="single"/>
                    </w:rPr>
                  </w:pPr>
                  <w:r>
                    <w:rPr>
                      <w:rFonts w:hint="eastAsia"/>
                      <w:i/>
                      <w:iCs/>
                      <w:szCs w:val="21"/>
                      <w:u w:val="single"/>
                    </w:rPr>
                    <w:t>HW08</w:t>
                  </w:r>
                </w:p>
              </w:tc>
              <w:tc>
                <w:tcPr>
                  <w:tcW w:w="1065" w:type="dxa"/>
                  <w:vAlign w:val="center"/>
                </w:tcPr>
                <w:p>
                  <w:pPr>
                    <w:adjustRightInd w:val="0"/>
                    <w:snapToGrid w:val="0"/>
                    <w:jc w:val="center"/>
                    <w:rPr>
                      <w:i/>
                      <w:iCs/>
                      <w:szCs w:val="21"/>
                      <w:u w:val="single"/>
                    </w:rPr>
                  </w:pPr>
                  <w:r>
                    <w:rPr>
                      <w:rFonts w:hint="eastAsia"/>
                      <w:i/>
                      <w:iCs/>
                      <w:szCs w:val="21"/>
                      <w:u w:val="single"/>
                    </w:rPr>
                    <w:t>900-210-08</w:t>
                  </w:r>
                </w:p>
              </w:tc>
              <w:tc>
                <w:tcPr>
                  <w:tcW w:w="696" w:type="dxa"/>
                  <w:vAlign w:val="center"/>
                </w:tcPr>
                <w:p>
                  <w:pPr>
                    <w:pStyle w:val="13"/>
                    <w:jc w:val="center"/>
                    <w:rPr>
                      <w:i/>
                      <w:iCs/>
                      <w:sz w:val="21"/>
                      <w:szCs w:val="21"/>
                      <w:u w:val="single"/>
                    </w:rPr>
                  </w:pPr>
                  <w:r>
                    <w:rPr>
                      <w:rFonts w:hint="eastAsia"/>
                      <w:i/>
                      <w:iCs/>
                      <w:sz w:val="21"/>
                      <w:szCs w:val="21"/>
                      <w:u w:val="single"/>
                    </w:rPr>
                    <w:t>0.03</w:t>
                  </w:r>
                </w:p>
              </w:tc>
              <w:tc>
                <w:tcPr>
                  <w:tcW w:w="1099" w:type="dxa"/>
                  <w:vAlign w:val="center"/>
                </w:tcPr>
                <w:p>
                  <w:pPr>
                    <w:pStyle w:val="13"/>
                    <w:jc w:val="center"/>
                    <w:rPr>
                      <w:i/>
                      <w:iCs/>
                      <w:szCs w:val="21"/>
                      <w:u w:val="single"/>
                    </w:rPr>
                  </w:pPr>
                  <w:r>
                    <w:rPr>
                      <w:rFonts w:hint="eastAsia"/>
                      <w:i/>
                      <w:iCs/>
                      <w:sz w:val="21"/>
                      <w:szCs w:val="21"/>
                      <w:u w:val="single"/>
                    </w:rPr>
                    <w:t>0.03</w:t>
                  </w:r>
                </w:p>
              </w:tc>
              <w:tc>
                <w:tcPr>
                  <w:tcW w:w="1249" w:type="dxa"/>
                  <w:vAlign w:val="center"/>
                </w:tcPr>
                <w:p>
                  <w:pPr>
                    <w:widowControl/>
                    <w:jc w:val="center"/>
                    <w:rPr>
                      <w:rFonts w:ascii="宋体" w:hAnsi="宋体" w:cs="宋体"/>
                      <w:i/>
                      <w:iCs/>
                      <w:kern w:val="0"/>
                      <w:szCs w:val="21"/>
                      <w:u w:val="single"/>
                    </w:rPr>
                  </w:pPr>
                  <w:r>
                    <w:rPr>
                      <w:rFonts w:hint="eastAsia"/>
                      <w:i/>
                      <w:iCs/>
                      <w:szCs w:val="21"/>
                      <w:u w:val="single"/>
                    </w:rPr>
                    <w:t>沉淀产生的油泥</w:t>
                  </w:r>
                </w:p>
              </w:tc>
              <w:tc>
                <w:tcPr>
                  <w:tcW w:w="376" w:type="dxa"/>
                  <w:vAlign w:val="center"/>
                </w:tcPr>
                <w:p>
                  <w:pPr>
                    <w:pStyle w:val="13"/>
                    <w:jc w:val="center"/>
                    <w:rPr>
                      <w:i/>
                      <w:iCs/>
                      <w:sz w:val="21"/>
                      <w:szCs w:val="21"/>
                      <w:u w:val="single"/>
                    </w:rPr>
                  </w:pPr>
                  <w:r>
                    <w:rPr>
                      <w:rFonts w:hint="eastAsia"/>
                      <w:i/>
                      <w:iCs/>
                      <w:sz w:val="21"/>
                      <w:szCs w:val="21"/>
                      <w:u w:val="single"/>
                    </w:rPr>
                    <w:t>固</w:t>
                  </w:r>
                </w:p>
              </w:tc>
              <w:tc>
                <w:tcPr>
                  <w:tcW w:w="1145" w:type="dxa"/>
                  <w:vMerge w:val="continue"/>
                  <w:vAlign w:val="center"/>
                </w:tcPr>
                <w:p>
                  <w:pPr>
                    <w:pStyle w:val="13"/>
                    <w:jc w:val="center"/>
                    <w:rPr>
                      <w:i/>
                      <w:iCs/>
                      <w:sz w:val="21"/>
                      <w:szCs w:val="21"/>
                      <w:u w:val="single"/>
                    </w:rPr>
                  </w:pPr>
                </w:p>
              </w:tc>
            </w:tr>
            <w:tr>
              <w:trPr>
                <w:trHeight w:val="298" w:hRule="atLeast"/>
              </w:trPr>
              <w:tc>
                <w:tcPr>
                  <w:tcW w:w="1749" w:type="dxa"/>
                  <w:vAlign w:val="center"/>
                </w:tcPr>
                <w:p>
                  <w:pPr>
                    <w:widowControl/>
                    <w:jc w:val="center"/>
                    <w:rPr>
                      <w:rFonts w:ascii="宋体" w:hAnsi="宋体" w:cs="宋体"/>
                      <w:i/>
                      <w:iCs/>
                      <w:kern w:val="0"/>
                      <w:szCs w:val="21"/>
                      <w:u w:val="single"/>
                    </w:rPr>
                  </w:pPr>
                  <w:r>
                    <w:rPr>
                      <w:rFonts w:hint="eastAsia" w:ascii="宋体" w:hAnsi="宋体" w:cs="宋体"/>
                      <w:i/>
                      <w:iCs/>
                      <w:kern w:val="0"/>
                      <w:szCs w:val="21"/>
                      <w:u w:val="single"/>
                    </w:rPr>
                    <w:t>废手套、抹布</w:t>
                  </w:r>
                </w:p>
              </w:tc>
              <w:tc>
                <w:tcPr>
                  <w:tcW w:w="767" w:type="dxa"/>
                  <w:vAlign w:val="center"/>
                </w:tcPr>
                <w:p>
                  <w:pPr>
                    <w:adjustRightInd w:val="0"/>
                    <w:snapToGrid w:val="0"/>
                    <w:jc w:val="center"/>
                    <w:rPr>
                      <w:i/>
                      <w:iCs/>
                      <w:szCs w:val="21"/>
                      <w:u w:val="single"/>
                    </w:rPr>
                  </w:pPr>
                  <w:r>
                    <w:rPr>
                      <w:i/>
                      <w:iCs/>
                      <w:kern w:val="0"/>
                      <w:szCs w:val="21"/>
                      <w:u w:val="single"/>
                    </w:rPr>
                    <w:t>HW49</w:t>
                  </w:r>
                </w:p>
              </w:tc>
              <w:tc>
                <w:tcPr>
                  <w:tcW w:w="1065" w:type="dxa"/>
                  <w:vAlign w:val="center"/>
                </w:tcPr>
                <w:p>
                  <w:pPr>
                    <w:adjustRightInd w:val="0"/>
                    <w:snapToGrid w:val="0"/>
                    <w:jc w:val="center"/>
                    <w:rPr>
                      <w:i/>
                      <w:iCs/>
                      <w:szCs w:val="21"/>
                      <w:u w:val="single"/>
                    </w:rPr>
                  </w:pPr>
                  <w:r>
                    <w:rPr>
                      <w:rFonts w:hint="eastAsia"/>
                      <w:i/>
                      <w:iCs/>
                      <w:szCs w:val="21"/>
                      <w:u w:val="single"/>
                    </w:rPr>
                    <w:t>900-041-49</w:t>
                  </w:r>
                </w:p>
              </w:tc>
              <w:tc>
                <w:tcPr>
                  <w:tcW w:w="696" w:type="dxa"/>
                  <w:vAlign w:val="center"/>
                </w:tcPr>
                <w:p>
                  <w:pPr>
                    <w:pStyle w:val="13"/>
                    <w:jc w:val="center"/>
                    <w:rPr>
                      <w:i/>
                      <w:iCs/>
                      <w:sz w:val="21"/>
                      <w:szCs w:val="21"/>
                      <w:u w:val="single"/>
                    </w:rPr>
                  </w:pPr>
                  <w:r>
                    <w:rPr>
                      <w:rFonts w:hint="eastAsia"/>
                      <w:i/>
                      <w:iCs/>
                      <w:sz w:val="21"/>
                      <w:szCs w:val="21"/>
                      <w:u w:val="single"/>
                    </w:rPr>
                    <w:t>0.5</w:t>
                  </w:r>
                </w:p>
              </w:tc>
              <w:tc>
                <w:tcPr>
                  <w:tcW w:w="1099" w:type="dxa"/>
                  <w:vAlign w:val="center"/>
                </w:tcPr>
                <w:p>
                  <w:pPr>
                    <w:pStyle w:val="13"/>
                    <w:jc w:val="center"/>
                    <w:rPr>
                      <w:i/>
                      <w:iCs/>
                      <w:szCs w:val="21"/>
                      <w:u w:val="single"/>
                    </w:rPr>
                  </w:pPr>
                  <w:r>
                    <w:rPr>
                      <w:rFonts w:hint="eastAsia"/>
                      <w:i/>
                      <w:iCs/>
                      <w:sz w:val="21"/>
                      <w:szCs w:val="21"/>
                      <w:u w:val="single"/>
                    </w:rPr>
                    <w:t>0.5</w:t>
                  </w:r>
                </w:p>
              </w:tc>
              <w:tc>
                <w:tcPr>
                  <w:tcW w:w="1249" w:type="dxa"/>
                  <w:vAlign w:val="center"/>
                </w:tcPr>
                <w:p>
                  <w:pPr>
                    <w:widowControl/>
                    <w:jc w:val="center"/>
                    <w:rPr>
                      <w:i/>
                      <w:iCs/>
                      <w:szCs w:val="21"/>
                      <w:u w:val="single"/>
                    </w:rPr>
                  </w:pPr>
                  <w:r>
                    <w:rPr>
                      <w:rFonts w:hint="eastAsia"/>
                      <w:i/>
                      <w:iCs/>
                      <w:szCs w:val="21"/>
                      <w:u w:val="single"/>
                    </w:rPr>
                    <w:t>清理过程</w:t>
                  </w:r>
                </w:p>
              </w:tc>
              <w:tc>
                <w:tcPr>
                  <w:tcW w:w="376" w:type="dxa"/>
                  <w:vAlign w:val="center"/>
                </w:tcPr>
                <w:p>
                  <w:pPr>
                    <w:pStyle w:val="13"/>
                    <w:jc w:val="center"/>
                    <w:rPr>
                      <w:i/>
                      <w:iCs/>
                      <w:sz w:val="21"/>
                      <w:szCs w:val="21"/>
                      <w:u w:val="single"/>
                    </w:rPr>
                  </w:pPr>
                  <w:r>
                    <w:rPr>
                      <w:rFonts w:hint="eastAsia"/>
                      <w:i/>
                      <w:iCs/>
                      <w:sz w:val="21"/>
                      <w:szCs w:val="21"/>
                      <w:u w:val="single"/>
                    </w:rPr>
                    <w:t>固</w:t>
                  </w:r>
                </w:p>
              </w:tc>
              <w:tc>
                <w:tcPr>
                  <w:tcW w:w="1145" w:type="dxa"/>
                  <w:vMerge w:val="continue"/>
                  <w:vAlign w:val="center"/>
                </w:tcPr>
                <w:p>
                  <w:pPr>
                    <w:pStyle w:val="13"/>
                    <w:jc w:val="center"/>
                    <w:rPr>
                      <w:i/>
                      <w:iCs/>
                      <w:sz w:val="21"/>
                      <w:szCs w:val="21"/>
                      <w:u w:val="single"/>
                    </w:rPr>
                  </w:pPr>
                </w:p>
              </w:tc>
            </w:tr>
            <w:tr>
              <w:trPr>
                <w:trHeight w:val="298" w:hRule="atLeast"/>
              </w:trPr>
              <w:tc>
                <w:tcPr>
                  <w:tcW w:w="1749" w:type="dxa"/>
                  <w:vAlign w:val="center"/>
                </w:tcPr>
                <w:p>
                  <w:pPr>
                    <w:pStyle w:val="13"/>
                    <w:jc w:val="center"/>
                    <w:rPr>
                      <w:i/>
                      <w:iCs/>
                      <w:sz w:val="21"/>
                      <w:szCs w:val="21"/>
                      <w:u w:val="single"/>
                    </w:rPr>
                  </w:pPr>
                  <w:r>
                    <w:rPr>
                      <w:rFonts w:hint="eastAsia"/>
                      <w:i/>
                      <w:iCs/>
                      <w:sz w:val="21"/>
                      <w:szCs w:val="21"/>
                      <w:u w:val="single"/>
                    </w:rPr>
                    <w:t>废活性炭</w:t>
                  </w:r>
                </w:p>
              </w:tc>
              <w:tc>
                <w:tcPr>
                  <w:tcW w:w="767" w:type="dxa"/>
                  <w:vAlign w:val="center"/>
                </w:tcPr>
                <w:p>
                  <w:pPr>
                    <w:pStyle w:val="13"/>
                    <w:jc w:val="center"/>
                    <w:rPr>
                      <w:i/>
                      <w:iCs/>
                      <w:sz w:val="21"/>
                      <w:szCs w:val="21"/>
                      <w:u w:val="single"/>
                    </w:rPr>
                  </w:pPr>
                  <w:r>
                    <w:rPr>
                      <w:i/>
                      <w:iCs/>
                      <w:sz w:val="21"/>
                      <w:szCs w:val="21"/>
                      <w:u w:val="single"/>
                    </w:rPr>
                    <w:t>HW49</w:t>
                  </w:r>
                </w:p>
              </w:tc>
              <w:tc>
                <w:tcPr>
                  <w:tcW w:w="1065" w:type="dxa"/>
                  <w:vAlign w:val="center"/>
                </w:tcPr>
                <w:p>
                  <w:pPr>
                    <w:pStyle w:val="13"/>
                    <w:jc w:val="center"/>
                    <w:rPr>
                      <w:i/>
                      <w:iCs/>
                      <w:sz w:val="21"/>
                      <w:szCs w:val="21"/>
                      <w:u w:val="single"/>
                    </w:rPr>
                  </w:pPr>
                  <w:r>
                    <w:rPr>
                      <w:rFonts w:hint="eastAsia"/>
                      <w:i/>
                      <w:iCs/>
                      <w:sz w:val="21"/>
                      <w:szCs w:val="21"/>
                      <w:u w:val="single"/>
                    </w:rPr>
                    <w:t>900-039-49</w:t>
                  </w:r>
                </w:p>
              </w:tc>
              <w:tc>
                <w:tcPr>
                  <w:tcW w:w="696" w:type="dxa"/>
                  <w:vAlign w:val="center"/>
                </w:tcPr>
                <w:p>
                  <w:pPr>
                    <w:pStyle w:val="13"/>
                    <w:jc w:val="center"/>
                    <w:rPr>
                      <w:i/>
                      <w:iCs/>
                      <w:sz w:val="21"/>
                      <w:szCs w:val="21"/>
                      <w:u w:val="single"/>
                    </w:rPr>
                  </w:pPr>
                  <w:r>
                    <w:rPr>
                      <w:rFonts w:hint="eastAsia"/>
                      <w:i/>
                      <w:iCs/>
                      <w:sz w:val="21"/>
                      <w:szCs w:val="21"/>
                      <w:u w:val="single"/>
                    </w:rPr>
                    <w:t>0.23</w:t>
                  </w:r>
                </w:p>
              </w:tc>
              <w:tc>
                <w:tcPr>
                  <w:tcW w:w="1099" w:type="dxa"/>
                  <w:vAlign w:val="center"/>
                </w:tcPr>
                <w:p>
                  <w:pPr>
                    <w:pStyle w:val="13"/>
                    <w:jc w:val="center"/>
                    <w:rPr>
                      <w:rFonts w:ascii="宋体" w:hAnsi="宋体" w:cs="宋体"/>
                      <w:i/>
                      <w:iCs/>
                      <w:szCs w:val="21"/>
                      <w:u w:val="single"/>
                    </w:rPr>
                  </w:pPr>
                  <w:r>
                    <w:rPr>
                      <w:rFonts w:hint="eastAsia"/>
                      <w:i/>
                      <w:iCs/>
                      <w:sz w:val="21"/>
                      <w:szCs w:val="21"/>
                      <w:u w:val="single"/>
                    </w:rPr>
                    <w:t>0.23</w:t>
                  </w:r>
                </w:p>
              </w:tc>
              <w:tc>
                <w:tcPr>
                  <w:tcW w:w="1249" w:type="dxa"/>
                  <w:vAlign w:val="center"/>
                </w:tcPr>
                <w:p>
                  <w:pPr>
                    <w:widowControl/>
                    <w:jc w:val="center"/>
                    <w:rPr>
                      <w:rFonts w:ascii="宋体" w:hAnsi="宋体" w:cs="宋体"/>
                      <w:i/>
                      <w:iCs/>
                      <w:kern w:val="0"/>
                      <w:szCs w:val="21"/>
                      <w:u w:val="single"/>
                    </w:rPr>
                  </w:pPr>
                  <w:r>
                    <w:rPr>
                      <w:rFonts w:hint="eastAsia" w:ascii="宋体" w:hAnsi="宋体" w:cs="宋体"/>
                      <w:i/>
                      <w:iCs/>
                      <w:kern w:val="0"/>
                      <w:szCs w:val="21"/>
                      <w:u w:val="single"/>
                    </w:rPr>
                    <w:t>废气处理</w:t>
                  </w:r>
                </w:p>
              </w:tc>
              <w:tc>
                <w:tcPr>
                  <w:tcW w:w="376" w:type="dxa"/>
                  <w:vAlign w:val="center"/>
                </w:tcPr>
                <w:p>
                  <w:pPr>
                    <w:pStyle w:val="13"/>
                    <w:jc w:val="center"/>
                    <w:rPr>
                      <w:i/>
                      <w:iCs/>
                      <w:sz w:val="21"/>
                      <w:szCs w:val="21"/>
                      <w:u w:val="single"/>
                    </w:rPr>
                  </w:pPr>
                  <w:r>
                    <w:rPr>
                      <w:rFonts w:hint="eastAsia"/>
                      <w:i/>
                      <w:iCs/>
                      <w:sz w:val="21"/>
                      <w:szCs w:val="21"/>
                      <w:u w:val="single"/>
                    </w:rPr>
                    <w:t>固</w:t>
                  </w:r>
                </w:p>
              </w:tc>
              <w:tc>
                <w:tcPr>
                  <w:tcW w:w="1145" w:type="dxa"/>
                  <w:vMerge w:val="continue"/>
                  <w:vAlign w:val="center"/>
                </w:tcPr>
                <w:p>
                  <w:pPr>
                    <w:pStyle w:val="13"/>
                    <w:jc w:val="center"/>
                    <w:rPr>
                      <w:i/>
                      <w:iCs/>
                      <w:sz w:val="21"/>
                      <w:szCs w:val="21"/>
                      <w:u w:val="single"/>
                    </w:rPr>
                  </w:pPr>
                </w:p>
              </w:tc>
            </w:tr>
          </w:tbl>
          <w:p>
            <w:pPr>
              <w:pStyle w:val="13"/>
            </w:pPr>
          </w:p>
          <w:p>
            <w:pPr>
              <w:spacing w:line="360" w:lineRule="auto"/>
              <w:ind w:firstLine="480" w:firstLineChars="200"/>
              <w:rPr>
                <w:rFonts w:ascii="宋体" w:hAnsi="宋体" w:cs="宋体"/>
                <w:sz w:val="24"/>
              </w:rPr>
            </w:pPr>
            <w:r>
              <w:rPr>
                <w:rFonts w:hint="eastAsia" w:ascii="宋体" w:hAnsi="宋体" w:cs="宋体"/>
                <w:sz w:val="24"/>
              </w:rPr>
              <w:t>（2）污染防治措施</w:t>
            </w:r>
          </w:p>
          <w:p>
            <w:pPr>
              <w:spacing w:line="360" w:lineRule="auto"/>
              <w:ind w:firstLine="480" w:firstLineChars="200"/>
              <w:rPr>
                <w:rFonts w:ascii="宋体" w:hAnsi="宋体" w:cs="宋体"/>
                <w:kern w:val="0"/>
                <w:sz w:val="24"/>
              </w:rPr>
            </w:pPr>
            <w:r>
              <w:rPr>
                <w:rFonts w:ascii="宋体" w:hAnsi="宋体" w:cs="宋体"/>
                <w:kern w:val="0"/>
                <w:sz w:val="24"/>
              </w:rPr>
              <w:t>本项目报废农机拆解固体废物拆解、分类、暂存管理严格执行《报废农业机械回收拆解技术规范》（NY/T 2900-2022）附录 B《报废农业机械固体废物拆解和储存方法》 要求，拆解前、拆解过程、拆解后全过程分类管控；厂区设置一般工业固体废物暂存区、危险废物专用贮存库两大独立分区，分区物理隔离、标识清晰，杜绝不同类别固体废物混存、混放。</w:t>
            </w:r>
          </w:p>
          <w:p>
            <w:pPr>
              <w:jc w:val="center"/>
              <w:rPr>
                <w:rFonts w:ascii="宋体" w:hAnsi="宋体" w:cs="宋体"/>
                <w:b/>
                <w:sz w:val="24"/>
              </w:rPr>
            </w:pPr>
            <w:r>
              <w:rPr>
                <w:rFonts w:hint="eastAsia" w:ascii="宋体" w:hAnsi="宋体" w:cs="宋体"/>
                <w:b/>
                <w:sz w:val="24"/>
              </w:rPr>
              <w:t>表 4-15    固体废物拆解和储存管控清单（对应标准附录 B）</w:t>
            </w:r>
          </w:p>
          <w:tbl>
            <w:tblPr>
              <w:tblW w:w="8399"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700"/>
              <w:gridCol w:w="1445"/>
              <w:gridCol w:w="2641"/>
              <w:gridCol w:w="2613"/>
            </w:tblGrid>
            <w:tr>
              <w:tc>
                <w:tcPr>
                  <w:tcW w:w="1700" w:type="dxa"/>
                  <w:vAlign w:val="center"/>
                </w:tcPr>
                <w:p>
                  <w:pPr>
                    <w:adjustRightInd w:val="0"/>
                    <w:snapToGrid w:val="0"/>
                    <w:rPr>
                      <w:rFonts w:ascii="Calibri" w:hAnsi="Calibri"/>
                      <w:i/>
                      <w:iCs/>
                      <w:sz w:val="21"/>
                      <w:szCs w:val="21"/>
                      <w:u w:val="single"/>
                    </w:rPr>
                  </w:pPr>
                  <w:r>
                    <w:rPr>
                      <w:rFonts w:ascii="Calibri" w:hAnsi="Calibri"/>
                      <w:i/>
                      <w:iCs/>
                      <w:sz w:val="21"/>
                      <w:szCs w:val="21"/>
                      <w:u w:val="single"/>
                    </w:rPr>
                    <w:t>固体废物类别</w:t>
                  </w:r>
                </w:p>
              </w:tc>
              <w:tc>
                <w:tcPr>
                  <w:tcW w:w="1445" w:type="dxa"/>
                  <w:vAlign w:val="center"/>
                </w:tcPr>
                <w:p>
                  <w:pPr>
                    <w:adjustRightInd w:val="0"/>
                    <w:snapToGrid w:val="0"/>
                    <w:rPr>
                      <w:rFonts w:ascii="Calibri" w:hAnsi="Calibri"/>
                      <w:i/>
                      <w:iCs/>
                      <w:sz w:val="21"/>
                      <w:szCs w:val="21"/>
                      <w:u w:val="single"/>
                    </w:rPr>
                  </w:pPr>
                  <w:r>
                    <w:rPr>
                      <w:rFonts w:ascii="Calibri" w:hAnsi="Calibri"/>
                      <w:i/>
                      <w:iCs/>
                      <w:sz w:val="21"/>
                      <w:szCs w:val="21"/>
                      <w:u w:val="single"/>
                    </w:rPr>
                    <w:t>包含物料</w:t>
                  </w:r>
                </w:p>
              </w:tc>
              <w:tc>
                <w:tcPr>
                  <w:tcW w:w="2641" w:type="dxa"/>
                  <w:vAlign w:val="center"/>
                </w:tcPr>
                <w:p>
                  <w:pPr>
                    <w:adjustRightInd w:val="0"/>
                    <w:snapToGrid w:val="0"/>
                    <w:rPr>
                      <w:rFonts w:ascii="Calibri" w:hAnsi="Calibri"/>
                      <w:i/>
                      <w:iCs/>
                      <w:sz w:val="21"/>
                      <w:szCs w:val="21"/>
                      <w:u w:val="single"/>
                    </w:rPr>
                  </w:pPr>
                  <w:r>
                    <w:rPr>
                      <w:rFonts w:ascii="Calibri" w:hAnsi="Calibri"/>
                      <w:i/>
                      <w:iCs/>
                      <w:sz w:val="21"/>
                      <w:szCs w:val="21"/>
                      <w:u w:val="single"/>
                    </w:rPr>
                    <w:t>标准化拆解操作要求</w:t>
                  </w:r>
                </w:p>
              </w:tc>
              <w:tc>
                <w:tcPr>
                  <w:tcW w:w="2613" w:type="dxa"/>
                  <w:vAlign w:val="center"/>
                </w:tcPr>
                <w:p>
                  <w:pPr>
                    <w:adjustRightInd w:val="0"/>
                    <w:snapToGrid w:val="0"/>
                    <w:rPr>
                      <w:rFonts w:ascii="Calibri" w:hAnsi="Calibri"/>
                      <w:i/>
                      <w:iCs/>
                      <w:sz w:val="21"/>
                      <w:szCs w:val="21"/>
                      <w:u w:val="single"/>
                    </w:rPr>
                  </w:pPr>
                  <w:r>
                    <w:rPr>
                      <w:rFonts w:ascii="Calibri" w:hAnsi="Calibri"/>
                      <w:i/>
                      <w:iCs/>
                      <w:sz w:val="21"/>
                      <w:szCs w:val="21"/>
                      <w:u w:val="single"/>
                    </w:rPr>
                    <w:t>储存方法及管控要点</w:t>
                  </w:r>
                </w:p>
              </w:tc>
            </w:tr>
            <w:tr>
              <w:tc>
                <w:tcPr>
                  <w:tcW w:w="1700" w:type="dxa"/>
                  <w:vAlign w:val="center"/>
                </w:tcPr>
                <w:p>
                  <w:pPr>
                    <w:adjustRightInd w:val="0"/>
                    <w:snapToGrid w:val="0"/>
                    <w:rPr>
                      <w:rFonts w:ascii="Calibri" w:hAnsi="Calibri"/>
                      <w:i/>
                      <w:iCs/>
                      <w:sz w:val="21"/>
                      <w:szCs w:val="21"/>
                      <w:u w:val="single"/>
                    </w:rPr>
                  </w:pPr>
                  <w:r>
                    <w:rPr>
                      <w:rFonts w:ascii="Calibri" w:hAnsi="Calibri"/>
                      <w:i/>
                      <w:iCs/>
                      <w:sz w:val="21"/>
                      <w:szCs w:val="21"/>
                      <w:u w:val="single"/>
                    </w:rPr>
                    <w:t>废油类（HW08）</w:t>
                  </w:r>
                </w:p>
              </w:tc>
              <w:tc>
                <w:tcPr>
                  <w:tcW w:w="1445" w:type="dxa"/>
                  <w:vAlign w:val="center"/>
                </w:tcPr>
                <w:p>
                  <w:pPr>
                    <w:adjustRightInd w:val="0"/>
                    <w:snapToGrid w:val="0"/>
                    <w:rPr>
                      <w:rFonts w:ascii="Calibri" w:hAnsi="Calibri"/>
                      <w:i/>
                      <w:iCs/>
                      <w:sz w:val="21"/>
                      <w:szCs w:val="21"/>
                      <w:u w:val="single"/>
                    </w:rPr>
                  </w:pPr>
                  <w:r>
                    <w:rPr>
                      <w:rFonts w:ascii="Calibri" w:hAnsi="Calibri"/>
                      <w:i/>
                      <w:iCs/>
                      <w:sz w:val="21"/>
                      <w:szCs w:val="21"/>
                      <w:u w:val="single"/>
                    </w:rPr>
                    <w:t>废机油、剩余燃油、齿轮油、液压油、废油箱残油</w:t>
                  </w:r>
                </w:p>
              </w:tc>
              <w:tc>
                <w:tcPr>
                  <w:tcW w:w="2641" w:type="dxa"/>
                  <w:vAlign w:val="center"/>
                </w:tcPr>
                <w:p>
                  <w:pPr>
                    <w:adjustRightInd w:val="0"/>
                    <w:snapToGrid w:val="0"/>
                    <w:rPr>
                      <w:rFonts w:ascii="Calibri" w:hAnsi="Calibri"/>
                      <w:i/>
                      <w:iCs/>
                      <w:sz w:val="21"/>
                      <w:szCs w:val="21"/>
                      <w:u w:val="single"/>
                    </w:rPr>
                  </w:pPr>
                  <w:r>
                    <w:rPr>
                      <w:rFonts w:ascii="Calibri" w:hAnsi="Calibri"/>
                      <w:i/>
                      <w:iCs/>
                      <w:sz w:val="21"/>
                      <w:szCs w:val="21"/>
                      <w:u w:val="single"/>
                    </w:rPr>
                    <w:t>农机进场优先开展预拆解抽液工序；使用密闭抽油设备，严禁直接倾倒、流淌；拆解废油箱前必须彻底排空内部残余油料；禁止使用压缩空气吹扫带油零部件防止油雾扩散</w:t>
                  </w:r>
                </w:p>
              </w:tc>
              <w:tc>
                <w:tcPr>
                  <w:tcW w:w="2613" w:type="dxa"/>
                  <w:vAlign w:val="center"/>
                </w:tcPr>
                <w:p>
                  <w:pPr>
                    <w:adjustRightInd w:val="0"/>
                    <w:snapToGrid w:val="0"/>
                    <w:rPr>
                      <w:rFonts w:ascii="Calibri" w:hAnsi="Calibri"/>
                      <w:i/>
                      <w:iCs/>
                      <w:sz w:val="21"/>
                      <w:szCs w:val="21"/>
                      <w:u w:val="single"/>
                    </w:rPr>
                  </w:pPr>
                  <w:r>
                    <w:rPr>
                      <w:rFonts w:ascii="Calibri" w:hAnsi="Calibri"/>
                      <w:i/>
                      <w:iCs/>
                      <w:sz w:val="21"/>
                      <w:szCs w:val="21"/>
                      <w:u w:val="single"/>
                    </w:rPr>
                    <w:t>全部收集至耐油密闭金属储油桶；储油桶放置于危废库防渗托盘内；不同油品可统一收集，但严禁与防冻液、制动液、清洗剂、废液混合存放；远离热源、明火；桶盖长期密闭。</w:t>
                  </w:r>
                </w:p>
              </w:tc>
            </w:tr>
            <w:tr>
              <w:tc>
                <w:tcPr>
                  <w:tcW w:w="1700" w:type="dxa"/>
                  <w:vAlign w:val="center"/>
                </w:tcPr>
                <w:p>
                  <w:pPr>
                    <w:adjustRightInd w:val="0"/>
                    <w:snapToGrid w:val="0"/>
                    <w:rPr>
                      <w:rFonts w:ascii="Calibri" w:hAnsi="Calibri"/>
                      <w:i/>
                      <w:iCs/>
                      <w:sz w:val="21"/>
                      <w:szCs w:val="21"/>
                      <w:u w:val="single"/>
                    </w:rPr>
                  </w:pPr>
                  <w:r>
                    <w:rPr>
                      <w:rFonts w:ascii="Calibri" w:hAnsi="Calibri"/>
                      <w:i/>
                      <w:iCs/>
                      <w:sz w:val="21"/>
                      <w:szCs w:val="21"/>
                      <w:u w:val="single"/>
                    </w:rPr>
                    <w:t>防冻液、制动液（HW06）</w:t>
                  </w:r>
                </w:p>
              </w:tc>
              <w:tc>
                <w:tcPr>
                  <w:tcW w:w="1445" w:type="dxa"/>
                  <w:vAlign w:val="center"/>
                </w:tcPr>
                <w:p>
                  <w:pPr>
                    <w:adjustRightInd w:val="0"/>
                    <w:snapToGrid w:val="0"/>
                    <w:rPr>
                      <w:rFonts w:ascii="Calibri" w:hAnsi="Calibri"/>
                      <w:i/>
                      <w:iCs/>
                      <w:sz w:val="21"/>
                      <w:szCs w:val="21"/>
                      <w:u w:val="single"/>
                    </w:rPr>
                  </w:pPr>
                  <w:r>
                    <w:rPr>
                      <w:rFonts w:ascii="Calibri" w:hAnsi="Calibri"/>
                      <w:i/>
                      <w:iCs/>
                      <w:sz w:val="21"/>
                      <w:szCs w:val="21"/>
                      <w:u w:val="single"/>
                    </w:rPr>
                    <w:t>废乙二醇防冻液、废制动液</w:t>
                  </w:r>
                </w:p>
              </w:tc>
              <w:tc>
                <w:tcPr>
                  <w:tcW w:w="2641" w:type="dxa"/>
                  <w:vAlign w:val="center"/>
                </w:tcPr>
                <w:p>
                  <w:pPr>
                    <w:adjustRightInd w:val="0"/>
                    <w:snapToGrid w:val="0"/>
                    <w:rPr>
                      <w:rFonts w:ascii="Calibri" w:hAnsi="Calibri"/>
                      <w:i/>
                      <w:iCs/>
                      <w:sz w:val="21"/>
                      <w:szCs w:val="21"/>
                      <w:u w:val="single"/>
                    </w:rPr>
                  </w:pPr>
                  <w:r>
                    <w:rPr>
                      <w:rFonts w:ascii="Calibri" w:hAnsi="Calibri"/>
                      <w:i/>
                      <w:iCs/>
                      <w:sz w:val="21"/>
                      <w:szCs w:val="21"/>
                      <w:u w:val="single"/>
                    </w:rPr>
                    <w:t>独立管路抽取，单独收集，不得混入矿物油收集桶</w:t>
                  </w:r>
                </w:p>
              </w:tc>
              <w:tc>
                <w:tcPr>
                  <w:tcW w:w="2613" w:type="dxa"/>
                  <w:vAlign w:val="center"/>
                </w:tcPr>
                <w:p>
                  <w:pPr>
                    <w:adjustRightInd w:val="0"/>
                    <w:snapToGrid w:val="0"/>
                    <w:rPr>
                      <w:rFonts w:ascii="Calibri" w:hAnsi="Calibri"/>
                      <w:i/>
                      <w:iCs/>
                      <w:sz w:val="21"/>
                      <w:szCs w:val="21"/>
                      <w:u w:val="single"/>
                    </w:rPr>
                  </w:pPr>
                  <w:r>
                    <w:rPr>
                      <w:rFonts w:ascii="Calibri" w:hAnsi="Calibri"/>
                      <w:i/>
                      <w:iCs/>
                      <w:sz w:val="21"/>
                      <w:szCs w:val="21"/>
                      <w:u w:val="single"/>
                    </w:rPr>
                    <w:t>使用专用密闭塑料 / 金属容器单独分区存放，与废油类物理隔开；防止泄漏、挥发。</w:t>
                  </w:r>
                </w:p>
              </w:tc>
            </w:tr>
            <w:tr>
              <w:tc>
                <w:tcPr>
                  <w:tcW w:w="1700" w:type="dxa"/>
                  <w:vAlign w:val="center"/>
                </w:tcPr>
                <w:p>
                  <w:pPr>
                    <w:adjustRightInd w:val="0"/>
                    <w:snapToGrid w:val="0"/>
                    <w:rPr>
                      <w:rFonts w:ascii="Calibri" w:hAnsi="Calibri"/>
                      <w:i/>
                      <w:iCs/>
                      <w:sz w:val="21"/>
                      <w:szCs w:val="21"/>
                      <w:u w:val="single"/>
                    </w:rPr>
                  </w:pPr>
                  <w:r>
                    <w:rPr>
                      <w:rFonts w:ascii="Calibri" w:hAnsi="Calibri"/>
                      <w:i/>
                      <w:iCs/>
                      <w:sz w:val="21"/>
                      <w:szCs w:val="21"/>
                      <w:u w:val="single"/>
                    </w:rPr>
                    <w:t>废铅酸蓄电池（HW31）</w:t>
                  </w:r>
                </w:p>
              </w:tc>
              <w:tc>
                <w:tcPr>
                  <w:tcW w:w="1445" w:type="dxa"/>
                  <w:vAlign w:val="center"/>
                </w:tcPr>
                <w:p>
                  <w:pPr>
                    <w:adjustRightInd w:val="0"/>
                    <w:snapToGrid w:val="0"/>
                    <w:rPr>
                      <w:rFonts w:ascii="Calibri" w:hAnsi="Calibri"/>
                      <w:i/>
                      <w:iCs/>
                      <w:sz w:val="21"/>
                      <w:szCs w:val="21"/>
                      <w:u w:val="single"/>
                    </w:rPr>
                  </w:pPr>
                  <w:r>
                    <w:rPr>
                      <w:rFonts w:ascii="Calibri" w:hAnsi="Calibri"/>
                      <w:i/>
                      <w:iCs/>
                      <w:sz w:val="21"/>
                      <w:szCs w:val="21"/>
                      <w:u w:val="single"/>
                    </w:rPr>
                    <w:t>农机启动铅蓄电池</w:t>
                  </w:r>
                </w:p>
              </w:tc>
              <w:tc>
                <w:tcPr>
                  <w:tcW w:w="2641" w:type="dxa"/>
                  <w:vAlign w:val="center"/>
                </w:tcPr>
                <w:p>
                  <w:pPr>
                    <w:adjustRightInd w:val="0"/>
                    <w:snapToGrid w:val="0"/>
                    <w:rPr>
                      <w:rFonts w:ascii="Calibri" w:hAnsi="Calibri"/>
                      <w:i/>
                      <w:iCs/>
                      <w:sz w:val="21"/>
                      <w:szCs w:val="21"/>
                      <w:u w:val="single"/>
                    </w:rPr>
                  </w:pPr>
                  <w:r>
                    <w:rPr>
                      <w:rFonts w:ascii="Calibri" w:hAnsi="Calibri"/>
                      <w:i/>
                      <w:iCs/>
                      <w:sz w:val="21"/>
                      <w:szCs w:val="21"/>
                      <w:u w:val="single"/>
                    </w:rPr>
                    <w:t>预拆解阶段优先拆除蓄电池；轻拿轻放，严禁摔砸、穿刺壳体，防止电解液泄漏；破损漏液蓄电池单独隔离处置</w:t>
                  </w:r>
                </w:p>
              </w:tc>
              <w:tc>
                <w:tcPr>
                  <w:tcW w:w="2613" w:type="dxa"/>
                  <w:vAlign w:val="center"/>
                </w:tcPr>
                <w:p>
                  <w:pPr>
                    <w:adjustRightInd w:val="0"/>
                    <w:snapToGrid w:val="0"/>
                    <w:rPr>
                      <w:rFonts w:ascii="Calibri" w:hAnsi="Calibri"/>
                      <w:i/>
                      <w:iCs/>
                      <w:sz w:val="21"/>
                      <w:szCs w:val="21"/>
                      <w:u w:val="single"/>
                    </w:rPr>
                  </w:pPr>
                  <w:r>
                    <w:rPr>
                      <w:rFonts w:ascii="Calibri" w:hAnsi="Calibri"/>
                      <w:i/>
                      <w:iCs/>
                      <w:sz w:val="21"/>
                      <w:szCs w:val="21"/>
                      <w:u w:val="single"/>
                    </w:rPr>
                    <w:t>蓄电池直立存放，禁止倒置、堆叠过高；设置防腐防渗围堰；破损电池单独隔离区存放；避免雨水淋溶。</w:t>
                  </w:r>
                </w:p>
              </w:tc>
            </w:tr>
            <w:tr>
              <w:tc>
                <w:tcPr>
                  <w:tcW w:w="1700" w:type="dxa"/>
                  <w:vAlign w:val="center"/>
                </w:tcPr>
                <w:p>
                  <w:pPr>
                    <w:adjustRightInd w:val="0"/>
                    <w:snapToGrid w:val="0"/>
                    <w:rPr>
                      <w:rFonts w:ascii="Calibri" w:hAnsi="Calibri"/>
                      <w:i/>
                      <w:iCs/>
                      <w:sz w:val="21"/>
                      <w:szCs w:val="21"/>
                      <w:u w:val="single"/>
                    </w:rPr>
                  </w:pPr>
                  <w:r>
                    <w:rPr>
                      <w:rFonts w:ascii="Calibri" w:hAnsi="Calibri"/>
                      <w:i/>
                      <w:iCs/>
                      <w:sz w:val="21"/>
                      <w:szCs w:val="21"/>
                      <w:u w:val="single"/>
                    </w:rPr>
                    <w:t>废滤清器、沾染残油金属构件（HW08）</w:t>
                  </w:r>
                </w:p>
              </w:tc>
              <w:tc>
                <w:tcPr>
                  <w:tcW w:w="1445" w:type="dxa"/>
                  <w:vAlign w:val="center"/>
                </w:tcPr>
                <w:p>
                  <w:pPr>
                    <w:adjustRightInd w:val="0"/>
                    <w:snapToGrid w:val="0"/>
                    <w:rPr>
                      <w:rFonts w:ascii="Calibri" w:hAnsi="Calibri"/>
                      <w:i/>
                      <w:iCs/>
                      <w:sz w:val="21"/>
                      <w:szCs w:val="21"/>
                      <w:u w:val="single"/>
                    </w:rPr>
                  </w:pPr>
                  <w:r>
                    <w:rPr>
                      <w:rFonts w:ascii="Calibri" w:hAnsi="Calibri"/>
                      <w:i/>
                      <w:iCs/>
                      <w:sz w:val="21"/>
                      <w:szCs w:val="21"/>
                      <w:u w:val="single"/>
                    </w:rPr>
                    <w:t>废机油滤清器、沾染燃油废油箱</w:t>
                  </w:r>
                </w:p>
              </w:tc>
              <w:tc>
                <w:tcPr>
                  <w:tcW w:w="2641" w:type="dxa"/>
                  <w:vAlign w:val="center"/>
                </w:tcPr>
                <w:p>
                  <w:pPr>
                    <w:adjustRightInd w:val="0"/>
                    <w:snapToGrid w:val="0"/>
                    <w:rPr>
                      <w:rFonts w:ascii="Calibri" w:hAnsi="Calibri"/>
                      <w:i/>
                      <w:iCs/>
                      <w:sz w:val="21"/>
                      <w:szCs w:val="21"/>
                      <w:u w:val="single"/>
                    </w:rPr>
                  </w:pPr>
                  <w:r>
                    <w:rPr>
                      <w:rFonts w:ascii="Calibri" w:hAnsi="Calibri"/>
                      <w:i/>
                      <w:iCs/>
                      <w:sz w:val="21"/>
                      <w:szCs w:val="21"/>
                      <w:u w:val="single"/>
                    </w:rPr>
                    <w:t>拆解后控干内部残油，不得随意露天堆放</w:t>
                  </w:r>
                </w:p>
              </w:tc>
              <w:tc>
                <w:tcPr>
                  <w:tcW w:w="2613" w:type="dxa"/>
                  <w:vAlign w:val="center"/>
                </w:tcPr>
                <w:p>
                  <w:pPr>
                    <w:adjustRightInd w:val="0"/>
                    <w:snapToGrid w:val="0"/>
                    <w:rPr>
                      <w:rFonts w:ascii="Calibri" w:hAnsi="Calibri"/>
                      <w:i/>
                      <w:iCs/>
                      <w:sz w:val="21"/>
                      <w:szCs w:val="21"/>
                      <w:u w:val="single"/>
                    </w:rPr>
                  </w:pPr>
                  <w:r>
                    <w:rPr>
                      <w:rFonts w:ascii="Calibri" w:hAnsi="Calibri"/>
                      <w:i/>
                      <w:iCs/>
                      <w:sz w:val="21"/>
                      <w:szCs w:val="21"/>
                      <w:u w:val="single"/>
                    </w:rPr>
                    <w:t>密闭分区存放于危废库；滤器开口端朝下沥油，下方设置接油托盘。</w:t>
                  </w:r>
                </w:p>
              </w:tc>
            </w:tr>
            <w:tr>
              <w:tc>
                <w:tcPr>
                  <w:tcW w:w="1700" w:type="dxa"/>
                  <w:vAlign w:val="center"/>
                </w:tcPr>
                <w:p>
                  <w:pPr>
                    <w:adjustRightInd w:val="0"/>
                    <w:snapToGrid w:val="0"/>
                    <w:rPr>
                      <w:rFonts w:ascii="Calibri" w:hAnsi="Calibri"/>
                      <w:i/>
                      <w:iCs/>
                      <w:sz w:val="21"/>
                      <w:szCs w:val="21"/>
                      <w:u w:val="single"/>
                    </w:rPr>
                  </w:pPr>
                  <w:r>
                    <w:rPr>
                      <w:rFonts w:ascii="Calibri" w:hAnsi="Calibri"/>
                      <w:i/>
                      <w:iCs/>
                      <w:sz w:val="21"/>
                      <w:szCs w:val="21"/>
                      <w:u w:val="single"/>
                    </w:rPr>
                    <w:t>尾气净化装置（HW50）</w:t>
                  </w:r>
                </w:p>
              </w:tc>
              <w:tc>
                <w:tcPr>
                  <w:tcW w:w="1445" w:type="dxa"/>
                  <w:vAlign w:val="center"/>
                </w:tcPr>
                <w:p>
                  <w:pPr>
                    <w:adjustRightInd w:val="0"/>
                    <w:snapToGrid w:val="0"/>
                    <w:rPr>
                      <w:rFonts w:ascii="Calibri" w:hAnsi="Calibri"/>
                      <w:i/>
                      <w:iCs/>
                      <w:sz w:val="21"/>
                      <w:szCs w:val="21"/>
                      <w:u w:val="single"/>
                    </w:rPr>
                  </w:pPr>
                  <w:r>
                    <w:rPr>
                      <w:rFonts w:ascii="Calibri" w:hAnsi="Calibri"/>
                      <w:i/>
                      <w:iCs/>
                      <w:sz w:val="21"/>
                      <w:szCs w:val="21"/>
                      <w:u w:val="single"/>
                    </w:rPr>
                    <w:t>三元催化器、尾气废催化剂</w:t>
                  </w:r>
                </w:p>
              </w:tc>
              <w:tc>
                <w:tcPr>
                  <w:tcW w:w="2641" w:type="dxa"/>
                  <w:vAlign w:val="center"/>
                </w:tcPr>
                <w:p>
                  <w:pPr>
                    <w:adjustRightInd w:val="0"/>
                    <w:snapToGrid w:val="0"/>
                    <w:rPr>
                      <w:rFonts w:ascii="Calibri" w:hAnsi="Calibri"/>
                      <w:i/>
                      <w:iCs/>
                      <w:sz w:val="21"/>
                      <w:szCs w:val="21"/>
                      <w:u w:val="single"/>
                    </w:rPr>
                  </w:pPr>
                  <w:r>
                    <w:rPr>
                      <w:rFonts w:ascii="Calibri" w:hAnsi="Calibri"/>
                      <w:i/>
                      <w:iCs/>
                      <w:sz w:val="21"/>
                      <w:szCs w:val="21"/>
                      <w:u w:val="single"/>
                    </w:rPr>
                    <w:t>完整拆解，避免破碎造成催化剂粉体散落</w:t>
                  </w:r>
                </w:p>
              </w:tc>
              <w:tc>
                <w:tcPr>
                  <w:tcW w:w="2613" w:type="dxa"/>
                  <w:vAlign w:val="center"/>
                </w:tcPr>
                <w:p>
                  <w:pPr>
                    <w:adjustRightInd w:val="0"/>
                    <w:snapToGrid w:val="0"/>
                    <w:rPr>
                      <w:rFonts w:ascii="Calibri" w:hAnsi="Calibri"/>
                      <w:i/>
                      <w:iCs/>
                      <w:sz w:val="21"/>
                      <w:szCs w:val="21"/>
                      <w:u w:val="single"/>
                    </w:rPr>
                  </w:pPr>
                  <w:r>
                    <w:rPr>
                      <w:rFonts w:ascii="Calibri" w:hAnsi="Calibri"/>
                      <w:i/>
                      <w:iCs/>
                      <w:sz w:val="21"/>
                      <w:szCs w:val="21"/>
                      <w:u w:val="single"/>
                    </w:rPr>
                    <w:t>整体密闭存放，不得破碎筛分，独立区域存放。</w:t>
                  </w:r>
                </w:p>
              </w:tc>
            </w:tr>
            <w:tr>
              <w:tc>
                <w:tcPr>
                  <w:tcW w:w="1700" w:type="dxa"/>
                  <w:vAlign w:val="center"/>
                </w:tcPr>
                <w:p>
                  <w:pPr>
                    <w:adjustRightInd w:val="0"/>
                    <w:snapToGrid w:val="0"/>
                    <w:rPr>
                      <w:rFonts w:ascii="Calibri" w:hAnsi="Calibri"/>
                      <w:i/>
                      <w:iCs/>
                      <w:sz w:val="21"/>
                      <w:szCs w:val="21"/>
                      <w:u w:val="single"/>
                    </w:rPr>
                  </w:pPr>
                  <w:r>
                    <w:rPr>
                      <w:rFonts w:ascii="Calibri" w:hAnsi="Calibri"/>
                      <w:i/>
                      <w:iCs/>
                      <w:sz w:val="21"/>
                      <w:szCs w:val="21"/>
                      <w:u w:val="single"/>
                    </w:rPr>
                    <w:t>电子危险元器件（HW49/HW10）</w:t>
                  </w:r>
                </w:p>
              </w:tc>
              <w:tc>
                <w:tcPr>
                  <w:tcW w:w="1445" w:type="dxa"/>
                  <w:vAlign w:val="center"/>
                </w:tcPr>
                <w:p>
                  <w:pPr>
                    <w:adjustRightInd w:val="0"/>
                    <w:snapToGrid w:val="0"/>
                    <w:rPr>
                      <w:rFonts w:ascii="Calibri" w:hAnsi="Calibri"/>
                      <w:i/>
                      <w:iCs/>
                      <w:sz w:val="21"/>
                      <w:szCs w:val="21"/>
                      <w:u w:val="single"/>
                    </w:rPr>
                  </w:pPr>
                  <w:r>
                    <w:rPr>
                      <w:rFonts w:ascii="Calibri" w:hAnsi="Calibri"/>
                      <w:i/>
                      <w:iCs/>
                      <w:sz w:val="21"/>
                      <w:szCs w:val="21"/>
                      <w:u w:val="single"/>
                    </w:rPr>
                    <w:t>废电路板、含汞开关、含多氯联苯电容器</w:t>
                  </w:r>
                </w:p>
              </w:tc>
              <w:tc>
                <w:tcPr>
                  <w:tcW w:w="2641" w:type="dxa"/>
                  <w:vAlign w:val="center"/>
                </w:tcPr>
                <w:p>
                  <w:pPr>
                    <w:adjustRightInd w:val="0"/>
                    <w:snapToGrid w:val="0"/>
                    <w:rPr>
                      <w:rFonts w:ascii="Calibri" w:hAnsi="Calibri"/>
                      <w:i/>
                      <w:iCs/>
                      <w:sz w:val="21"/>
                      <w:szCs w:val="21"/>
                      <w:u w:val="single"/>
                    </w:rPr>
                  </w:pPr>
                  <w:r>
                    <w:rPr>
                      <w:rFonts w:ascii="Calibri" w:hAnsi="Calibri"/>
                      <w:i/>
                      <w:iCs/>
                      <w:sz w:val="21"/>
                      <w:szCs w:val="21"/>
                      <w:u w:val="single"/>
                    </w:rPr>
                    <w:t>完整拆解，避免暴力破碎；分类分拣</w:t>
                  </w:r>
                </w:p>
              </w:tc>
              <w:tc>
                <w:tcPr>
                  <w:tcW w:w="2613" w:type="dxa"/>
                  <w:vAlign w:val="center"/>
                </w:tcPr>
                <w:p>
                  <w:pPr>
                    <w:adjustRightInd w:val="0"/>
                    <w:snapToGrid w:val="0"/>
                    <w:rPr>
                      <w:rFonts w:ascii="Calibri" w:hAnsi="Calibri"/>
                      <w:i/>
                      <w:iCs/>
                      <w:sz w:val="21"/>
                      <w:szCs w:val="21"/>
                      <w:u w:val="single"/>
                    </w:rPr>
                  </w:pPr>
                  <w:r>
                    <w:rPr>
                      <w:rFonts w:ascii="Calibri" w:hAnsi="Calibri"/>
                      <w:i/>
                      <w:iCs/>
                      <w:sz w:val="21"/>
                      <w:szCs w:val="21"/>
                      <w:u w:val="single"/>
                    </w:rPr>
                    <w:t>单独设置货架分区存放；电容器区分普通电容与含 PCBs 危废电容，分开标识。</w:t>
                  </w:r>
                </w:p>
              </w:tc>
            </w:tr>
            <w:tr>
              <w:tc>
                <w:tcPr>
                  <w:tcW w:w="1700" w:type="dxa"/>
                  <w:vAlign w:val="center"/>
                </w:tcPr>
                <w:p>
                  <w:pPr>
                    <w:adjustRightInd w:val="0"/>
                    <w:snapToGrid w:val="0"/>
                    <w:rPr>
                      <w:rFonts w:ascii="Calibri" w:hAnsi="Calibri"/>
                      <w:i/>
                      <w:iCs/>
                      <w:sz w:val="21"/>
                      <w:szCs w:val="21"/>
                      <w:u w:val="single"/>
                    </w:rPr>
                  </w:pPr>
                  <w:r>
                    <w:rPr>
                      <w:rFonts w:ascii="Calibri" w:hAnsi="Calibri"/>
                      <w:i/>
                      <w:iCs/>
                      <w:sz w:val="21"/>
                      <w:szCs w:val="21"/>
                      <w:u w:val="single"/>
                    </w:rPr>
                    <w:t>含油污泥（HW08）</w:t>
                  </w:r>
                </w:p>
              </w:tc>
              <w:tc>
                <w:tcPr>
                  <w:tcW w:w="1445" w:type="dxa"/>
                  <w:vAlign w:val="center"/>
                </w:tcPr>
                <w:p>
                  <w:pPr>
                    <w:adjustRightInd w:val="0"/>
                    <w:snapToGrid w:val="0"/>
                    <w:rPr>
                      <w:rFonts w:ascii="Calibri" w:hAnsi="Calibri"/>
                      <w:i/>
                      <w:iCs/>
                      <w:sz w:val="21"/>
                      <w:szCs w:val="21"/>
                      <w:u w:val="single"/>
                    </w:rPr>
                  </w:pPr>
                  <w:r>
                    <w:rPr>
                      <w:rFonts w:ascii="Calibri" w:hAnsi="Calibri"/>
                      <w:i/>
                      <w:iCs/>
                      <w:sz w:val="21"/>
                      <w:szCs w:val="21"/>
                      <w:u w:val="single"/>
                    </w:rPr>
                    <w:t>初期雨水隔油池油泥、拆解区沉积油泥</w:t>
                  </w:r>
                </w:p>
              </w:tc>
              <w:tc>
                <w:tcPr>
                  <w:tcW w:w="2641" w:type="dxa"/>
                  <w:vAlign w:val="center"/>
                </w:tcPr>
                <w:p>
                  <w:pPr>
                    <w:adjustRightInd w:val="0"/>
                    <w:snapToGrid w:val="0"/>
                    <w:rPr>
                      <w:rFonts w:ascii="Calibri" w:hAnsi="Calibri"/>
                      <w:i/>
                      <w:iCs/>
                      <w:sz w:val="21"/>
                      <w:szCs w:val="21"/>
                      <w:u w:val="single"/>
                    </w:rPr>
                  </w:pPr>
                  <w:r>
                    <w:rPr>
                      <w:rFonts w:ascii="Calibri" w:hAnsi="Calibri"/>
                      <w:i/>
                      <w:iCs/>
                      <w:sz w:val="21"/>
                      <w:szCs w:val="21"/>
                      <w:u w:val="single"/>
                    </w:rPr>
                    <w:t>定期清掏，清掏后密闭封装</w:t>
                  </w:r>
                </w:p>
              </w:tc>
              <w:tc>
                <w:tcPr>
                  <w:tcW w:w="2613" w:type="dxa"/>
                  <w:vAlign w:val="center"/>
                </w:tcPr>
                <w:p>
                  <w:pPr>
                    <w:adjustRightInd w:val="0"/>
                    <w:snapToGrid w:val="0"/>
                    <w:rPr>
                      <w:rFonts w:ascii="Calibri" w:hAnsi="Calibri"/>
                      <w:i/>
                      <w:iCs/>
                      <w:sz w:val="21"/>
                      <w:szCs w:val="21"/>
                      <w:u w:val="single"/>
                    </w:rPr>
                  </w:pPr>
                  <w:r>
                    <w:rPr>
                      <w:rFonts w:ascii="Calibri" w:hAnsi="Calibri"/>
                      <w:i/>
                      <w:iCs/>
                      <w:sz w:val="21"/>
                      <w:szCs w:val="21"/>
                      <w:u w:val="single"/>
                    </w:rPr>
                    <w:t>装入防渗编织袋 / 密封桶，密闭存放，防止雨水冲刷渗滤。</w:t>
                  </w:r>
                </w:p>
              </w:tc>
            </w:tr>
            <w:tr>
              <w:tc>
                <w:tcPr>
                  <w:tcW w:w="1700" w:type="dxa"/>
                  <w:vAlign w:val="center"/>
                </w:tcPr>
                <w:p>
                  <w:pPr>
                    <w:adjustRightInd w:val="0"/>
                    <w:snapToGrid w:val="0"/>
                    <w:rPr>
                      <w:rFonts w:ascii="Calibri" w:hAnsi="Calibri"/>
                      <w:i/>
                      <w:iCs/>
                      <w:sz w:val="21"/>
                      <w:szCs w:val="21"/>
                      <w:u w:val="single"/>
                    </w:rPr>
                  </w:pPr>
                  <w:r>
                    <w:rPr>
                      <w:rFonts w:ascii="Calibri" w:hAnsi="Calibri"/>
                      <w:i/>
                      <w:iCs/>
                      <w:sz w:val="21"/>
                      <w:szCs w:val="21"/>
                      <w:u w:val="single"/>
                    </w:rPr>
                    <w:t>沾油劳保用品（HW49）</w:t>
                  </w:r>
                </w:p>
              </w:tc>
              <w:tc>
                <w:tcPr>
                  <w:tcW w:w="1445" w:type="dxa"/>
                  <w:vAlign w:val="center"/>
                </w:tcPr>
                <w:p>
                  <w:pPr>
                    <w:adjustRightInd w:val="0"/>
                    <w:snapToGrid w:val="0"/>
                    <w:rPr>
                      <w:rFonts w:ascii="Calibri" w:hAnsi="Calibri"/>
                      <w:i/>
                      <w:iCs/>
                      <w:sz w:val="21"/>
                      <w:szCs w:val="21"/>
                      <w:u w:val="single"/>
                    </w:rPr>
                  </w:pPr>
                  <w:r>
                    <w:rPr>
                      <w:rFonts w:ascii="Calibri" w:hAnsi="Calibri"/>
                      <w:i/>
                      <w:iCs/>
                      <w:sz w:val="21"/>
                      <w:szCs w:val="21"/>
                      <w:u w:val="single"/>
                    </w:rPr>
                    <w:t>沾油手套、抹布、棉纱</w:t>
                  </w:r>
                </w:p>
              </w:tc>
              <w:tc>
                <w:tcPr>
                  <w:tcW w:w="2641" w:type="dxa"/>
                  <w:vAlign w:val="center"/>
                </w:tcPr>
                <w:p>
                  <w:pPr>
                    <w:adjustRightInd w:val="0"/>
                    <w:snapToGrid w:val="0"/>
                    <w:rPr>
                      <w:rFonts w:ascii="Calibri" w:hAnsi="Calibri"/>
                      <w:i/>
                      <w:iCs/>
                      <w:sz w:val="21"/>
                      <w:szCs w:val="21"/>
                      <w:u w:val="single"/>
                    </w:rPr>
                  </w:pPr>
                  <w:r>
                    <w:rPr>
                      <w:rFonts w:ascii="Calibri" w:hAnsi="Calibri"/>
                      <w:i/>
                      <w:iCs/>
                      <w:sz w:val="21"/>
                      <w:szCs w:val="21"/>
                      <w:u w:val="single"/>
                    </w:rPr>
                    <w:t>定点收集，禁止混入生活垃圾；项目单独收集按危废管理</w:t>
                  </w:r>
                </w:p>
              </w:tc>
              <w:tc>
                <w:tcPr>
                  <w:tcW w:w="2613" w:type="dxa"/>
                  <w:vAlign w:val="center"/>
                </w:tcPr>
                <w:p>
                  <w:pPr>
                    <w:adjustRightInd w:val="0"/>
                    <w:snapToGrid w:val="0"/>
                    <w:rPr>
                      <w:rFonts w:ascii="Calibri" w:hAnsi="Calibri"/>
                      <w:i/>
                      <w:iCs/>
                      <w:sz w:val="21"/>
                      <w:szCs w:val="21"/>
                      <w:u w:val="single"/>
                    </w:rPr>
                  </w:pPr>
                  <w:r>
                    <w:rPr>
                      <w:rFonts w:ascii="Calibri" w:hAnsi="Calibri"/>
                      <w:i/>
                      <w:iCs/>
                      <w:sz w:val="21"/>
                      <w:szCs w:val="21"/>
                      <w:u w:val="single"/>
                    </w:rPr>
                    <w:t>收集至带盖密闭收集桶，防止挥发性油气扩散。</w:t>
                  </w:r>
                </w:p>
              </w:tc>
            </w:tr>
            <w:tr>
              <w:tc>
                <w:tcPr>
                  <w:tcW w:w="1700" w:type="dxa"/>
                  <w:vAlign w:val="center"/>
                </w:tcPr>
                <w:p>
                  <w:pPr>
                    <w:adjustRightInd w:val="0"/>
                    <w:snapToGrid w:val="0"/>
                    <w:rPr>
                      <w:rFonts w:ascii="Calibri" w:hAnsi="Calibri"/>
                      <w:i/>
                      <w:iCs/>
                      <w:sz w:val="21"/>
                      <w:szCs w:val="21"/>
                      <w:u w:val="single"/>
                    </w:rPr>
                  </w:pPr>
                  <w:r>
                    <w:rPr>
                      <w:rFonts w:ascii="Calibri" w:hAnsi="Calibri"/>
                      <w:i/>
                      <w:iCs/>
                      <w:sz w:val="21"/>
                      <w:szCs w:val="21"/>
                      <w:u w:val="single"/>
                    </w:rPr>
                    <w:t>废活性炭（HW49）</w:t>
                  </w:r>
                </w:p>
              </w:tc>
              <w:tc>
                <w:tcPr>
                  <w:tcW w:w="1445" w:type="dxa"/>
                  <w:vAlign w:val="center"/>
                </w:tcPr>
                <w:p>
                  <w:pPr>
                    <w:adjustRightInd w:val="0"/>
                    <w:snapToGrid w:val="0"/>
                    <w:rPr>
                      <w:rFonts w:ascii="Calibri" w:hAnsi="Calibri"/>
                      <w:i/>
                      <w:iCs/>
                      <w:sz w:val="21"/>
                      <w:szCs w:val="21"/>
                      <w:u w:val="single"/>
                    </w:rPr>
                  </w:pPr>
                  <w:r>
                    <w:rPr>
                      <w:rFonts w:ascii="Calibri" w:hAnsi="Calibri"/>
                      <w:i/>
                      <w:iCs/>
                      <w:sz w:val="21"/>
                      <w:szCs w:val="21"/>
                      <w:u w:val="single"/>
                    </w:rPr>
                    <w:t>有机废气吸附饱和活性炭</w:t>
                  </w:r>
                </w:p>
              </w:tc>
              <w:tc>
                <w:tcPr>
                  <w:tcW w:w="2641" w:type="dxa"/>
                  <w:vAlign w:val="center"/>
                </w:tcPr>
                <w:p>
                  <w:pPr>
                    <w:adjustRightInd w:val="0"/>
                    <w:snapToGrid w:val="0"/>
                    <w:rPr>
                      <w:rFonts w:ascii="Calibri" w:hAnsi="Calibri"/>
                      <w:i/>
                      <w:iCs/>
                      <w:sz w:val="21"/>
                      <w:szCs w:val="21"/>
                      <w:u w:val="single"/>
                    </w:rPr>
                  </w:pPr>
                  <w:r>
                    <w:rPr>
                      <w:rFonts w:ascii="Calibri" w:hAnsi="Calibri"/>
                      <w:i/>
                      <w:iCs/>
                      <w:sz w:val="21"/>
                      <w:szCs w:val="21"/>
                      <w:u w:val="single"/>
                    </w:rPr>
                    <w:t>废气装置定期更换，更换后立即密封包装</w:t>
                  </w:r>
                </w:p>
              </w:tc>
              <w:tc>
                <w:tcPr>
                  <w:tcW w:w="2613" w:type="dxa"/>
                  <w:vAlign w:val="center"/>
                </w:tcPr>
                <w:p>
                  <w:pPr>
                    <w:adjustRightInd w:val="0"/>
                    <w:snapToGrid w:val="0"/>
                    <w:rPr>
                      <w:rFonts w:ascii="Calibri" w:hAnsi="Calibri"/>
                      <w:i/>
                      <w:iCs/>
                      <w:sz w:val="21"/>
                      <w:szCs w:val="21"/>
                      <w:u w:val="single"/>
                    </w:rPr>
                  </w:pPr>
                  <w:r>
                    <w:rPr>
                      <w:rFonts w:ascii="Calibri" w:hAnsi="Calibri"/>
                      <w:i/>
                      <w:iCs/>
                      <w:sz w:val="21"/>
                      <w:szCs w:val="21"/>
                      <w:u w:val="single"/>
                    </w:rPr>
                    <w:t>密封塑料袋封装，防潮、防扬尘。</w:t>
                  </w:r>
                </w:p>
              </w:tc>
            </w:tr>
            <w:tr>
              <w:tc>
                <w:tcPr>
                  <w:tcW w:w="1700" w:type="dxa"/>
                  <w:vAlign w:val="center"/>
                </w:tcPr>
                <w:p>
                  <w:pPr>
                    <w:adjustRightInd w:val="0"/>
                    <w:snapToGrid w:val="0"/>
                    <w:rPr>
                      <w:rFonts w:ascii="Calibri" w:hAnsi="Calibri"/>
                      <w:i/>
                      <w:iCs/>
                      <w:sz w:val="21"/>
                      <w:szCs w:val="21"/>
                      <w:u w:val="single"/>
                    </w:rPr>
                  </w:pPr>
                  <w:r>
                    <w:rPr>
                      <w:rFonts w:ascii="Calibri" w:hAnsi="Calibri"/>
                      <w:i/>
                      <w:iCs/>
                      <w:sz w:val="21"/>
                      <w:szCs w:val="21"/>
                      <w:u w:val="single"/>
                    </w:rPr>
                    <w:t>一般工业固废</w:t>
                  </w:r>
                </w:p>
              </w:tc>
              <w:tc>
                <w:tcPr>
                  <w:tcW w:w="1445" w:type="dxa"/>
                  <w:vAlign w:val="center"/>
                </w:tcPr>
                <w:p>
                  <w:pPr>
                    <w:adjustRightInd w:val="0"/>
                    <w:snapToGrid w:val="0"/>
                    <w:rPr>
                      <w:rFonts w:ascii="Calibri" w:hAnsi="Calibri"/>
                      <w:i/>
                      <w:iCs/>
                      <w:sz w:val="21"/>
                      <w:szCs w:val="21"/>
                      <w:u w:val="single"/>
                    </w:rPr>
                  </w:pPr>
                  <w:r>
                    <w:rPr>
                      <w:rFonts w:ascii="Calibri" w:hAnsi="Calibri"/>
                      <w:i/>
                      <w:iCs/>
                      <w:sz w:val="21"/>
                      <w:szCs w:val="21"/>
                      <w:u w:val="single"/>
                    </w:rPr>
                    <w:t>废钢铁、废铝铜、废塑料、橡胶轮胎、玻璃、废织物</w:t>
                  </w:r>
                </w:p>
              </w:tc>
              <w:tc>
                <w:tcPr>
                  <w:tcW w:w="2641" w:type="dxa"/>
                  <w:vAlign w:val="center"/>
                </w:tcPr>
                <w:p>
                  <w:pPr>
                    <w:adjustRightInd w:val="0"/>
                    <w:snapToGrid w:val="0"/>
                    <w:rPr>
                      <w:rFonts w:ascii="Calibri" w:hAnsi="Calibri"/>
                      <w:i/>
                      <w:iCs/>
                      <w:sz w:val="21"/>
                      <w:szCs w:val="21"/>
                      <w:u w:val="single"/>
                    </w:rPr>
                  </w:pPr>
                  <w:r>
                    <w:rPr>
                      <w:rFonts w:ascii="Calibri" w:hAnsi="Calibri"/>
                      <w:i/>
                      <w:iCs/>
                      <w:sz w:val="21"/>
                      <w:szCs w:val="21"/>
                      <w:u w:val="single"/>
                    </w:rPr>
                    <w:t>拆解后分选，金属、非金属物料分类切割分拣</w:t>
                  </w:r>
                </w:p>
              </w:tc>
              <w:tc>
                <w:tcPr>
                  <w:tcW w:w="2613" w:type="dxa"/>
                  <w:vAlign w:val="center"/>
                </w:tcPr>
                <w:p>
                  <w:pPr>
                    <w:adjustRightInd w:val="0"/>
                    <w:snapToGrid w:val="0"/>
                    <w:rPr>
                      <w:rFonts w:ascii="Calibri" w:hAnsi="Calibri"/>
                      <w:i/>
                      <w:iCs/>
                      <w:sz w:val="21"/>
                      <w:szCs w:val="21"/>
                      <w:u w:val="single"/>
                    </w:rPr>
                  </w:pPr>
                  <w:r>
                    <w:rPr>
                      <w:rFonts w:ascii="Calibri" w:hAnsi="Calibri"/>
                      <w:i/>
                      <w:iCs/>
                      <w:sz w:val="21"/>
                      <w:szCs w:val="21"/>
                      <w:u w:val="single"/>
                    </w:rPr>
                    <w:t>分区露天 / 棚内存放，设置围挡，防雨覆盖；防止雨水冲刷携带油污进入地表径流；可外售综合利用。</w:t>
                  </w:r>
                </w:p>
              </w:tc>
            </w:tr>
          </w:tbl>
          <w:p>
            <w:pPr>
              <w:widowControl/>
              <w:spacing w:line="360" w:lineRule="auto"/>
              <w:ind w:firstLine="480" w:firstLineChars="200"/>
              <w:jc w:val="left"/>
              <w:rPr>
                <w:rFonts w:ascii="宋体" w:hAnsi="宋体" w:cs="宋体"/>
                <w:sz w:val="24"/>
              </w:rPr>
            </w:pPr>
            <w:r>
              <w:rPr>
                <w:rFonts w:hint="eastAsia" w:ascii="宋体" w:hAnsi="宋体" w:cs="宋体"/>
                <w:kern w:val="0"/>
                <w:sz w:val="24"/>
              </w:rPr>
              <w:t xml:space="preserve">①一般工业固体废物 </w:t>
            </w:r>
          </w:p>
          <w:p>
            <w:pPr>
              <w:widowControl/>
              <w:spacing w:line="360" w:lineRule="auto"/>
              <w:ind w:firstLine="480" w:firstLineChars="200"/>
              <w:jc w:val="left"/>
              <w:rPr>
                <w:rFonts w:ascii="宋体" w:hAnsi="宋体" w:cs="宋体"/>
                <w:sz w:val="24"/>
              </w:rPr>
            </w:pPr>
            <w:r>
              <w:rPr>
                <w:rFonts w:hint="eastAsia" w:ascii="宋体" w:hAnsi="宋体" w:cs="宋体"/>
                <w:kern w:val="0"/>
                <w:sz w:val="24"/>
              </w:rPr>
              <w:t>本项目分类堆放项目产生的一般固废，暂存于拆解物暂存区，拆解物暂存区符合《一般工业固体废物贮存和填埋污染控制标准》（GB18599-2020）中要求：防渗漏、防雨淋、防扬尘等环境保护要求；同时贮存库应按《环境保护图形标志《固体废物贮存（处置）场》（GB15562.2）设置环保图形的警示、提示标志。贮存库内不得混入生活垃圾或危险废物。一般工业固废暂存过程应满足相应的环境保护要求。</w:t>
            </w:r>
            <w:r>
              <w:rPr>
                <w:rFonts w:ascii="宋体" w:hAnsi="宋体" w:cs="宋体"/>
                <w:kern w:val="0"/>
                <w:sz w:val="24"/>
              </w:rPr>
              <w:t>暂存区内设置实体矮隔墙划分为：废金属区（黑色金属、有色金属分区）、橡胶 / 轮胎区、塑料 / 玻璃钢区、其他非金属废料区；各区设立固定标识牌。建立出入库台账，定期外售给物资回收单位；不长期堆存，做到周转有序。</w:t>
            </w:r>
          </w:p>
          <w:p>
            <w:pPr>
              <w:pStyle w:val="58"/>
              <w:widowControl/>
              <w:numPr>
                <w:ilvl w:val="0"/>
                <w:numId w:val="4"/>
              </w:numPr>
              <w:spacing w:line="360" w:lineRule="auto"/>
              <w:ind w:firstLineChars="0"/>
              <w:jc w:val="left"/>
              <w:rPr>
                <w:rFonts w:ascii="宋体" w:hAnsi="宋体" w:cs="宋体"/>
                <w:sz w:val="24"/>
              </w:rPr>
            </w:pPr>
            <w:r>
              <w:rPr>
                <w:rFonts w:hint="eastAsia" w:ascii="宋体" w:hAnsi="宋体" w:cs="宋体"/>
                <w:kern w:val="0"/>
                <w:sz w:val="24"/>
              </w:rPr>
              <w:t xml:space="preserve">危险废物 </w:t>
            </w:r>
          </w:p>
          <w:p>
            <w:pPr>
              <w:widowControl/>
              <w:spacing w:line="360" w:lineRule="auto"/>
              <w:ind w:firstLine="480" w:firstLineChars="200"/>
              <w:jc w:val="left"/>
              <w:rPr>
                <w:rFonts w:ascii="宋体" w:hAnsi="宋体" w:cs="宋体"/>
                <w:sz w:val="24"/>
              </w:rPr>
            </w:pPr>
            <w:r>
              <w:rPr>
                <w:rFonts w:hint="eastAsia" w:ascii="宋体" w:hAnsi="宋体" w:cs="宋体"/>
                <w:kern w:val="0"/>
                <w:sz w:val="24"/>
              </w:rPr>
              <w:t>本项目危险废物暂存于危险废物贮存库，按照危险废物性质、形态不同，将废油液及其他危险废物进行分区存放，分别采用密闭桶装，集中码垛方式存放，底部设置防渗托盘，符合《危险废物贮存污染控制标准》（GB18597-2023）要求。</w:t>
            </w:r>
          </w:p>
          <w:p>
            <w:pPr>
              <w:widowControl/>
              <w:spacing w:line="360" w:lineRule="auto"/>
              <w:ind w:firstLine="480" w:firstLineChars="200"/>
              <w:jc w:val="left"/>
              <w:rPr>
                <w:rFonts w:ascii="宋体" w:hAnsi="宋体" w:cs="宋体"/>
                <w:color w:val="000000"/>
                <w:sz w:val="24"/>
              </w:rPr>
            </w:pPr>
            <w:r>
              <w:rPr>
                <w:rFonts w:hint="eastAsia" w:ascii="宋体" w:hAnsi="宋体" w:cs="宋体"/>
                <w:color w:val="000000"/>
                <w:kern w:val="0"/>
                <w:sz w:val="24"/>
              </w:rPr>
              <w:t xml:space="preserve">2、固体废物环境管理要求 </w:t>
            </w:r>
          </w:p>
          <w:p>
            <w:pPr>
              <w:widowControl/>
              <w:spacing w:line="360" w:lineRule="auto"/>
              <w:ind w:firstLine="480" w:firstLineChars="200"/>
              <w:jc w:val="left"/>
              <w:rPr>
                <w:rFonts w:ascii="宋体" w:hAnsi="宋体" w:cs="宋体"/>
                <w:color w:val="000000"/>
                <w:sz w:val="24"/>
              </w:rPr>
            </w:pPr>
            <w:r>
              <w:rPr>
                <w:rFonts w:hint="eastAsia" w:ascii="宋体" w:hAnsi="宋体" w:cs="宋体"/>
                <w:color w:val="000000"/>
                <w:kern w:val="0"/>
                <w:sz w:val="24"/>
              </w:rPr>
              <w:t xml:space="preserve">（1）一般固体废物贮存运行管理要求 </w:t>
            </w:r>
          </w:p>
          <w:p>
            <w:pPr>
              <w:widowControl/>
              <w:spacing w:line="360" w:lineRule="auto"/>
              <w:ind w:firstLine="480" w:firstLineChars="200"/>
              <w:rPr>
                <w:color w:val="000000"/>
              </w:rPr>
            </w:pPr>
            <w:r>
              <w:rPr>
                <w:rFonts w:hint="eastAsia" w:ascii="宋体" w:hAnsi="宋体" w:cs="宋体"/>
                <w:color w:val="000000"/>
                <w:kern w:val="0"/>
                <w:sz w:val="24"/>
              </w:rPr>
              <w:t>企业按照《一般工业固体废物贮存和填埋污染控制标准》（</w:t>
            </w:r>
            <w:r>
              <w:rPr>
                <w:color w:val="000000"/>
                <w:kern w:val="0"/>
                <w:sz w:val="24"/>
              </w:rPr>
              <w:t>GB18599-2020</w:t>
            </w:r>
            <w:r>
              <w:rPr>
                <w:rFonts w:hint="eastAsia" w:ascii="宋体" w:hAnsi="宋体" w:cs="宋体"/>
                <w:color w:val="000000"/>
                <w:kern w:val="0"/>
                <w:sz w:val="24"/>
              </w:rPr>
              <w:t xml:space="preserve">） </w:t>
            </w:r>
          </w:p>
          <w:p>
            <w:pPr>
              <w:widowControl/>
              <w:spacing w:line="360" w:lineRule="auto"/>
              <w:rPr>
                <w:color w:val="000000"/>
              </w:rPr>
            </w:pPr>
            <w:r>
              <w:rPr>
                <w:rFonts w:hint="eastAsia" w:ascii="宋体" w:hAnsi="宋体" w:cs="宋体"/>
                <w:color w:val="000000"/>
                <w:kern w:val="0"/>
                <w:sz w:val="24"/>
              </w:rPr>
              <w:t xml:space="preserve">中的相应要求，建设并加强一般工业固体废物贮存区的管理。 </w:t>
            </w:r>
          </w:p>
          <w:p>
            <w:pPr>
              <w:widowControl/>
              <w:spacing w:line="360" w:lineRule="auto"/>
              <w:ind w:firstLine="480" w:firstLineChars="200"/>
              <w:rPr>
                <w:color w:val="000000"/>
              </w:rPr>
            </w:pPr>
            <w:r>
              <w:rPr>
                <w:rFonts w:hint="eastAsia" w:ascii="宋体" w:hAnsi="宋体" w:cs="宋体"/>
                <w:color w:val="000000"/>
                <w:kern w:val="0"/>
                <w:sz w:val="24"/>
              </w:rPr>
              <w:t>①按照《一般工业固体废物贮存和填埋污染控制标准》（</w:t>
            </w:r>
            <w:r>
              <w:rPr>
                <w:color w:val="000000"/>
                <w:kern w:val="0"/>
                <w:sz w:val="24"/>
              </w:rPr>
              <w:t>GB18599-2020</w:t>
            </w:r>
            <w:r>
              <w:rPr>
                <w:rFonts w:hint="eastAsia" w:ascii="宋体" w:hAnsi="宋体" w:cs="宋体"/>
                <w:color w:val="000000"/>
                <w:kern w:val="0"/>
                <w:sz w:val="24"/>
              </w:rPr>
              <w:t xml:space="preserve">） </w:t>
            </w:r>
          </w:p>
          <w:p>
            <w:pPr>
              <w:widowControl/>
              <w:spacing w:line="360" w:lineRule="auto"/>
              <w:rPr>
                <w:color w:val="000000"/>
              </w:rPr>
            </w:pPr>
            <w:r>
              <w:rPr>
                <w:rFonts w:hint="eastAsia" w:ascii="宋体" w:hAnsi="宋体" w:cs="宋体"/>
                <w:color w:val="000000"/>
                <w:kern w:val="0"/>
                <w:sz w:val="24"/>
              </w:rPr>
              <w:t xml:space="preserve">的要求设置暂存场所。 </w:t>
            </w:r>
          </w:p>
          <w:p>
            <w:pPr>
              <w:widowControl/>
              <w:spacing w:line="360" w:lineRule="auto"/>
              <w:ind w:firstLine="480" w:firstLineChars="200"/>
              <w:rPr>
                <w:color w:val="000000"/>
              </w:rPr>
            </w:pPr>
            <w:r>
              <w:rPr>
                <w:rFonts w:hint="eastAsia" w:ascii="宋体" w:hAnsi="宋体" w:cs="宋体"/>
                <w:color w:val="000000"/>
                <w:kern w:val="0"/>
                <w:sz w:val="24"/>
              </w:rPr>
              <w:t xml:space="preserve">②贮存、处置场的设置必须与将要堆放的一般工业固体废物的类别相一致。 </w:t>
            </w:r>
          </w:p>
          <w:p>
            <w:pPr>
              <w:widowControl/>
              <w:spacing w:line="360" w:lineRule="auto"/>
              <w:ind w:firstLine="480" w:firstLineChars="200"/>
              <w:rPr>
                <w:color w:val="000000"/>
              </w:rPr>
            </w:pPr>
            <w:r>
              <w:rPr>
                <w:rFonts w:hint="eastAsia" w:ascii="宋体" w:hAnsi="宋体" w:cs="宋体"/>
                <w:color w:val="000000"/>
                <w:kern w:val="0"/>
                <w:sz w:val="24"/>
              </w:rPr>
              <w:t xml:space="preserve">③不得露天堆放，防止雨水进入产生二次污染。 </w:t>
            </w:r>
          </w:p>
          <w:p>
            <w:pPr>
              <w:widowControl/>
              <w:spacing w:line="360" w:lineRule="auto"/>
              <w:ind w:firstLine="480" w:firstLineChars="200"/>
              <w:rPr>
                <w:color w:val="000000"/>
              </w:rPr>
            </w:pPr>
            <w:r>
              <w:rPr>
                <w:rFonts w:hint="eastAsia" w:ascii="宋体" w:hAnsi="宋体" w:cs="宋体"/>
                <w:color w:val="000000"/>
                <w:kern w:val="0"/>
                <w:sz w:val="24"/>
              </w:rPr>
              <w:t xml:space="preserve">④贮存、处置场使用单位，应建立检查维护制度，定期检查维护堤、坝、挡 </w:t>
            </w:r>
          </w:p>
          <w:p>
            <w:pPr>
              <w:widowControl/>
              <w:spacing w:line="360" w:lineRule="auto"/>
              <w:rPr>
                <w:color w:val="000000"/>
              </w:rPr>
            </w:pPr>
            <w:r>
              <w:rPr>
                <w:rFonts w:hint="eastAsia" w:ascii="宋体" w:hAnsi="宋体" w:cs="宋体"/>
                <w:color w:val="000000"/>
                <w:kern w:val="0"/>
                <w:sz w:val="24"/>
              </w:rPr>
              <w:t xml:space="preserve">土墙、导流渠等设施，发现有损坏可能或异常，应及时采取必要措施，以保障正 </w:t>
            </w:r>
          </w:p>
          <w:p>
            <w:pPr>
              <w:widowControl/>
              <w:spacing w:line="360" w:lineRule="auto"/>
              <w:rPr>
                <w:color w:val="000000"/>
              </w:rPr>
            </w:pPr>
            <w:r>
              <w:rPr>
                <w:rFonts w:hint="eastAsia" w:ascii="宋体" w:hAnsi="宋体" w:cs="宋体"/>
                <w:color w:val="000000"/>
                <w:kern w:val="0"/>
                <w:sz w:val="24"/>
              </w:rPr>
              <w:t xml:space="preserve">常运行。 </w:t>
            </w:r>
          </w:p>
          <w:p>
            <w:pPr>
              <w:widowControl/>
              <w:spacing w:line="360" w:lineRule="auto"/>
              <w:ind w:firstLine="480" w:firstLineChars="200"/>
              <w:rPr>
                <w:color w:val="000000"/>
              </w:rPr>
            </w:pPr>
            <w:r>
              <w:rPr>
                <w:rFonts w:hint="eastAsia" w:ascii="宋体" w:hAnsi="宋体" w:cs="宋体"/>
                <w:color w:val="000000"/>
                <w:kern w:val="0"/>
                <w:sz w:val="24"/>
              </w:rPr>
              <w:t xml:space="preserve">⑤单位须针对此对员工进行培训，加强安全及防治污染的意识，培训通过后 </w:t>
            </w:r>
          </w:p>
          <w:p>
            <w:pPr>
              <w:widowControl/>
              <w:spacing w:line="360" w:lineRule="auto"/>
              <w:rPr>
                <w:color w:val="000000"/>
              </w:rPr>
            </w:pPr>
            <w:r>
              <w:rPr>
                <w:rFonts w:hint="eastAsia" w:ascii="宋体" w:hAnsi="宋体" w:cs="宋体"/>
                <w:color w:val="000000"/>
                <w:kern w:val="0"/>
                <w:sz w:val="24"/>
              </w:rPr>
              <w:t xml:space="preserve">方可上岗，对于固体废弃物的收集、运输要实施专人专职管理制度并建立好档案 </w:t>
            </w:r>
          </w:p>
          <w:p>
            <w:pPr>
              <w:widowControl/>
              <w:spacing w:line="360" w:lineRule="auto"/>
              <w:rPr>
                <w:color w:val="000000"/>
              </w:rPr>
            </w:pPr>
            <w:r>
              <w:rPr>
                <w:rFonts w:hint="eastAsia" w:ascii="宋体" w:hAnsi="宋体" w:cs="宋体"/>
                <w:color w:val="000000"/>
                <w:kern w:val="0"/>
                <w:sz w:val="24"/>
              </w:rPr>
              <w:t>制度。应将入场的一般工业固体废物的种类和数量以及下列资料，详细记录在案， 长期保存，供随时查阅。</w:t>
            </w:r>
          </w:p>
          <w:p>
            <w:pPr>
              <w:widowControl/>
              <w:numPr>
                <w:ilvl w:val="0"/>
                <w:numId w:val="6"/>
              </w:numPr>
              <w:spacing w:line="360" w:lineRule="auto"/>
              <w:ind w:firstLine="482" w:firstLineChars="200"/>
              <w:jc w:val="left"/>
              <w:rPr>
                <w:rFonts w:ascii="宋体" w:hAnsi="宋体" w:cs="宋体"/>
                <w:b/>
                <w:bCs/>
                <w:i/>
                <w:iCs/>
                <w:kern w:val="0"/>
                <w:sz w:val="24"/>
                <w:u w:val="single"/>
              </w:rPr>
            </w:pPr>
            <w:r>
              <w:rPr>
                <w:rFonts w:hint="eastAsia" w:ascii="宋体" w:hAnsi="宋体" w:cs="宋体"/>
                <w:b/>
                <w:bCs/>
                <w:i/>
                <w:iCs/>
                <w:kern w:val="0"/>
                <w:sz w:val="24"/>
                <w:u w:val="single"/>
              </w:rPr>
              <w:t xml:space="preserve">危险废物管理要求 </w:t>
            </w:r>
          </w:p>
          <w:p>
            <w:pPr>
              <w:pStyle w:val="26"/>
              <w:adjustRightInd w:val="0"/>
              <w:snapToGrid w:val="0"/>
              <w:spacing w:before="0" w:after="0" w:line="360" w:lineRule="auto"/>
              <w:ind w:firstLine="480"/>
              <w:rPr>
                <w:rFonts w:eastAsia="宋体"/>
                <w:b w:val="0"/>
                <w:bCs/>
                <w:i/>
                <w:iCs/>
                <w:color w:val="auto"/>
                <w:sz w:val="24"/>
                <w:szCs w:val="24"/>
                <w:u w:val="single"/>
              </w:rPr>
            </w:pPr>
            <w:r>
              <w:rPr>
                <w:rFonts w:hint="eastAsia" w:eastAsia="宋体"/>
                <w:b w:val="0"/>
                <w:bCs/>
                <w:i/>
                <w:iCs/>
                <w:color w:val="auto"/>
                <w:sz w:val="24"/>
                <w:szCs w:val="24"/>
                <w:u w:val="single"/>
              </w:rPr>
              <w:t>根据《危险废物贮存污染控制标准》（GB18597-2023），本项目设置危险废物贮存库，用于贮存一种或多种类别、形态危险废物的仓库式贮存设施。贮存库环境管理要求如下：</w:t>
            </w:r>
          </w:p>
          <w:p>
            <w:pPr>
              <w:pStyle w:val="2"/>
            </w:pPr>
          </w:p>
          <w:p>
            <w:pPr>
              <w:pStyle w:val="26"/>
              <w:adjustRightInd w:val="0"/>
              <w:snapToGrid w:val="0"/>
              <w:spacing w:before="0" w:after="0" w:line="360" w:lineRule="auto"/>
              <w:ind w:firstLine="480"/>
              <w:rPr>
                <w:rFonts w:eastAsia="宋体"/>
                <w:b w:val="0"/>
                <w:bCs/>
                <w:i/>
                <w:iCs/>
                <w:color w:val="auto"/>
                <w:sz w:val="24"/>
                <w:szCs w:val="24"/>
                <w:u w:val="single"/>
              </w:rPr>
            </w:pPr>
            <w:r>
              <w:rPr>
                <w:rFonts w:hint="eastAsia" w:eastAsia="宋体"/>
                <w:b w:val="0"/>
                <w:bCs/>
                <w:i/>
                <w:iCs/>
                <w:color w:val="auto"/>
                <w:sz w:val="24"/>
                <w:szCs w:val="24"/>
                <w:u w:val="single"/>
              </w:rPr>
              <w:t>贮存库内不同贮存分区之间应采取隔离措施。隔离措施可根据危险废物特性采用过道、隔板或隔墙等方式。</w:t>
            </w:r>
          </w:p>
          <w:p>
            <w:pPr>
              <w:pStyle w:val="26"/>
              <w:adjustRightInd w:val="0"/>
              <w:snapToGrid w:val="0"/>
              <w:spacing w:before="0" w:after="0" w:line="360" w:lineRule="auto"/>
              <w:ind w:firstLine="480"/>
              <w:rPr>
                <w:rFonts w:eastAsia="宋体"/>
                <w:b w:val="0"/>
                <w:bCs/>
                <w:i/>
                <w:iCs/>
                <w:color w:val="auto"/>
                <w:sz w:val="24"/>
                <w:szCs w:val="24"/>
                <w:u w:val="single"/>
              </w:rPr>
            </w:pPr>
            <w:r>
              <w:rPr>
                <w:rFonts w:hint="eastAsia" w:eastAsia="宋体"/>
                <w:b w:val="0"/>
                <w:bCs/>
                <w:i/>
                <w:iCs/>
                <w:color w:val="auto"/>
                <w:sz w:val="24"/>
                <w:szCs w:val="24"/>
                <w:u w:val="single"/>
              </w:rPr>
              <w:t>在贮存库内或通过贮存分区方式贮存液态危险废物的，应具有液体泄漏堵截设施，堵截设施最小容积不应低于对应贮存区域最大液态废物容器容积或液态废物总储量 1/10（二者取较大者）；用于贮存可能产生渗滤液的危险废物的贮存库或贮存分区应设计渗滤液收集设施，收集设施容积应满足渗滤液的收集要求。</w:t>
            </w:r>
          </w:p>
          <w:p>
            <w:pPr>
              <w:pStyle w:val="26"/>
              <w:adjustRightInd w:val="0"/>
              <w:snapToGrid w:val="0"/>
              <w:spacing w:before="0" w:after="0" w:line="360" w:lineRule="auto"/>
              <w:ind w:firstLine="480"/>
              <w:rPr>
                <w:rFonts w:eastAsia="宋体"/>
                <w:b w:val="0"/>
                <w:bCs/>
                <w:i/>
                <w:iCs/>
                <w:color w:val="auto"/>
                <w:sz w:val="24"/>
                <w:szCs w:val="24"/>
                <w:u w:val="single"/>
              </w:rPr>
            </w:pPr>
            <w:r>
              <w:rPr>
                <w:rFonts w:hint="eastAsia" w:eastAsia="宋体"/>
                <w:b w:val="0"/>
                <w:bCs/>
                <w:i/>
                <w:iCs/>
                <w:color w:val="auto"/>
                <w:sz w:val="24"/>
                <w:szCs w:val="24"/>
                <w:u w:val="single"/>
              </w:rPr>
              <w:t xml:space="preserve"> 贮存易产生粉尘、VOCs、酸雾、有毒有害大气污染物和刺激性气味气体的危险废物贮存库，应设置气体收集装置和气体净化设施；气体净化设施的排气筒高度应符合GB16297要求。</w:t>
            </w:r>
          </w:p>
          <w:p>
            <w:pPr>
              <w:pStyle w:val="2"/>
              <w:ind w:firstLine="480" w:firstLineChars="200"/>
            </w:pPr>
            <w:r>
              <w:rPr>
                <w:rFonts w:hint="eastAsia" w:ascii="宋体" w:hAnsi="宋体" w:cs="宋体"/>
                <w:i/>
                <w:iCs/>
                <w:kern w:val="0"/>
                <w:sz w:val="24"/>
                <w:u w:val="single"/>
              </w:rPr>
              <w:t>本项目设置一处危废贮存库，</w:t>
            </w:r>
            <w:r>
              <w:rPr>
                <w:rFonts w:hint="eastAsia" w:ascii="宋体" w:hAnsi="宋体" w:cs="宋体"/>
                <w:i/>
                <w:iCs/>
                <w:color w:val="000000"/>
                <w:kern w:val="0"/>
                <w:sz w:val="24"/>
                <w:u w:val="single"/>
              </w:rPr>
              <w:t>用于分类堆放废油液等各类危险废物。贮存库内部</w:t>
            </w:r>
            <w:r>
              <w:rPr>
                <w:rFonts w:hint="eastAsia" w:ascii="宋体" w:hAnsi="宋体" w:cs="宋体"/>
                <w:i/>
                <w:iCs/>
                <w:kern w:val="0"/>
                <w:sz w:val="24"/>
                <w:u w:val="single"/>
              </w:rPr>
              <w:t>分别布置废铅蓄电池贮存区</w:t>
            </w:r>
            <w:r>
              <w:rPr>
                <w:rFonts w:hint="eastAsia"/>
                <w:i/>
                <w:iCs/>
                <w:kern w:val="0"/>
                <w:sz w:val="24"/>
                <w:u w:val="single"/>
              </w:rPr>
              <w:t>、</w:t>
            </w:r>
            <w:r>
              <w:rPr>
                <w:rFonts w:hint="eastAsia" w:ascii="宋体" w:hAnsi="宋体" w:cs="宋体"/>
                <w:i/>
                <w:iCs/>
                <w:kern w:val="0"/>
                <w:sz w:val="24"/>
                <w:u w:val="single"/>
              </w:rPr>
              <w:t>废油贮存区</w:t>
            </w:r>
            <w:r>
              <w:rPr>
                <w:rFonts w:hint="eastAsia"/>
                <w:i/>
                <w:iCs/>
                <w:kern w:val="0"/>
                <w:sz w:val="24"/>
                <w:u w:val="single"/>
              </w:rPr>
              <w:t>、</w:t>
            </w:r>
            <w:r>
              <w:rPr>
                <w:rFonts w:hint="eastAsia" w:ascii="宋体" w:hAnsi="宋体" w:cs="宋体"/>
                <w:i/>
                <w:iCs/>
                <w:kern w:val="0"/>
                <w:sz w:val="24"/>
                <w:u w:val="single"/>
              </w:rPr>
              <w:t>其他危废贮存区</w:t>
            </w:r>
            <w:r>
              <w:rPr>
                <w:rFonts w:hint="eastAsia"/>
                <w:i/>
                <w:iCs/>
                <w:kern w:val="0"/>
                <w:sz w:val="24"/>
                <w:u w:val="single"/>
              </w:rPr>
              <w:t>。</w:t>
            </w:r>
            <w:r>
              <w:rPr>
                <w:rFonts w:hint="eastAsia" w:ascii="宋体" w:hAnsi="宋体" w:cs="宋体"/>
                <w:i/>
                <w:iCs/>
                <w:color w:val="000000"/>
                <w:kern w:val="0"/>
                <w:sz w:val="24"/>
                <w:u w:val="single"/>
              </w:rPr>
              <w:t>危险废物贮存</w:t>
            </w:r>
          </w:p>
          <w:p>
            <w:pPr>
              <w:widowControl/>
              <w:spacing w:line="360" w:lineRule="auto"/>
              <w:rPr>
                <w:rFonts w:ascii="宋体" w:hAnsi="宋体" w:cs="宋体"/>
                <w:i/>
                <w:iCs/>
                <w:color w:val="000000"/>
                <w:kern w:val="0"/>
                <w:sz w:val="24"/>
                <w:u w:val="single"/>
              </w:rPr>
            </w:pPr>
            <w:r>
              <w:rPr>
                <w:rFonts w:hint="eastAsia" w:ascii="宋体" w:hAnsi="宋体" w:cs="宋体"/>
                <w:i/>
                <w:iCs/>
                <w:color w:val="000000"/>
                <w:kern w:val="0"/>
                <w:sz w:val="24"/>
                <w:u w:val="single"/>
              </w:rPr>
              <w:t>库建筑面积150m</w:t>
            </w:r>
            <w:r>
              <w:rPr>
                <w:rFonts w:hint="eastAsia" w:ascii="宋体" w:hAnsi="宋体" w:cs="宋体"/>
                <w:i/>
                <w:iCs/>
                <w:color w:val="000000"/>
                <w:kern w:val="0"/>
                <w:sz w:val="24"/>
                <w:u w:val="single"/>
                <w:vertAlign w:val="superscript"/>
              </w:rPr>
              <w:t>2</w:t>
            </w:r>
            <w:r>
              <w:rPr>
                <w:rFonts w:hint="eastAsia" w:ascii="宋体" w:hAnsi="宋体" w:cs="宋体"/>
                <w:i/>
                <w:iCs/>
                <w:color w:val="000000"/>
                <w:kern w:val="0"/>
                <w:sz w:val="24"/>
                <w:u w:val="single"/>
              </w:rPr>
              <w:t>，其中分为三个区域贮存不同的拆解产物（危险废物），包含废电瓶贮存区50m</w:t>
            </w:r>
            <w:r>
              <w:rPr>
                <w:rFonts w:hint="eastAsia" w:ascii="宋体" w:hAnsi="宋体" w:cs="宋体"/>
                <w:i/>
                <w:iCs/>
                <w:color w:val="000000"/>
                <w:kern w:val="0"/>
                <w:sz w:val="24"/>
                <w:u w:val="single"/>
                <w:vertAlign w:val="superscript"/>
              </w:rPr>
              <w:t>2</w:t>
            </w:r>
            <w:r>
              <w:rPr>
                <w:rFonts w:hint="eastAsia" w:ascii="宋体" w:hAnsi="宋体" w:cs="宋体"/>
                <w:i/>
                <w:iCs/>
                <w:color w:val="000000"/>
                <w:kern w:val="0"/>
                <w:sz w:val="24"/>
                <w:u w:val="single"/>
              </w:rPr>
              <w:t>、废油贮存区50m</w:t>
            </w:r>
            <w:r>
              <w:rPr>
                <w:rFonts w:hint="eastAsia" w:ascii="宋体" w:hAnsi="宋体" w:cs="宋体"/>
                <w:i/>
                <w:iCs/>
                <w:color w:val="000000"/>
                <w:kern w:val="0"/>
                <w:sz w:val="24"/>
                <w:u w:val="single"/>
                <w:vertAlign w:val="superscript"/>
              </w:rPr>
              <w:t>2</w:t>
            </w:r>
            <w:r>
              <w:rPr>
                <w:rFonts w:hint="eastAsia" w:ascii="宋体" w:hAnsi="宋体" w:cs="宋体"/>
                <w:i/>
                <w:iCs/>
                <w:color w:val="000000"/>
                <w:kern w:val="0"/>
                <w:sz w:val="24"/>
                <w:u w:val="single"/>
              </w:rPr>
              <w:t>、其他危废贮存区50m</w:t>
            </w:r>
            <w:r>
              <w:rPr>
                <w:rFonts w:hint="eastAsia" w:ascii="宋体" w:hAnsi="宋体" w:cs="宋体"/>
                <w:i/>
                <w:iCs/>
                <w:color w:val="000000"/>
                <w:kern w:val="0"/>
                <w:sz w:val="24"/>
                <w:u w:val="single"/>
                <w:vertAlign w:val="superscript"/>
              </w:rPr>
              <w:t>2</w:t>
            </w:r>
            <w:r>
              <w:rPr>
                <w:rFonts w:hint="eastAsia" w:ascii="宋体" w:hAnsi="宋体" w:cs="宋体"/>
                <w:i/>
                <w:iCs/>
                <w:color w:val="000000"/>
                <w:kern w:val="0"/>
                <w:sz w:val="24"/>
                <w:u w:val="single"/>
              </w:rPr>
              <w:t>，库房为密闭结构，与拆解车间进行分隔并建设独立的储存区设置独立大门。废电瓶用防渗托盘贮存，废油和废油液用防渗密闭桶装。废电瓶最大贮存能力为3t，废油液最大贮存能力为1</w:t>
            </w:r>
            <w:r>
              <w:rPr>
                <w:rFonts w:hint="eastAsia"/>
                <w:i/>
                <w:iCs/>
                <w:color w:val="000000"/>
                <w:kern w:val="0"/>
                <w:sz w:val="24"/>
                <w:u w:val="single"/>
              </w:rPr>
              <w:t>t，其他危废最大贮存能力为1t</w:t>
            </w:r>
            <w:r>
              <w:rPr>
                <w:rFonts w:hint="eastAsia" w:ascii="宋体" w:hAnsi="宋体" w:cs="宋体"/>
                <w:i/>
                <w:iCs/>
                <w:color w:val="000000"/>
                <w:kern w:val="0"/>
                <w:sz w:val="24"/>
                <w:u w:val="single"/>
              </w:rPr>
              <w:t>，本项目建设后，定期委托有资质单位进行转运处置，每年至少转运一次，危废贮存库暂存能力可以满足本项目使用要求。</w:t>
            </w:r>
          </w:p>
          <w:p>
            <w:pPr>
              <w:widowControl/>
              <w:spacing w:line="360" w:lineRule="auto"/>
              <w:ind w:firstLine="480" w:firstLineChars="200"/>
              <w:rPr>
                <w:rFonts w:ascii="宋体" w:hAnsi="宋体" w:cs="宋体"/>
                <w:i/>
                <w:iCs/>
                <w:color w:val="000000"/>
                <w:kern w:val="0"/>
                <w:sz w:val="24"/>
                <w:u w:val="single"/>
              </w:rPr>
            </w:pPr>
            <w:r>
              <w:rPr>
                <w:rFonts w:ascii="宋体" w:hAnsi="宋体" w:cs="宋体"/>
                <w:i/>
                <w:iCs/>
                <w:color w:val="000000"/>
                <w:kern w:val="0"/>
                <w:sz w:val="24"/>
                <w:u w:val="single"/>
              </w:rPr>
              <w:t>① 废油液储存区：放置耐油防渗托盘，用于储油桶、废液容器；</w:t>
            </w:r>
          </w:p>
          <w:p>
            <w:pPr>
              <w:widowControl/>
              <w:spacing w:line="360" w:lineRule="auto"/>
              <w:ind w:firstLine="480" w:firstLineChars="200"/>
              <w:rPr>
                <w:rFonts w:ascii="宋体" w:hAnsi="宋体" w:cs="宋体"/>
                <w:i/>
                <w:iCs/>
                <w:color w:val="000000"/>
                <w:kern w:val="0"/>
                <w:sz w:val="24"/>
                <w:u w:val="single"/>
              </w:rPr>
            </w:pPr>
            <w:r>
              <w:rPr>
                <w:rFonts w:ascii="宋体" w:hAnsi="宋体" w:cs="宋体"/>
                <w:i/>
                <w:iCs/>
                <w:color w:val="000000"/>
                <w:kern w:val="0"/>
                <w:sz w:val="24"/>
                <w:u w:val="single"/>
              </w:rPr>
              <w:t>② 废铅酸蓄电池隔离存放区（防腐地坪）；</w:t>
            </w:r>
          </w:p>
          <w:p>
            <w:pPr>
              <w:widowControl/>
              <w:spacing w:line="360" w:lineRule="auto"/>
              <w:ind w:firstLine="480" w:firstLineChars="200"/>
              <w:rPr>
                <w:i/>
                <w:iCs/>
                <w:u w:val="single"/>
              </w:rPr>
            </w:pPr>
            <w:r>
              <w:rPr>
                <w:rFonts w:ascii="宋体" w:hAnsi="宋体" w:cs="宋体"/>
                <w:i/>
                <w:iCs/>
                <w:color w:val="000000"/>
                <w:kern w:val="0"/>
                <w:sz w:val="24"/>
                <w:u w:val="single"/>
              </w:rPr>
              <w:t>③ 固态危废存放区：废滤清器、废催化器、电路板、废活性炭、油泥；</w:t>
            </w:r>
          </w:p>
          <w:p>
            <w:pPr>
              <w:widowControl/>
              <w:spacing w:line="360" w:lineRule="auto"/>
              <w:ind w:firstLine="480" w:firstLineChars="200"/>
              <w:rPr>
                <w:rFonts w:ascii="宋体" w:hAnsi="宋体" w:cs="宋体"/>
                <w:i/>
                <w:iCs/>
                <w:color w:val="000000"/>
                <w:kern w:val="0"/>
                <w:sz w:val="24"/>
                <w:u w:val="single"/>
              </w:rPr>
            </w:pPr>
            <w:r>
              <w:rPr>
                <w:rFonts w:hint="eastAsia" w:ascii="宋体" w:hAnsi="宋体" w:cs="宋体"/>
                <w:i/>
                <w:iCs/>
                <w:color w:val="000000"/>
                <w:kern w:val="0"/>
                <w:sz w:val="24"/>
                <w:u w:val="single"/>
              </w:rPr>
              <w:t>危废贮存库内进行分区设置，各分区内对不同类型的危险废物进行分区储存。对危废贮存库进行整体抽风，与收集管道相连，收集的废气经活性炭吸附装置处理后通过不低于</w:t>
            </w:r>
            <w:r>
              <w:rPr>
                <w:i/>
                <w:iCs/>
                <w:color w:val="000000"/>
                <w:kern w:val="0"/>
                <w:sz w:val="24"/>
                <w:u w:val="single"/>
              </w:rPr>
              <w:t>15m</w:t>
            </w:r>
            <w:r>
              <w:rPr>
                <w:rFonts w:hint="eastAsia" w:ascii="宋体" w:hAnsi="宋体" w:cs="宋体"/>
                <w:i/>
                <w:iCs/>
                <w:color w:val="000000"/>
                <w:kern w:val="0"/>
                <w:sz w:val="24"/>
                <w:u w:val="single"/>
              </w:rPr>
              <w:t>高排气筒（</w:t>
            </w:r>
            <w:r>
              <w:rPr>
                <w:i/>
                <w:iCs/>
                <w:color w:val="000000"/>
                <w:kern w:val="0"/>
                <w:sz w:val="24"/>
                <w:u w:val="single"/>
              </w:rPr>
              <w:t>DA00</w:t>
            </w:r>
            <w:r>
              <w:rPr>
                <w:rFonts w:hint="eastAsia"/>
                <w:i/>
                <w:iCs/>
                <w:color w:val="000000"/>
                <w:kern w:val="0"/>
                <w:sz w:val="24"/>
                <w:u w:val="single"/>
              </w:rPr>
              <w:t>1</w:t>
            </w:r>
            <w:r>
              <w:rPr>
                <w:rFonts w:hint="eastAsia" w:ascii="宋体" w:hAnsi="宋体" w:cs="宋体"/>
                <w:i/>
                <w:iCs/>
                <w:color w:val="000000"/>
                <w:kern w:val="0"/>
                <w:sz w:val="24"/>
                <w:u w:val="single"/>
              </w:rPr>
              <w:t>）排放。危险废物贮存区设置导流沟；不同种类的危险废物应单独收集、分类存放，中间有明显间隔；贮存场所应设置警示标识，应建有堵截泄漏的裙脚，地面与裙脚要用坚固防渗的材料建造；应有隔离设施、报警装置和防风、防晒、防雨设施，同时其地面应做防酸、防腐、防渗及硬化处理，同时满足《危险废物贮存污染控制标准》（</w:t>
            </w:r>
            <w:r>
              <w:rPr>
                <w:i/>
                <w:iCs/>
                <w:color w:val="000000"/>
                <w:kern w:val="0"/>
                <w:sz w:val="24"/>
                <w:u w:val="single"/>
              </w:rPr>
              <w:t>GB18597-2023</w:t>
            </w:r>
            <w:r>
              <w:rPr>
                <w:rFonts w:hint="eastAsia" w:ascii="宋体" w:hAnsi="宋体" w:cs="宋体"/>
                <w:i/>
                <w:iCs/>
                <w:color w:val="000000"/>
                <w:kern w:val="0"/>
                <w:sz w:val="24"/>
                <w:u w:val="single"/>
              </w:rPr>
              <w:t>）中相关要求；基础防渗层可用厚度为至少</w:t>
            </w:r>
            <w:r>
              <w:rPr>
                <w:i/>
                <w:iCs/>
                <w:color w:val="000000"/>
                <w:kern w:val="0"/>
                <w:sz w:val="24"/>
                <w:u w:val="single"/>
              </w:rPr>
              <w:t>1m</w:t>
            </w:r>
            <w:r>
              <w:rPr>
                <w:rFonts w:hint="eastAsia" w:ascii="宋体" w:hAnsi="宋体" w:cs="宋体"/>
                <w:i/>
                <w:iCs/>
                <w:color w:val="000000"/>
                <w:kern w:val="0"/>
                <w:sz w:val="24"/>
                <w:u w:val="single"/>
              </w:rPr>
              <w:t>厚黏土层（渗透 系数不大于</w:t>
            </w:r>
            <w:r>
              <w:rPr>
                <w:i/>
                <w:iCs/>
                <w:color w:val="000000"/>
                <w:kern w:val="0"/>
                <w:sz w:val="24"/>
                <w:u w:val="single"/>
              </w:rPr>
              <w:t xml:space="preserve">10 </w:t>
            </w:r>
            <w:r>
              <w:rPr>
                <w:rFonts w:hint="eastAsia"/>
                <w:i/>
                <w:iCs/>
                <w:color w:val="000000"/>
                <w:kern w:val="0"/>
                <w:sz w:val="24"/>
                <w:u w:val="single"/>
                <w:vertAlign w:val="superscript"/>
              </w:rPr>
              <w:t>-7</w:t>
            </w:r>
            <w:r>
              <w:rPr>
                <w:i/>
                <w:iCs/>
                <w:color w:val="000000"/>
                <w:kern w:val="0"/>
                <w:sz w:val="24"/>
                <w:u w:val="single"/>
              </w:rPr>
              <w:t>cm/s</w:t>
            </w:r>
            <w:r>
              <w:rPr>
                <w:rFonts w:hint="eastAsia" w:ascii="宋体" w:hAnsi="宋体" w:cs="宋体"/>
                <w:i/>
                <w:iCs/>
                <w:color w:val="000000"/>
                <w:kern w:val="0"/>
                <w:sz w:val="24"/>
                <w:u w:val="single"/>
              </w:rPr>
              <w:t>）或厚度为至少</w:t>
            </w:r>
            <w:r>
              <w:rPr>
                <w:i/>
                <w:iCs/>
                <w:color w:val="000000"/>
                <w:kern w:val="0"/>
                <w:sz w:val="24"/>
                <w:u w:val="single"/>
              </w:rPr>
              <w:t>2mm</w:t>
            </w:r>
            <w:r>
              <w:rPr>
                <w:rFonts w:hint="eastAsia" w:ascii="宋体" w:hAnsi="宋体" w:cs="宋体"/>
                <w:i/>
                <w:iCs/>
                <w:color w:val="000000"/>
                <w:kern w:val="0"/>
                <w:sz w:val="24"/>
                <w:u w:val="single"/>
              </w:rPr>
              <w:t xml:space="preserve">以上的高密度聚乙烯或其他人工防渗材 料组成（渗透系数不大于 </w:t>
            </w:r>
            <w:r>
              <w:rPr>
                <w:i/>
                <w:iCs/>
                <w:color w:val="000000"/>
                <w:kern w:val="0"/>
                <w:sz w:val="24"/>
                <w:u w:val="single"/>
              </w:rPr>
              <w:t>1.0</w:t>
            </w:r>
            <w:r>
              <w:rPr>
                <w:rFonts w:hint="eastAsia" w:ascii="宋体" w:hAnsi="宋体" w:cs="宋体"/>
                <w:i/>
                <w:iCs/>
                <w:color w:val="000000"/>
                <w:kern w:val="0"/>
                <w:sz w:val="24"/>
                <w:u w:val="single"/>
              </w:rPr>
              <w:t>×</w:t>
            </w:r>
            <w:r>
              <w:rPr>
                <w:i/>
                <w:iCs/>
                <w:color w:val="000000"/>
                <w:kern w:val="0"/>
                <w:sz w:val="24"/>
                <w:u w:val="single"/>
              </w:rPr>
              <w:t>10</w:t>
            </w:r>
            <w:r>
              <w:rPr>
                <w:rFonts w:hint="eastAsia"/>
                <w:i/>
                <w:iCs/>
                <w:color w:val="000000"/>
                <w:kern w:val="0"/>
                <w:sz w:val="24"/>
                <w:u w:val="single"/>
                <w:vertAlign w:val="superscript"/>
              </w:rPr>
              <w:t>-10</w:t>
            </w:r>
            <w:r>
              <w:rPr>
                <w:i/>
                <w:iCs/>
                <w:color w:val="000000"/>
                <w:kern w:val="0"/>
                <w:sz w:val="24"/>
                <w:u w:val="single"/>
              </w:rPr>
              <w:t>cm/s</w:t>
            </w:r>
            <w:r>
              <w:rPr>
                <w:rFonts w:hint="eastAsia" w:ascii="宋体" w:hAnsi="宋体" w:cs="宋体"/>
                <w:i/>
                <w:iCs/>
                <w:color w:val="000000"/>
                <w:kern w:val="0"/>
                <w:sz w:val="24"/>
                <w:u w:val="single"/>
              </w:rPr>
              <w:t>）。</w:t>
            </w:r>
          </w:p>
          <w:p>
            <w:pPr>
              <w:widowControl/>
              <w:spacing w:line="360" w:lineRule="auto"/>
              <w:ind w:firstLine="480" w:firstLineChars="200"/>
              <w:rPr>
                <w:i/>
                <w:iCs/>
                <w:sz w:val="24"/>
                <w:u w:val="single"/>
              </w:rPr>
            </w:pPr>
            <w:r>
              <w:rPr>
                <w:rFonts w:hint="eastAsia"/>
                <w:i/>
                <w:iCs/>
                <w:sz w:val="24"/>
                <w:u w:val="single"/>
              </w:rPr>
              <w:t>根据《废铅蓄电池处理污染控制技术规范》（HJ519-2020），废铅蓄电池的暂存应符合以下要求：危废间内废铅蓄电池应划分出专门存放区域，面积不少于 20m</w:t>
            </w:r>
            <w:r>
              <w:rPr>
                <w:rFonts w:hint="eastAsia"/>
                <w:i/>
                <w:iCs/>
                <w:sz w:val="24"/>
                <w:u w:val="single"/>
                <w:vertAlign w:val="superscript"/>
              </w:rPr>
              <w:t>2</w:t>
            </w:r>
            <w:r>
              <w:rPr>
                <w:rFonts w:hint="eastAsia"/>
                <w:i/>
                <w:iCs/>
                <w:sz w:val="24"/>
                <w:u w:val="single"/>
              </w:rPr>
              <w:t>；有防止废铅蓄电池破损和电解质泄漏的措施，硬化地面及有耐腐蚀包装容器；废铅蓄电池应存放于耐腐蚀、具有防渗漏措施的托盘或容器中；在显著位置张贴废铅蓄电池收集提示性信息和警示标志。蓄电池在拆除和贮存过程中如外壳开裂、密封阀泄漏的蓄电池及时转移收集至耐酸、防渗专业密封的容器中，单独存放至铅蓄电池贮存区，破损铅蓄电池贮存区为封闭式，产生少量的硫酸雾经负压收集后经15m高排气筒排放。</w:t>
            </w:r>
          </w:p>
          <w:p>
            <w:pPr>
              <w:widowControl/>
              <w:spacing w:line="360" w:lineRule="auto"/>
              <w:ind w:firstLine="480" w:firstLineChars="200"/>
              <w:rPr>
                <w:i/>
                <w:iCs/>
                <w:color w:val="000000"/>
                <w:kern w:val="0"/>
                <w:sz w:val="24"/>
                <w:u w:val="single"/>
              </w:rPr>
            </w:pPr>
            <w:r>
              <w:rPr>
                <w:rFonts w:hint="eastAsia"/>
                <w:i/>
                <w:iCs/>
                <w:color w:val="000000"/>
                <w:kern w:val="0"/>
                <w:sz w:val="24"/>
                <w:u w:val="single"/>
              </w:rPr>
              <w:t>对于危险废物的贮存及转运应按照以下几方面进行环境管理：</w:t>
            </w:r>
          </w:p>
          <w:p>
            <w:pPr>
              <w:widowControl/>
              <w:spacing w:line="360" w:lineRule="auto"/>
              <w:ind w:firstLine="480" w:firstLineChars="200"/>
              <w:rPr>
                <w:i/>
                <w:iCs/>
                <w:color w:val="000000"/>
                <w:kern w:val="0"/>
                <w:sz w:val="24"/>
                <w:u w:val="single"/>
              </w:rPr>
            </w:pPr>
            <w:r>
              <w:rPr>
                <w:rFonts w:hint="eastAsia"/>
                <w:i/>
                <w:iCs/>
                <w:color w:val="000000"/>
                <w:kern w:val="0"/>
                <w:sz w:val="24"/>
                <w:u w:val="single"/>
              </w:rPr>
              <w:t>①建立岗位责任制和危险废物管理档案，由专人负责危险废物收集和管理工作。</w:t>
            </w:r>
          </w:p>
          <w:p>
            <w:pPr>
              <w:widowControl/>
              <w:spacing w:line="360" w:lineRule="auto"/>
              <w:ind w:firstLine="480" w:firstLineChars="200"/>
              <w:rPr>
                <w:i/>
                <w:iCs/>
                <w:color w:val="000000"/>
                <w:kern w:val="0"/>
                <w:sz w:val="24"/>
                <w:u w:val="single"/>
              </w:rPr>
            </w:pPr>
            <w:r>
              <w:rPr>
                <w:rFonts w:hint="eastAsia"/>
                <w:i/>
                <w:iCs/>
                <w:color w:val="000000"/>
                <w:kern w:val="0"/>
                <w:sz w:val="24"/>
                <w:u w:val="single"/>
              </w:rPr>
              <w:t>②危险废物的运输和处置必须委托有资质的单位进行处理，建立危险废物处置台账。</w:t>
            </w:r>
          </w:p>
          <w:p>
            <w:pPr>
              <w:widowControl/>
              <w:spacing w:line="360" w:lineRule="auto"/>
              <w:ind w:firstLine="480" w:firstLineChars="200"/>
              <w:rPr>
                <w:i/>
                <w:iCs/>
                <w:color w:val="000000"/>
                <w:kern w:val="0"/>
                <w:sz w:val="24"/>
                <w:u w:val="single"/>
              </w:rPr>
            </w:pPr>
            <w:r>
              <w:rPr>
                <w:rFonts w:hint="eastAsia"/>
                <w:i/>
                <w:iCs/>
                <w:color w:val="000000"/>
                <w:kern w:val="0"/>
                <w:sz w:val="24"/>
                <w:u w:val="single"/>
              </w:rPr>
              <w:t>③危险废物收集后应储存在危险废物贮存库中。在建设危险废物堆放场所的过程中应满足以下要求：危险废物贮存区应设置液体导流和收集装置，地面应无液体积聚；不同种类的危险废物应单独收集、分类存放，中间有明显间隔；贮存场所应设置警示标识，应建有堵截泄漏的裙脚，地面与裙脚要用坚固防渗的材料建造；应有隔离设施、报警装置和防风、防晒、防雨设施，同时其地面应做防酸、防腐、防渗及硬化处理，同时满足《危险废物贮存污染控制标准》（GB18597-2023）中相关要求；基础防渗层可用厚度在 2mm 以上的高密度聚乙烯或其他人工防渗材料组成，渗透系数应小于1.0×10</w:t>
            </w:r>
            <w:r>
              <w:rPr>
                <w:rFonts w:hint="eastAsia"/>
                <w:i/>
                <w:iCs/>
                <w:color w:val="000000"/>
                <w:kern w:val="0"/>
                <w:sz w:val="24"/>
                <w:u w:val="single"/>
                <w:vertAlign w:val="superscript"/>
              </w:rPr>
              <w:t>-7</w:t>
            </w:r>
            <w:r>
              <w:rPr>
                <w:rFonts w:hint="eastAsia"/>
                <w:i/>
                <w:iCs/>
                <w:color w:val="000000"/>
                <w:kern w:val="0"/>
                <w:sz w:val="24"/>
                <w:u w:val="single"/>
              </w:rPr>
              <w:t>cm/s。</w:t>
            </w:r>
          </w:p>
          <w:p>
            <w:pPr>
              <w:pStyle w:val="26"/>
              <w:adjustRightInd w:val="0"/>
              <w:snapToGrid w:val="0"/>
              <w:spacing w:before="0" w:after="0" w:line="360" w:lineRule="auto"/>
              <w:ind w:firstLine="480"/>
              <w:rPr>
                <w:rFonts w:eastAsia="宋体"/>
                <w:b w:val="0"/>
                <w:bCs/>
                <w:i/>
                <w:iCs/>
                <w:color w:val="auto"/>
                <w:sz w:val="24"/>
                <w:szCs w:val="24"/>
                <w:u w:val="single"/>
              </w:rPr>
            </w:pPr>
            <w:r>
              <w:rPr>
                <w:rFonts w:hint="eastAsia" w:eastAsia="宋体"/>
                <w:b w:val="0"/>
                <w:bCs/>
                <w:i/>
                <w:iCs/>
                <w:color w:val="auto"/>
                <w:sz w:val="24"/>
                <w:szCs w:val="24"/>
                <w:u w:val="single"/>
              </w:rPr>
              <w:t>④采用专用车辆和专用容器运输贮存危险废物，禁止将危险废物混入生活垃圾或其他废物。</w:t>
            </w:r>
          </w:p>
          <w:p>
            <w:pPr>
              <w:pStyle w:val="2"/>
              <w:rPr>
                <w:bCs/>
                <w:i/>
                <w:iCs/>
                <w:sz w:val="24"/>
                <w:u w:val="single"/>
              </w:rPr>
            </w:pPr>
            <w:r>
              <w:rPr>
                <w:rFonts w:hint="eastAsia"/>
                <w:bCs/>
                <w:i/>
                <w:iCs/>
                <w:sz w:val="24"/>
                <w:u w:val="single"/>
              </w:rPr>
              <w:t>⑤在收集、贮存危险废物过程中，发生污染事故或其他突发性污染事件时，必须立即采取措施，消除或减轻污染危害，及时通知可能受到危害的单位和居民，并应于24h内向所在区、市环境保护行政主管部门和有关部门报告，接受调查处理。</w:t>
            </w:r>
          </w:p>
          <w:p>
            <w:pPr>
              <w:pStyle w:val="26"/>
              <w:adjustRightInd w:val="0"/>
              <w:snapToGrid w:val="0"/>
              <w:spacing w:before="0" w:after="0" w:line="360" w:lineRule="auto"/>
              <w:ind w:firstLine="480"/>
              <w:rPr>
                <w:rFonts w:eastAsia="宋体"/>
                <w:b w:val="0"/>
                <w:bCs/>
                <w:i/>
                <w:iCs/>
                <w:color w:val="auto"/>
                <w:sz w:val="24"/>
                <w:szCs w:val="24"/>
                <w:u w:val="single"/>
              </w:rPr>
            </w:pPr>
            <w:r>
              <w:rPr>
                <w:rFonts w:hint="eastAsia" w:eastAsia="宋体"/>
                <w:b w:val="0"/>
                <w:bCs/>
                <w:i/>
                <w:iCs/>
                <w:color w:val="auto"/>
                <w:sz w:val="24"/>
                <w:szCs w:val="24"/>
                <w:u w:val="single"/>
              </w:rPr>
              <w:t>⑥收集、贮存危险废物过程中按危险废物特性进行分类包装。包装容器的外面必须有表示废物形态、性质的明显标志，并向运输者和接收者提供安全保护要求的文字说明。</w:t>
            </w:r>
          </w:p>
          <w:p>
            <w:pPr>
              <w:pStyle w:val="26"/>
              <w:adjustRightInd w:val="0"/>
              <w:snapToGrid w:val="0"/>
              <w:spacing w:before="0" w:after="0" w:line="360" w:lineRule="auto"/>
              <w:ind w:firstLine="480"/>
              <w:rPr>
                <w:rFonts w:eastAsia="宋体"/>
                <w:b w:val="0"/>
                <w:bCs/>
                <w:i/>
                <w:iCs/>
                <w:color w:val="auto"/>
                <w:sz w:val="24"/>
                <w:szCs w:val="24"/>
                <w:u w:val="single"/>
              </w:rPr>
            </w:pPr>
            <w:r>
              <w:rPr>
                <w:rFonts w:hint="eastAsia" w:eastAsia="宋体"/>
                <w:b w:val="0"/>
                <w:bCs/>
                <w:i/>
                <w:iCs/>
                <w:color w:val="auto"/>
                <w:sz w:val="24"/>
                <w:szCs w:val="24"/>
                <w:u w:val="single"/>
              </w:rPr>
              <w:t>⑦危险废物的贮存设施必须符合国家标准和有关规定，有防渗漏、防雨淋、防流失措施，并必须设置识别危险废物的明显标志。</w:t>
            </w:r>
          </w:p>
          <w:p>
            <w:pPr>
              <w:widowControl/>
              <w:spacing w:line="360" w:lineRule="auto"/>
              <w:jc w:val="left"/>
              <w:rPr>
                <w:rFonts w:ascii="宋体" w:hAnsi="宋体" w:cs="宋体"/>
                <w:i/>
                <w:iCs/>
                <w:sz w:val="24"/>
                <w:u w:val="single"/>
              </w:rPr>
            </w:pPr>
            <w:r>
              <w:rPr>
                <w:rFonts w:hint="eastAsia" w:ascii="宋体" w:hAnsi="宋体" w:cs="宋体"/>
                <w:i/>
                <w:iCs/>
                <w:kern w:val="0"/>
                <w:sz w:val="24"/>
                <w:u w:val="single"/>
              </w:rPr>
              <w:t xml:space="preserve">   </w:t>
            </w:r>
            <w:r>
              <w:rPr>
                <w:rFonts w:hint="eastAsia" w:ascii="宋体" w:hAnsi="宋体" w:cs="宋体"/>
                <w:bCs/>
                <w:i/>
                <w:iCs/>
                <w:sz w:val="24"/>
                <w:u w:val="single"/>
              </w:rPr>
              <w:t>综上所述，项目固体废物应及时清运并妥善处置，尽可能减小对周围环境的影响。在加强管理，并在落实好各项污染防治措施和固体废物安全处置措施的前提下，本项目产生的固体废物不会产生二次污染，对周围环境的影响较小。</w:t>
            </w:r>
          </w:p>
          <w:p>
            <w:pPr>
              <w:numPr>
                <w:ilvl w:val="0"/>
                <w:numId w:val="5"/>
              </w:numPr>
              <w:spacing w:line="360" w:lineRule="auto"/>
              <w:ind w:firstLine="482" w:firstLineChars="200"/>
              <w:rPr>
                <w:b/>
                <w:snapToGrid w:val="0"/>
                <w:kern w:val="0"/>
                <w:sz w:val="24"/>
              </w:rPr>
            </w:pPr>
            <w:r>
              <w:rPr>
                <w:rFonts w:hint="eastAsia"/>
                <w:b/>
                <w:snapToGrid w:val="0"/>
                <w:kern w:val="0"/>
                <w:sz w:val="24"/>
              </w:rPr>
              <w:t>地下水、土壤</w:t>
            </w:r>
          </w:p>
          <w:p>
            <w:pPr>
              <w:pStyle w:val="47"/>
              <w:ind w:firstLine="504"/>
              <w:jc w:val="both"/>
              <w:rPr>
                <w:rFonts w:eastAsia="宋体" w:cs="Times New Roman"/>
                <w:color w:val="auto"/>
                <w:kern w:val="0"/>
                <w:sz w:val="24"/>
                <w:szCs w:val="24"/>
                <w:lang/>
              </w:rPr>
            </w:pPr>
            <w:r>
              <w:rPr>
                <w:rFonts w:hint="eastAsia" w:eastAsia="宋体" w:cs="Times New Roman"/>
                <w:color w:val="auto"/>
                <w:kern w:val="0"/>
                <w:sz w:val="24"/>
                <w:szCs w:val="24"/>
                <w:lang/>
              </w:rPr>
              <w:t>（</w:t>
            </w:r>
            <w:r>
              <w:rPr>
                <w:rFonts w:hint="eastAsia" w:eastAsia="宋体" w:cs="Times New Roman"/>
                <w:color w:val="auto"/>
                <w:kern w:val="0"/>
                <w:sz w:val="24"/>
                <w:szCs w:val="24"/>
              </w:rPr>
              <w:t>1</w:t>
            </w:r>
            <w:r>
              <w:rPr>
                <w:rFonts w:hint="eastAsia" w:eastAsia="宋体" w:cs="Times New Roman"/>
                <w:color w:val="auto"/>
                <w:kern w:val="0"/>
                <w:sz w:val="24"/>
                <w:szCs w:val="24"/>
                <w:lang/>
              </w:rPr>
              <w:t>）污染源分析</w:t>
            </w:r>
          </w:p>
          <w:p>
            <w:pPr>
              <w:widowControl/>
              <w:spacing w:line="360" w:lineRule="auto"/>
              <w:ind w:firstLine="480" w:firstLineChars="200"/>
              <w:jc w:val="left"/>
            </w:pPr>
            <w:r>
              <w:rPr>
                <w:rFonts w:hint="eastAsia" w:ascii="宋体" w:hAnsi="宋体" w:cs="宋体"/>
                <w:color w:val="000000"/>
                <w:kern w:val="0"/>
                <w:sz w:val="24"/>
              </w:rPr>
              <w:t>本项目土壤、地下水环境主要污染源为拆解区、危险废物贮存库存储的危险废物，以及初期雨水、事故废水收集池内的含油废水，污染物主要为石油烃等污染物。</w:t>
            </w:r>
          </w:p>
          <w:p>
            <w:pPr>
              <w:widowControl/>
              <w:spacing w:line="360" w:lineRule="auto"/>
              <w:ind w:firstLine="480" w:firstLineChars="200"/>
            </w:pPr>
            <w:r>
              <w:rPr>
                <w:rFonts w:hint="eastAsia" w:ascii="宋体" w:hAnsi="宋体" w:cs="宋体"/>
                <w:kern w:val="0"/>
                <w:sz w:val="24"/>
              </w:rPr>
              <w:t>本项目所在地所有场地已全部硬化，项目污水达标排放。项目在落实处理装置防渗防漏工作的情况下，不会引起土壤污染，不会引起地下水水质、水量变化产生环境水文地质问题。应按规范将防渗措施落实到位，保证项目正常运行，对土壤、地下水环境影响较小。</w:t>
            </w:r>
          </w:p>
          <w:p>
            <w:pPr>
              <w:widowControl/>
              <w:spacing w:line="360" w:lineRule="auto"/>
              <w:ind w:firstLine="480" w:firstLineChars="200"/>
              <w:jc w:val="left"/>
              <w:rPr>
                <w:rFonts w:ascii="宋体" w:hAnsi="宋体" w:cs="宋体"/>
                <w:sz w:val="24"/>
              </w:rPr>
            </w:pPr>
            <w:r>
              <w:rPr>
                <w:rFonts w:hint="eastAsia" w:ascii="宋体" w:hAnsi="宋体" w:cs="宋体"/>
                <w:kern w:val="0"/>
                <w:sz w:val="24"/>
              </w:rPr>
              <w:t xml:space="preserve">（2）污染途径 </w:t>
            </w:r>
          </w:p>
          <w:p>
            <w:pPr>
              <w:widowControl/>
              <w:spacing w:line="360" w:lineRule="auto"/>
              <w:ind w:firstLine="480" w:firstLineChars="200"/>
              <w:jc w:val="left"/>
              <w:rPr>
                <w:rFonts w:ascii="宋体" w:hAnsi="宋体" w:cs="宋体"/>
                <w:sz w:val="24"/>
              </w:rPr>
            </w:pPr>
            <w:r>
              <w:rPr>
                <w:rFonts w:hint="eastAsia" w:ascii="宋体" w:hAnsi="宋体" w:cs="宋体"/>
                <w:kern w:val="0"/>
                <w:sz w:val="24"/>
              </w:rPr>
              <w:t>本项目地下水及土壤主要污染途径为地面径流、垂直入渗。本项目危险废物贮存库内的危险废物（废油液、废铅蓄电池电解液等）如果发生泄漏，会造成一定程度的环境污染。</w:t>
            </w:r>
          </w:p>
          <w:p>
            <w:pPr>
              <w:widowControl/>
              <w:spacing w:line="360" w:lineRule="auto"/>
              <w:ind w:firstLine="480" w:firstLineChars="200"/>
              <w:jc w:val="left"/>
            </w:pPr>
            <w:r>
              <w:rPr>
                <w:rFonts w:hint="eastAsia" w:ascii="宋体" w:hAnsi="宋体" w:cs="宋体"/>
                <w:kern w:val="0"/>
                <w:sz w:val="24"/>
              </w:rPr>
              <w:t>（</w:t>
            </w:r>
            <w:r>
              <w:rPr>
                <w:kern w:val="0"/>
                <w:sz w:val="24"/>
              </w:rPr>
              <w:t>3</w:t>
            </w:r>
            <w:r>
              <w:rPr>
                <w:rFonts w:hint="eastAsia" w:ascii="宋体" w:hAnsi="宋体" w:cs="宋体"/>
                <w:kern w:val="0"/>
                <w:sz w:val="24"/>
              </w:rPr>
              <w:t>）地下水、土壤污染防治措施</w:t>
            </w:r>
          </w:p>
          <w:p>
            <w:pPr>
              <w:widowControl/>
              <w:spacing w:line="360" w:lineRule="auto"/>
              <w:ind w:firstLine="480" w:firstLineChars="200"/>
              <w:jc w:val="left"/>
              <w:rPr>
                <w:rFonts w:ascii="宋体" w:hAnsi="宋体" w:cs="宋体"/>
                <w:sz w:val="24"/>
              </w:rPr>
            </w:pPr>
            <w:r>
              <w:rPr>
                <w:rFonts w:hint="eastAsia" w:ascii="宋体" w:hAnsi="宋体" w:cs="宋体"/>
                <w:kern w:val="0"/>
                <w:sz w:val="24"/>
              </w:rPr>
              <w:t xml:space="preserve">①源头控制措施 </w:t>
            </w:r>
          </w:p>
          <w:p>
            <w:pPr>
              <w:widowControl/>
              <w:spacing w:line="360" w:lineRule="auto"/>
              <w:ind w:firstLine="480" w:firstLineChars="200"/>
              <w:jc w:val="left"/>
              <w:rPr>
                <w:rFonts w:ascii="宋体" w:hAnsi="宋体" w:cs="宋体"/>
                <w:kern w:val="0"/>
                <w:sz w:val="24"/>
              </w:rPr>
            </w:pPr>
            <w:r>
              <w:rPr>
                <w:rFonts w:hint="eastAsia" w:ascii="宋体" w:hAnsi="宋体" w:cs="宋体"/>
                <w:kern w:val="0"/>
                <w:sz w:val="24"/>
              </w:rPr>
              <w:t>源头控制主要包括对拆解区、危险废物贮存库等区域采取相应措施，防止和降低污染物跑、冒、滴、漏，将污染物泄漏的环境风险事故降到最低程度。尽可能从源头上减少可能污染物的产生；严格按照国家相关规范要求，对工艺、管道、设备、储存构筑物采取相应的措施，以防止和降低可能污染物的跑、冒、滴、漏，将危险废物（废油液等）泄漏的环境风险事故降低到最低程度；项目产生的固废严格按照《危险废物贮存污染控制标准》（GB18597-2023）和《一般工业固体废物贮存和填埋污染控制标准》（GB18599-2020）相关要求进行设计和管理。</w:t>
            </w:r>
          </w:p>
          <w:p>
            <w:pPr>
              <w:widowControl/>
              <w:spacing w:line="360" w:lineRule="auto"/>
              <w:ind w:firstLine="480" w:firstLineChars="200"/>
              <w:jc w:val="left"/>
              <w:rPr>
                <w:rFonts w:ascii="宋体" w:hAnsi="宋体" w:cs="宋体"/>
                <w:i/>
                <w:iCs/>
                <w:kern w:val="0"/>
                <w:sz w:val="24"/>
                <w:u w:val="single"/>
              </w:rPr>
            </w:pPr>
            <w:r>
              <w:rPr>
                <w:rFonts w:hint="eastAsia" w:ascii="宋体" w:hAnsi="宋体" w:cs="宋体"/>
                <w:i/>
                <w:iCs/>
                <w:kern w:val="0"/>
                <w:sz w:val="24"/>
                <w:u w:val="single"/>
              </w:rPr>
              <w:t xml:space="preserve">②分区防控措施 </w:t>
            </w:r>
          </w:p>
          <w:p>
            <w:pPr>
              <w:widowControl/>
              <w:spacing w:line="360" w:lineRule="auto"/>
              <w:ind w:firstLine="480" w:firstLineChars="200"/>
              <w:jc w:val="left"/>
              <w:rPr>
                <w:rFonts w:ascii="宋体" w:hAnsi="宋体" w:cs="宋体"/>
                <w:i/>
                <w:iCs/>
                <w:kern w:val="0"/>
                <w:sz w:val="24"/>
                <w:u w:val="single"/>
              </w:rPr>
            </w:pPr>
            <w:r>
              <w:rPr>
                <w:rFonts w:hint="eastAsia" w:ascii="宋体" w:hAnsi="宋体" w:cs="宋体"/>
                <w:i/>
                <w:iCs/>
                <w:kern w:val="0"/>
                <w:sz w:val="24"/>
                <w:u w:val="single"/>
              </w:rPr>
              <w:t>项目地下水防控应以水平防渗为主，按照《环境影响评价技术导则地下水环境》(HJ610-2016)11.2.2节要求，可根据建设项目场地天然包气带防污性能、污染控制难易程度和污染物特性，采取不同的分区防渗技术要求，拆解区、危废贮存库、初期雨水收集池、事故应急池为重点防渗区，待拆解农机存储区、拆解物存储区为一般防渗区；办公室为简单防渗区。</w:t>
            </w:r>
          </w:p>
          <w:p>
            <w:pPr>
              <w:widowControl/>
              <w:spacing w:line="360" w:lineRule="auto"/>
              <w:ind w:firstLine="480" w:firstLineChars="200"/>
              <w:jc w:val="left"/>
              <w:rPr>
                <w:rFonts w:ascii="宋体" w:hAnsi="宋体" w:cs="宋体"/>
                <w:i/>
                <w:iCs/>
                <w:kern w:val="0"/>
                <w:sz w:val="24"/>
                <w:u w:val="single"/>
              </w:rPr>
            </w:pPr>
            <w:r>
              <w:rPr>
                <w:rFonts w:hint="eastAsia" w:ascii="宋体" w:hAnsi="宋体" w:cs="宋体"/>
                <w:i/>
                <w:iCs/>
                <w:kern w:val="0"/>
                <w:sz w:val="24"/>
                <w:u w:val="single"/>
              </w:rPr>
              <w:t>本项目各分区地面已采用水泥硬化，但重点防渗区以及一般防渗区不符合相关防渗、防腐、防酸、防油渗等要求，因此本次建议采取以下分区防渗措施：</w:t>
            </w:r>
          </w:p>
          <w:p>
            <w:pPr>
              <w:widowControl/>
              <w:spacing w:line="360" w:lineRule="auto"/>
              <w:ind w:firstLine="480" w:firstLineChars="200"/>
              <w:rPr>
                <w:rFonts w:ascii="宋体" w:hAnsi="宋体" w:cs="宋体"/>
                <w:i/>
                <w:iCs/>
                <w:kern w:val="0"/>
                <w:sz w:val="24"/>
                <w:u w:val="single"/>
              </w:rPr>
            </w:pPr>
            <w:r>
              <w:rPr>
                <w:rFonts w:hint="eastAsia" w:ascii="宋体" w:hAnsi="宋体" w:cs="宋体"/>
                <w:i/>
                <w:iCs/>
                <w:kern w:val="0"/>
                <w:sz w:val="24"/>
                <w:u w:val="single"/>
              </w:rPr>
              <w:t>重点防渗区：拆解区、危废贮存库、污水暂存池、事故应急池。原有</w:t>
            </w:r>
            <w:r>
              <w:rPr>
                <w:rFonts w:ascii="宋体" w:hAnsi="宋体" w:cs="宋体"/>
                <w:i/>
                <w:iCs/>
                <w:kern w:val="0"/>
                <w:sz w:val="24"/>
                <w:u w:val="single"/>
              </w:rPr>
              <w:t>拆解区地面</w:t>
            </w:r>
            <w:r>
              <w:rPr>
                <w:rFonts w:hint="eastAsia" w:ascii="宋体" w:hAnsi="宋体" w:cs="宋体"/>
                <w:i/>
                <w:iCs/>
                <w:kern w:val="0"/>
                <w:sz w:val="24"/>
                <w:u w:val="single"/>
              </w:rPr>
              <w:t>为普通混凝土，本次进行改造，</w:t>
            </w:r>
            <w:r>
              <w:rPr>
                <w:rFonts w:ascii="宋体" w:hAnsi="宋体" w:cs="宋体"/>
                <w:i/>
                <w:iCs/>
                <w:kern w:val="0"/>
                <w:sz w:val="24"/>
                <w:u w:val="single"/>
              </w:rPr>
              <w:t>采用C30 抗渗等级 P6 商品混凝土浇筑，混凝土厚度≥150mm；混凝土面层整体涂刷耐油环氧树脂防渗面层，整体防渗层渗透系数≤\(1×10^{-10}\mathrm{cm/s}\)，能够阻隔矿物油、电解液、有机溶剂下渗，防范土壤、地下水污染。地面施工完成后进行养护、裂缝封闭处理，定期巡检修补裂缝。</w:t>
            </w:r>
          </w:p>
          <w:p>
            <w:pPr>
              <w:widowControl/>
              <w:spacing w:line="360" w:lineRule="auto"/>
              <w:ind w:firstLine="480" w:firstLineChars="200"/>
              <w:rPr>
                <w:rFonts w:ascii="宋体" w:hAnsi="宋体" w:cs="宋体"/>
                <w:i/>
                <w:iCs/>
                <w:kern w:val="0"/>
                <w:sz w:val="24"/>
                <w:u w:val="single"/>
              </w:rPr>
            </w:pPr>
            <w:r>
              <w:rPr>
                <w:rFonts w:hint="eastAsia" w:ascii="宋体" w:hAnsi="宋体" w:cs="宋体"/>
                <w:i/>
                <w:iCs/>
                <w:kern w:val="0"/>
                <w:sz w:val="24"/>
                <w:u w:val="single"/>
              </w:rPr>
              <w:t>①在拆解车间、各危废暂存库四周设置防腐沟，地面及四侧墙裙铺设一层2mm厚的高密度聚乙烯（HDPE）防渗层，高密度聚乙烯材料具有良好的耐酸、耐腐蚀、防渗效果，渗透系数≤10-10cm/s，在聚乙烯层上铺设一层10cm厚的耐酸混凝土层，最后涂刷2mm厚环氧树脂；②各危险废物贮存区应设置液体导流和收集装置，</w:t>
            </w:r>
            <w:r>
              <w:rPr>
                <w:rFonts w:ascii="宋体" w:hAnsi="宋体" w:cs="宋体"/>
                <w:i/>
                <w:iCs/>
                <w:kern w:val="0"/>
                <w:sz w:val="24"/>
                <w:u w:val="single"/>
              </w:rPr>
              <w:t>拆解过</w:t>
            </w:r>
            <w:r>
              <w:rPr>
                <w:rFonts w:hint="eastAsia" w:ascii="宋体" w:hAnsi="宋体" w:cs="宋体"/>
                <w:i/>
                <w:iCs/>
                <w:kern w:val="0"/>
                <w:sz w:val="24"/>
                <w:u w:val="single"/>
              </w:rPr>
              <w:t>程中</w:t>
            </w:r>
            <w:r>
              <w:rPr>
                <w:rFonts w:ascii="宋体" w:hAnsi="宋体" w:cs="宋体"/>
                <w:i/>
                <w:iCs/>
                <w:kern w:val="0"/>
                <w:sz w:val="24"/>
                <w:u w:val="single"/>
              </w:rPr>
              <w:t>产生散落油污、少量泄漏液体，优先采用吸油毡、沙土吸附收集，作为危险废物密闭收集；严禁直接使用清水冲洗拆解地面油污，避免形成含油废水大量产生；</w:t>
            </w:r>
            <w:r>
              <w:rPr>
                <w:rFonts w:hint="eastAsia" w:ascii="宋体" w:hAnsi="宋体" w:cs="宋体"/>
                <w:i/>
                <w:iCs/>
                <w:kern w:val="0"/>
                <w:sz w:val="24"/>
                <w:u w:val="single"/>
              </w:rPr>
              <w:t>③拆解区及贮存区应采取防油渗措施，按照GB50037的要求在防渗地面上涂刷有耐磨性能的防油渗涂料；④蓄电池拆卸及其贮存区应满足HJ1186中的相关要求，地面应采用环氧地坪等硬化措施，地面应做防酸、防腐、防渗、硬化及绝缘处理；⑤污水暂存池和事故应急池参照HJ610-2016中重点防渗区的要求，即等效黏土防渗层厚度≥6.0m，渗透系数k≤1×10</w:t>
            </w:r>
            <w:r>
              <w:rPr>
                <w:rFonts w:hint="eastAsia" w:ascii="宋体" w:hAnsi="宋体" w:cs="宋体"/>
                <w:i/>
                <w:iCs/>
                <w:kern w:val="0"/>
                <w:sz w:val="24"/>
                <w:u w:val="single"/>
                <w:vertAlign w:val="superscript"/>
              </w:rPr>
              <w:t>-7</w:t>
            </w:r>
            <w:r>
              <w:rPr>
                <w:rFonts w:hint="eastAsia" w:ascii="宋体" w:hAnsi="宋体" w:cs="宋体"/>
                <w:i/>
                <w:iCs/>
                <w:kern w:val="0"/>
                <w:sz w:val="24"/>
                <w:u w:val="single"/>
              </w:rPr>
              <w:t>cm/s。</w:t>
            </w:r>
          </w:p>
          <w:p>
            <w:pPr>
              <w:widowControl/>
              <w:spacing w:line="360" w:lineRule="auto"/>
              <w:ind w:firstLine="480" w:firstLineChars="200"/>
              <w:jc w:val="left"/>
              <w:rPr>
                <w:rFonts w:ascii="宋体" w:hAnsi="宋体" w:cs="宋体"/>
                <w:i/>
                <w:iCs/>
                <w:kern w:val="0"/>
                <w:sz w:val="24"/>
                <w:u w:val="single"/>
              </w:rPr>
            </w:pPr>
            <w:r>
              <w:rPr>
                <w:rFonts w:hint="eastAsia" w:ascii="宋体" w:hAnsi="宋体" w:cs="宋体"/>
                <w:i/>
                <w:iCs/>
                <w:kern w:val="0"/>
                <w:sz w:val="24"/>
                <w:u w:val="single"/>
              </w:rPr>
              <w:t>一般防渗区：待拆解农机存储区、拆解物存储区，采用天然或人工材料构筑防渗层，防渗层的厚度应相当于渗透系数为1.0×10</w:t>
            </w:r>
            <w:r>
              <w:rPr>
                <w:rFonts w:hint="eastAsia" w:ascii="宋体" w:hAnsi="宋体" w:cs="宋体"/>
                <w:i/>
                <w:iCs/>
                <w:kern w:val="0"/>
                <w:sz w:val="24"/>
                <w:u w:val="single"/>
                <w:vertAlign w:val="superscript"/>
              </w:rPr>
              <w:t>-7</w:t>
            </w:r>
            <w:r>
              <w:rPr>
                <w:rFonts w:hint="eastAsia" w:ascii="宋体" w:hAnsi="宋体" w:cs="宋体"/>
                <w:i/>
                <w:iCs/>
                <w:kern w:val="0"/>
                <w:sz w:val="24"/>
                <w:u w:val="single"/>
              </w:rPr>
              <w:t>cm/s、厚度 1.5m 的粘土层的防渗性能。</w:t>
            </w:r>
          </w:p>
          <w:p>
            <w:pPr>
              <w:widowControl/>
              <w:spacing w:line="360" w:lineRule="auto"/>
              <w:ind w:firstLine="480" w:firstLineChars="200"/>
              <w:jc w:val="left"/>
              <w:rPr>
                <w:rFonts w:ascii="宋体" w:hAnsi="宋体" w:cs="宋体"/>
                <w:i/>
                <w:iCs/>
                <w:kern w:val="0"/>
                <w:sz w:val="24"/>
                <w:u w:val="single"/>
              </w:rPr>
            </w:pPr>
            <w:r>
              <w:rPr>
                <w:rFonts w:hint="eastAsia" w:ascii="宋体" w:hAnsi="宋体" w:cs="宋体"/>
                <w:i/>
                <w:iCs/>
                <w:kern w:val="0"/>
                <w:sz w:val="24"/>
                <w:u w:val="single"/>
              </w:rPr>
              <w:t>简单防渗区：车间内已采取地面硬化，办公区及工具间可满足简单防渗区要求。</w:t>
            </w:r>
          </w:p>
          <w:p>
            <w:pPr>
              <w:widowControl/>
              <w:spacing w:line="360" w:lineRule="auto"/>
              <w:ind w:firstLine="480" w:firstLineChars="200"/>
              <w:jc w:val="left"/>
              <w:rPr>
                <w:rFonts w:ascii="宋体" w:hAnsi="宋体" w:cs="宋体"/>
                <w:i/>
                <w:iCs/>
                <w:kern w:val="0"/>
                <w:sz w:val="24"/>
                <w:u w:val="single"/>
              </w:rPr>
            </w:pPr>
            <w:r>
              <w:rPr>
                <w:rFonts w:hint="eastAsia" w:ascii="宋体" w:hAnsi="宋体" w:cs="宋体"/>
                <w:i/>
                <w:iCs/>
                <w:kern w:val="0"/>
                <w:sz w:val="24"/>
                <w:u w:val="single"/>
              </w:rPr>
              <w:t>为确保厂区内防渗措施的防渗效果达到防渗技术要求，不污染地下水，工程施工过程中建设单位应加强施工期的管理，严格按防渗设计要求进行施工，加强防渗措施的日常维护，使防渗措施达到应有的防渗效果。同时应加强生产设施的环保设施的管理，避免跑冒滴漏。</w:t>
            </w:r>
          </w:p>
          <w:p>
            <w:pPr>
              <w:widowControl/>
              <w:spacing w:line="360" w:lineRule="auto"/>
              <w:ind w:firstLine="480" w:firstLineChars="200"/>
              <w:rPr>
                <w:rFonts w:ascii="宋体" w:hAnsi="宋体" w:cs="宋体"/>
                <w:i/>
                <w:iCs/>
                <w:sz w:val="24"/>
                <w:u w:val="single"/>
              </w:rPr>
            </w:pPr>
            <w:r>
              <w:rPr>
                <w:rFonts w:hint="eastAsia" w:ascii="宋体" w:hAnsi="宋体" w:cs="宋体"/>
                <w:i/>
                <w:iCs/>
                <w:kern w:val="0"/>
                <w:sz w:val="24"/>
                <w:u w:val="single"/>
              </w:rPr>
              <w:t xml:space="preserve">（4）环境影响分析 </w:t>
            </w:r>
          </w:p>
          <w:p>
            <w:pPr>
              <w:widowControl/>
              <w:spacing w:line="360" w:lineRule="auto"/>
              <w:ind w:firstLine="480" w:firstLineChars="200"/>
              <w:rPr>
                <w:rFonts w:ascii="宋体" w:hAnsi="宋体" w:cs="宋体"/>
                <w:i/>
                <w:iCs/>
                <w:sz w:val="24"/>
                <w:u w:val="single"/>
              </w:rPr>
            </w:pPr>
            <w:r>
              <w:rPr>
                <w:rFonts w:hint="eastAsia" w:ascii="宋体" w:hAnsi="宋体" w:cs="宋体"/>
                <w:i/>
                <w:iCs/>
                <w:kern w:val="0"/>
                <w:sz w:val="24"/>
                <w:u w:val="single"/>
              </w:rPr>
              <w:t>本项目根据污染源及污染途径分布情况，采取较为合理的分区防控措施，</w:t>
            </w:r>
            <w:r>
              <w:rPr>
                <w:rFonts w:hint="eastAsia" w:ascii="宋体" w:hAnsi="宋体" w:cs="宋体"/>
                <w:i/>
                <w:iCs/>
                <w:color w:val="000000"/>
                <w:kern w:val="0"/>
                <w:sz w:val="24"/>
                <w:u w:val="single"/>
              </w:rPr>
              <w:t>危险废物贮存区设置液体导流和收集装置，地面无液体积聚；</w:t>
            </w:r>
            <w:r>
              <w:rPr>
                <w:rFonts w:hint="eastAsia" w:ascii="宋体" w:hAnsi="宋体" w:cs="宋体"/>
                <w:i/>
                <w:iCs/>
                <w:kern w:val="0"/>
                <w:sz w:val="24"/>
                <w:u w:val="single"/>
              </w:rPr>
              <w:t>污染防治措施较为完善，正常情况下，基本不会对土壤、地下水造成环境影响。</w:t>
            </w:r>
          </w:p>
          <w:p>
            <w:pPr>
              <w:spacing w:line="360" w:lineRule="auto"/>
              <w:ind w:firstLine="482" w:firstLineChars="200"/>
              <w:rPr>
                <w:bCs/>
                <w:i/>
                <w:iCs/>
                <w:snapToGrid w:val="0"/>
                <w:kern w:val="0"/>
                <w:sz w:val="24"/>
                <w:u w:val="single"/>
              </w:rPr>
            </w:pPr>
            <w:r>
              <w:rPr>
                <w:rFonts w:hint="eastAsia"/>
                <w:b/>
                <w:i/>
                <w:iCs/>
                <w:snapToGrid w:val="0"/>
                <w:kern w:val="0"/>
                <w:sz w:val="24"/>
                <w:u w:val="single"/>
              </w:rPr>
              <w:t>6、环境风险</w:t>
            </w:r>
          </w:p>
          <w:p>
            <w:pPr>
              <w:spacing w:line="360" w:lineRule="auto"/>
              <w:ind w:firstLine="480" w:firstLineChars="200"/>
              <w:rPr>
                <w:i/>
                <w:iCs/>
                <w:kern w:val="0"/>
                <w:sz w:val="24"/>
                <w:u w:val="single"/>
                <w:lang/>
              </w:rPr>
            </w:pPr>
            <w:r>
              <w:rPr>
                <w:rFonts w:hint="eastAsia"/>
                <w:i/>
                <w:iCs/>
                <w:kern w:val="0"/>
                <w:sz w:val="24"/>
                <w:u w:val="single"/>
                <w:lang/>
              </w:rPr>
              <w:t>（</w:t>
            </w:r>
            <w:r>
              <w:rPr>
                <w:rFonts w:hint="eastAsia"/>
                <w:i/>
                <w:iCs/>
                <w:kern w:val="0"/>
                <w:sz w:val="24"/>
                <w:u w:val="single"/>
              </w:rPr>
              <w:t>1）</w:t>
            </w:r>
            <w:r>
              <w:rPr>
                <w:rFonts w:hint="eastAsia"/>
                <w:i/>
                <w:iCs/>
                <w:kern w:val="0"/>
                <w:sz w:val="24"/>
                <w:u w:val="single"/>
                <w:lang/>
              </w:rPr>
              <w:t>风险源调查</w:t>
            </w:r>
          </w:p>
          <w:p>
            <w:pPr>
              <w:spacing w:line="360" w:lineRule="auto"/>
              <w:ind w:firstLine="480" w:firstLineChars="200"/>
              <w:rPr>
                <w:i/>
                <w:iCs/>
                <w:kern w:val="0"/>
                <w:sz w:val="24"/>
                <w:u w:val="single"/>
              </w:rPr>
            </w:pPr>
            <w:r>
              <w:rPr>
                <w:i/>
                <w:iCs/>
                <w:kern w:val="0"/>
                <w:sz w:val="24"/>
                <w:u w:val="single"/>
              </w:rPr>
              <w:t xml:space="preserve">本次评价风险识别范围主要从生产设施风险识别和生产过程所涉及的物质风险识别两方面着手。其中生产设施风险识别主要包括生产装置和贮运系统两部分，具体而言，主要生产装置包括拆解车间等，贮运系统包括危废库。 </w:t>
            </w:r>
          </w:p>
          <w:p>
            <w:pPr>
              <w:spacing w:line="360" w:lineRule="auto"/>
              <w:ind w:firstLine="480" w:firstLineChars="200"/>
              <w:rPr>
                <w:i/>
                <w:iCs/>
                <w:kern w:val="0"/>
                <w:sz w:val="24"/>
                <w:u w:val="single"/>
              </w:rPr>
            </w:pPr>
            <w:r>
              <w:rPr>
                <w:i/>
                <w:iCs/>
                <w:kern w:val="0"/>
                <w:sz w:val="24"/>
                <w:u w:val="single"/>
              </w:rPr>
              <w:t>通过对工程主要生产装置和生产过程的分析，本项目环境风险类型主要为火 灾、</w:t>
            </w:r>
            <w:r>
              <w:rPr>
                <w:rFonts w:hint="eastAsia"/>
                <w:i/>
                <w:iCs/>
                <w:kern w:val="0"/>
                <w:sz w:val="24"/>
                <w:u w:val="single"/>
              </w:rPr>
              <w:t>泄漏</w:t>
            </w:r>
            <w:r>
              <w:rPr>
                <w:i/>
                <w:iCs/>
                <w:kern w:val="0"/>
                <w:sz w:val="24"/>
                <w:u w:val="single"/>
              </w:rPr>
              <w:t>，主要风险单元为</w:t>
            </w:r>
            <w:r>
              <w:rPr>
                <w:rFonts w:hint="eastAsia"/>
                <w:i/>
                <w:iCs/>
                <w:kern w:val="0"/>
                <w:sz w:val="24"/>
                <w:u w:val="single"/>
              </w:rPr>
              <w:t>危险废物贮存库。</w:t>
            </w:r>
            <w:r>
              <w:rPr>
                <w:i/>
                <w:iCs/>
                <w:kern w:val="0"/>
                <w:sz w:val="24"/>
                <w:u w:val="single"/>
              </w:rPr>
              <w:t>本项目的事故风险来源主要为废油</w:t>
            </w:r>
            <w:r>
              <w:rPr>
                <w:rFonts w:hint="eastAsia"/>
                <w:i/>
                <w:iCs/>
                <w:kern w:val="0"/>
                <w:sz w:val="24"/>
                <w:u w:val="single"/>
              </w:rPr>
              <w:t>和废铅蓄电池</w:t>
            </w:r>
            <w:r>
              <w:rPr>
                <w:i/>
                <w:iCs/>
                <w:kern w:val="0"/>
                <w:sz w:val="24"/>
                <w:u w:val="single"/>
              </w:rPr>
              <w:t>储存过程</w:t>
            </w:r>
            <w:r>
              <w:rPr>
                <w:rFonts w:hint="eastAsia"/>
                <w:i/>
                <w:iCs/>
                <w:kern w:val="0"/>
                <w:sz w:val="24"/>
                <w:u w:val="single"/>
              </w:rPr>
              <w:t>。</w:t>
            </w:r>
          </w:p>
          <w:p>
            <w:pPr>
              <w:pStyle w:val="47"/>
              <w:ind w:firstLine="479" w:firstLineChars="190"/>
              <w:jc w:val="both"/>
              <w:rPr>
                <w:rFonts w:eastAsia="宋体" w:cs="Times New Roman"/>
                <w:i/>
                <w:iCs/>
                <w:color w:val="auto"/>
                <w:kern w:val="0"/>
                <w:sz w:val="24"/>
                <w:szCs w:val="24"/>
                <w:u w:val="single"/>
                <w:lang/>
              </w:rPr>
            </w:pPr>
            <w:r>
              <w:rPr>
                <w:rFonts w:hint="eastAsia" w:eastAsia="宋体" w:cs="Times New Roman"/>
                <w:i/>
                <w:iCs/>
                <w:color w:val="auto"/>
                <w:kern w:val="0"/>
                <w:sz w:val="24"/>
                <w:szCs w:val="24"/>
                <w:u w:val="single"/>
                <w:lang/>
              </w:rPr>
              <w:t>（</w:t>
            </w:r>
            <w:r>
              <w:rPr>
                <w:rFonts w:hint="eastAsia" w:eastAsia="宋体" w:cs="Times New Roman"/>
                <w:i/>
                <w:iCs/>
                <w:color w:val="auto"/>
                <w:kern w:val="0"/>
                <w:sz w:val="24"/>
                <w:szCs w:val="24"/>
                <w:u w:val="single"/>
              </w:rPr>
              <w:t>2</w:t>
            </w:r>
            <w:r>
              <w:rPr>
                <w:rFonts w:hint="eastAsia" w:eastAsia="宋体" w:cs="Times New Roman"/>
                <w:i/>
                <w:iCs/>
                <w:color w:val="auto"/>
                <w:kern w:val="0"/>
                <w:sz w:val="24"/>
                <w:szCs w:val="24"/>
                <w:u w:val="single"/>
                <w:lang/>
              </w:rPr>
              <w:t>）风险物质</w:t>
            </w:r>
          </w:p>
          <w:p>
            <w:pPr>
              <w:widowControl/>
              <w:spacing w:line="360" w:lineRule="auto"/>
              <w:ind w:firstLine="480" w:firstLineChars="200"/>
              <w:jc w:val="left"/>
              <w:rPr>
                <w:i/>
                <w:iCs/>
                <w:kern w:val="0"/>
                <w:sz w:val="24"/>
                <w:u w:val="single"/>
                <w:lang/>
              </w:rPr>
            </w:pPr>
            <w:r>
              <w:rPr>
                <w:rFonts w:hint="eastAsia"/>
                <w:i/>
                <w:iCs/>
                <w:kern w:val="0"/>
                <w:sz w:val="24"/>
                <w:u w:val="single"/>
                <w:lang/>
              </w:rPr>
              <w:t>根据《建设项目环境风险评价技术导则》（HJ169-2018）附录C，</w:t>
            </w:r>
            <w:r>
              <w:rPr>
                <w:rFonts w:hint="eastAsia"/>
                <w:i/>
                <w:iCs/>
                <w:kern w:val="0"/>
                <w:sz w:val="24"/>
                <w:u w:val="single"/>
              </w:rPr>
              <w:t>本项目生产过程中所涉及的危险化学品为废油液（主要为柴油、汽油、机油等）和废铅酸蓄电池中的硫酸；</w:t>
            </w:r>
            <w:r>
              <w:rPr>
                <w:i/>
                <w:iCs/>
                <w:kern w:val="0"/>
                <w:sz w:val="24"/>
                <w:u w:val="single"/>
              </w:rPr>
              <w:t>废油箱、废机油滤清器为金属固态构件，仅内壁附着微量残油，微量附着油膜属于固相载体吸附</w:t>
            </w:r>
            <w:r>
              <w:rPr>
                <w:rFonts w:hint="eastAsia"/>
                <w:i/>
                <w:iCs/>
                <w:kern w:val="0"/>
                <w:sz w:val="24"/>
                <w:u w:val="single"/>
              </w:rPr>
              <w:t>，</w:t>
            </w:r>
            <w:r>
              <w:rPr>
                <w:i/>
                <w:iCs/>
                <w:kern w:val="0"/>
                <w:sz w:val="24"/>
                <w:u w:val="single"/>
              </w:rPr>
              <w:t>无大量游离液态矿物油</w:t>
            </w:r>
            <w:r>
              <w:rPr>
                <w:rFonts w:hint="eastAsia"/>
                <w:i/>
                <w:iCs/>
                <w:kern w:val="0"/>
                <w:sz w:val="24"/>
                <w:u w:val="single"/>
              </w:rPr>
              <w:t>，且拆解后的废机油滤清器不进行挤压破碎压榨脱油，无液态废油物质析出</w:t>
            </w:r>
            <w:r>
              <w:rPr>
                <w:i/>
                <w:iCs/>
                <w:kern w:val="0"/>
                <w:sz w:val="24"/>
                <w:u w:val="single"/>
              </w:rPr>
              <w:t>；项目预拆解工序先排空油箱内游离废油，游离废油统一归集至密闭储油桶</w:t>
            </w:r>
            <w:r>
              <w:rPr>
                <w:rFonts w:hint="eastAsia"/>
                <w:i/>
                <w:iCs/>
                <w:kern w:val="0"/>
                <w:sz w:val="24"/>
                <w:u w:val="single"/>
              </w:rPr>
              <w:t>，</w:t>
            </w:r>
            <w:r>
              <w:rPr>
                <w:i/>
                <w:iCs/>
                <w:kern w:val="0"/>
                <w:sz w:val="24"/>
                <w:u w:val="single"/>
              </w:rPr>
              <w:t>纳入废油液统计，不重复核算。</w:t>
            </w:r>
            <w:r>
              <w:rPr>
                <w:rFonts w:hint="eastAsia"/>
                <w:i/>
                <w:iCs/>
                <w:kern w:val="0"/>
                <w:sz w:val="24"/>
                <w:u w:val="single"/>
              </w:rPr>
              <w:t xml:space="preserve"> </w:t>
            </w:r>
            <w:r>
              <w:rPr>
                <w:i/>
                <w:iCs/>
                <w:kern w:val="0"/>
                <w:sz w:val="24"/>
                <w:u w:val="single"/>
              </w:rPr>
              <w:t>废尾气净化装置（三元催化器 / HW50）：属于固态无机危废，不含 HJ169 附录 B 列明的风险化学品，不属于环境风险物质，不纳入 Q 值计算。</w:t>
            </w:r>
            <w:r>
              <w:rPr>
                <w:rFonts w:hint="eastAsia"/>
                <w:i/>
                <w:iCs/>
                <w:kern w:val="0"/>
                <w:sz w:val="24"/>
                <w:u w:val="single"/>
              </w:rPr>
              <w:t>废防冻液属于乙二醇类有机溶剂（液态），废制动液成分为聚乙二醇醚有机溶剂（液态），纳入环境风险物质识别。根据上述分析</w:t>
            </w:r>
            <w:r>
              <w:rPr>
                <w:rFonts w:hint="eastAsia"/>
                <w:i/>
                <w:iCs/>
                <w:kern w:val="0"/>
                <w:sz w:val="24"/>
                <w:u w:val="single"/>
                <w:lang/>
              </w:rPr>
              <w:t>确定项目Q值。</w:t>
            </w:r>
          </w:p>
          <w:p>
            <w:pPr>
              <w:autoSpaceDE w:val="0"/>
              <w:autoSpaceDN w:val="0"/>
              <w:spacing w:line="360" w:lineRule="auto"/>
              <w:jc w:val="center"/>
              <w:rPr>
                <w:i/>
                <w:iCs/>
                <w:sz w:val="24"/>
                <w:u w:val="single"/>
              </w:rPr>
            </w:pPr>
            <w:r>
              <w:rPr>
                <w:rFonts w:hint="eastAsia" w:ascii="Times New Roman" w:hAnsi="Times New Roman" w:eastAsia="宋体" w:cs="Times New Roman"/>
                <w:i/>
                <w:iCs/>
                <w:kern w:val="2"/>
                <w:position w:val="-30"/>
                <w:sz w:val="24"/>
                <w:szCs w:val="24"/>
                <w:u w:val="single"/>
                <w:lang w:val="en-US" w:eastAsia="zh-CN" w:bidi="ar-SA"/>
              </w:rPr>
              <w:object>
                <v:shape id="_x0000_s1033" type="#_x0000_t75" style="height:33.3pt;width:99.85pt;rotation:0f;" o:ole="t" fillcolor="#FFFFFF" filled="f" o:preferrelative="t" stroked="f" coordorigin="0,0" coordsize="21600,21600">
                  <v:fill on="f" color2="#FFFFFF" focus="0%"/>
                  <v:imagedata gain="65536f" blacklevel="0f" gamma="0" o:title="" r:id="rId17"/>
                  <o:lock v:ext="edit" position="f" selection="f" grouping="f" rotation="f" cropping="f" text="f" aspectratio="t"/>
                  <w10:wrap type="none"/>
                  <w10:anchorlock/>
                </v:shape>
                <o:OLEObject Type="Embed" ProgID="" ShapeID="_x0000_s1033" DrawAspect="Content" ObjectID="_1032" r:id="rId16"/>
              </w:object>
            </w:r>
          </w:p>
          <w:p>
            <w:pPr>
              <w:autoSpaceDE w:val="0"/>
              <w:autoSpaceDN w:val="0"/>
              <w:spacing w:line="360" w:lineRule="auto"/>
              <w:ind w:firstLine="480" w:firstLineChars="200"/>
              <w:rPr>
                <w:i/>
                <w:iCs/>
                <w:sz w:val="24"/>
                <w:u w:val="single"/>
              </w:rPr>
            </w:pPr>
            <w:r>
              <w:rPr>
                <w:i/>
                <w:iCs/>
                <w:sz w:val="24"/>
                <w:u w:val="single"/>
              </w:rPr>
              <w:t>式中：q</w:t>
            </w:r>
            <w:r>
              <w:rPr>
                <w:i/>
                <w:iCs/>
                <w:sz w:val="24"/>
                <w:u w:val="single"/>
                <w:vertAlign w:val="subscript"/>
              </w:rPr>
              <w:t>1</w:t>
            </w:r>
            <w:r>
              <w:rPr>
                <w:i/>
                <w:iCs/>
                <w:sz w:val="24"/>
                <w:u w:val="single"/>
              </w:rPr>
              <w:t>，q</w:t>
            </w:r>
            <w:r>
              <w:rPr>
                <w:i/>
                <w:iCs/>
                <w:sz w:val="24"/>
                <w:u w:val="single"/>
                <w:vertAlign w:val="subscript"/>
              </w:rPr>
              <w:t>2</w:t>
            </w:r>
            <w:r>
              <w:rPr>
                <w:i/>
                <w:iCs/>
                <w:sz w:val="24"/>
                <w:u w:val="single"/>
              </w:rPr>
              <w:t>，…q</w:t>
            </w:r>
            <w:r>
              <w:rPr>
                <w:i/>
                <w:iCs/>
                <w:sz w:val="24"/>
                <w:u w:val="single"/>
                <w:vertAlign w:val="subscript"/>
              </w:rPr>
              <w:t>n</w:t>
            </w:r>
            <w:r>
              <w:rPr>
                <w:rFonts w:hint="eastAsia"/>
                <w:i/>
                <w:iCs/>
                <w:sz w:val="24"/>
                <w:u w:val="single"/>
              </w:rPr>
              <w:t>—</w:t>
            </w:r>
            <w:r>
              <w:rPr>
                <w:i/>
                <w:iCs/>
                <w:sz w:val="24"/>
                <w:u w:val="single"/>
              </w:rPr>
              <w:t>每种危险物质的最大存在总量，t；</w:t>
            </w:r>
          </w:p>
          <w:p>
            <w:pPr>
              <w:autoSpaceDE w:val="0"/>
              <w:autoSpaceDN w:val="0"/>
              <w:spacing w:line="360" w:lineRule="auto"/>
              <w:ind w:firstLine="480" w:firstLineChars="200"/>
              <w:rPr>
                <w:i/>
                <w:iCs/>
                <w:sz w:val="24"/>
                <w:u w:val="single"/>
              </w:rPr>
            </w:pPr>
            <w:r>
              <w:rPr>
                <w:i/>
                <w:iCs/>
                <w:sz w:val="24"/>
                <w:u w:val="single"/>
              </w:rPr>
              <w:t xml:space="preserve">      Q</w:t>
            </w:r>
            <w:r>
              <w:rPr>
                <w:rFonts w:hint="eastAsia"/>
                <w:i/>
                <w:iCs/>
                <w:sz w:val="24"/>
                <w:u w:val="single"/>
                <w:vertAlign w:val="subscript"/>
              </w:rPr>
              <w:t>1</w:t>
            </w:r>
            <w:r>
              <w:rPr>
                <w:i/>
                <w:iCs/>
                <w:sz w:val="24"/>
                <w:u w:val="single"/>
              </w:rPr>
              <w:t>，Q</w:t>
            </w:r>
            <w:r>
              <w:rPr>
                <w:i/>
                <w:iCs/>
                <w:sz w:val="24"/>
                <w:u w:val="single"/>
                <w:vertAlign w:val="subscript"/>
              </w:rPr>
              <w:t>2</w:t>
            </w:r>
            <w:r>
              <w:rPr>
                <w:i/>
                <w:iCs/>
                <w:sz w:val="24"/>
                <w:u w:val="single"/>
              </w:rPr>
              <w:t>，…Q</w:t>
            </w:r>
            <w:r>
              <w:rPr>
                <w:i/>
                <w:iCs/>
                <w:sz w:val="24"/>
                <w:u w:val="single"/>
                <w:vertAlign w:val="subscript"/>
              </w:rPr>
              <w:t>n</w:t>
            </w:r>
            <w:r>
              <w:rPr>
                <w:rFonts w:hint="eastAsia"/>
                <w:i/>
                <w:iCs/>
                <w:sz w:val="24"/>
                <w:u w:val="single"/>
              </w:rPr>
              <w:t>—</w:t>
            </w:r>
            <w:r>
              <w:rPr>
                <w:i/>
                <w:iCs/>
                <w:sz w:val="24"/>
                <w:u w:val="single"/>
              </w:rPr>
              <w:t>每种危险物质的临界量，t。</w:t>
            </w:r>
          </w:p>
          <w:p>
            <w:pPr>
              <w:autoSpaceDE w:val="0"/>
              <w:autoSpaceDN w:val="0"/>
              <w:spacing w:line="360" w:lineRule="auto"/>
              <w:ind w:firstLine="480" w:firstLineChars="200"/>
              <w:rPr>
                <w:i/>
                <w:iCs/>
                <w:sz w:val="24"/>
                <w:u w:val="single"/>
              </w:rPr>
            </w:pPr>
            <w:r>
              <w:rPr>
                <w:i/>
                <w:iCs/>
                <w:sz w:val="24"/>
                <w:u w:val="single"/>
              </w:rPr>
              <w:t>当Q＜1时，该项目环境风险潜势</w:t>
            </w:r>
            <w:r>
              <w:rPr>
                <w:bCs/>
                <w:i/>
                <w:iCs/>
                <w:kern w:val="0"/>
                <w:sz w:val="24"/>
                <w:u w:val="single"/>
              </w:rPr>
              <w:t>为</w:t>
            </w:r>
            <w:r>
              <w:rPr>
                <w:rFonts w:hint="eastAsia"/>
                <w:bCs/>
                <w:i/>
                <w:iCs/>
                <w:kern w:val="0"/>
                <w:sz w:val="24"/>
                <w:u w:val="single"/>
              </w:rPr>
              <w:t>I</w:t>
            </w:r>
            <w:r>
              <w:rPr>
                <w:rFonts w:hint="eastAsia"/>
                <w:i/>
                <w:iCs/>
                <w:sz w:val="24"/>
                <w:u w:val="single"/>
              </w:rPr>
              <w:t>。</w:t>
            </w:r>
          </w:p>
          <w:p>
            <w:pPr>
              <w:autoSpaceDE w:val="0"/>
              <w:autoSpaceDN w:val="0"/>
              <w:spacing w:line="360" w:lineRule="auto"/>
              <w:ind w:firstLine="480" w:firstLineChars="200"/>
              <w:rPr>
                <w:i/>
                <w:iCs/>
                <w:sz w:val="24"/>
                <w:u w:val="single"/>
              </w:rPr>
            </w:pPr>
            <w:r>
              <w:rPr>
                <w:i/>
                <w:iCs/>
                <w:sz w:val="24"/>
                <w:u w:val="single"/>
              </w:rPr>
              <w:t>当Q</w:t>
            </w:r>
            <w:r>
              <w:rPr>
                <w:rFonts w:hint="eastAsia" w:ascii="宋体" w:hAnsi="宋体" w:cs="宋体"/>
                <w:i/>
                <w:iCs/>
                <w:sz w:val="24"/>
                <w:u w:val="single"/>
              </w:rPr>
              <w:t>≥</w:t>
            </w:r>
            <w:r>
              <w:rPr>
                <w:i/>
                <w:iCs/>
                <w:sz w:val="24"/>
                <w:u w:val="single"/>
              </w:rPr>
              <w:t>1时，将Q值划分为：1</w:t>
            </w:r>
            <w:r>
              <w:rPr>
                <w:rFonts w:hint="eastAsia" w:ascii="宋体" w:hAnsi="宋体" w:cs="宋体"/>
                <w:i/>
                <w:iCs/>
                <w:sz w:val="24"/>
                <w:u w:val="single"/>
              </w:rPr>
              <w:t>≤</w:t>
            </w:r>
            <w:r>
              <w:rPr>
                <w:i/>
                <w:iCs/>
                <w:sz w:val="24"/>
                <w:u w:val="single"/>
              </w:rPr>
              <w:t>Q＜10；10</w:t>
            </w:r>
            <w:r>
              <w:rPr>
                <w:rFonts w:hint="eastAsia" w:ascii="宋体" w:hAnsi="宋体" w:cs="宋体"/>
                <w:i/>
                <w:iCs/>
                <w:sz w:val="24"/>
                <w:u w:val="single"/>
              </w:rPr>
              <w:t>≤</w:t>
            </w:r>
            <w:r>
              <w:rPr>
                <w:i/>
                <w:iCs/>
                <w:sz w:val="24"/>
                <w:u w:val="single"/>
              </w:rPr>
              <w:t>Q＜100；Q</w:t>
            </w:r>
            <w:r>
              <w:rPr>
                <w:rFonts w:hint="eastAsia" w:ascii="宋体" w:hAnsi="宋体" w:cs="宋体"/>
                <w:i/>
                <w:iCs/>
                <w:sz w:val="24"/>
                <w:u w:val="single"/>
              </w:rPr>
              <w:t>≥</w:t>
            </w:r>
            <w:r>
              <w:rPr>
                <w:i/>
                <w:iCs/>
                <w:sz w:val="24"/>
                <w:u w:val="single"/>
              </w:rPr>
              <w:t>100。</w:t>
            </w:r>
          </w:p>
          <w:p>
            <w:pPr>
              <w:pStyle w:val="47"/>
              <w:ind w:firstLine="504"/>
              <w:jc w:val="both"/>
              <w:rPr>
                <w:rFonts w:eastAsia="宋体" w:cs="Times New Roman"/>
                <w:i/>
                <w:iCs/>
                <w:color w:val="auto"/>
                <w:kern w:val="0"/>
                <w:sz w:val="24"/>
                <w:szCs w:val="24"/>
                <w:u w:val="single"/>
                <w:lang/>
              </w:rPr>
            </w:pPr>
            <w:r>
              <w:rPr>
                <w:rFonts w:eastAsia="宋体" w:cs="Times New Roman"/>
                <w:i/>
                <w:iCs/>
                <w:color w:val="auto"/>
                <w:kern w:val="0"/>
                <w:sz w:val="24"/>
                <w:szCs w:val="24"/>
                <w:u w:val="single"/>
              </w:rPr>
              <w:t>本项目重大危险源辨识详见下表</w:t>
            </w:r>
            <w:r>
              <w:rPr>
                <w:rFonts w:hint="eastAsia" w:eastAsia="宋体" w:cs="Times New Roman"/>
                <w:i/>
                <w:iCs/>
                <w:color w:val="auto"/>
                <w:kern w:val="0"/>
                <w:sz w:val="24"/>
                <w:szCs w:val="24"/>
                <w:u w:val="single"/>
              </w:rPr>
              <w:t>。</w:t>
            </w:r>
          </w:p>
          <w:p>
            <w:pPr>
              <w:pStyle w:val="19"/>
              <w:ind w:left="0" w:leftChars="0"/>
              <w:jc w:val="center"/>
              <w:rPr>
                <w:rFonts w:ascii="宋体" w:hAnsi="宋体" w:cs="宋体"/>
                <w:b/>
                <w:i/>
                <w:iCs/>
                <w:sz w:val="24"/>
                <w:u w:val="single"/>
              </w:rPr>
            </w:pPr>
            <w:r>
              <w:rPr>
                <w:rFonts w:hint="eastAsia" w:ascii="宋体" w:hAnsi="宋体" w:cs="宋体"/>
                <w:b/>
                <w:i/>
                <w:iCs/>
                <w:sz w:val="24"/>
                <w:u w:val="single"/>
              </w:rPr>
              <w:t>表4-16    本项目Q值确定表</w:t>
            </w:r>
          </w:p>
          <w:tbl>
            <w:tblPr>
              <w:tblW w:w="8438"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left w:w="108" w:type="dxa"/>
                <w:right w:w="108" w:type="dxa"/>
              </w:tblCellMar>
            </w:tblPr>
            <w:tblGrid>
              <w:gridCol w:w="743"/>
              <w:gridCol w:w="3018"/>
              <w:gridCol w:w="1445"/>
              <w:gridCol w:w="1167"/>
              <w:gridCol w:w="2065"/>
            </w:tblGrid>
            <w:tr>
              <w:trPr>
                <w:trHeight w:val="322" w:hRule="atLeast"/>
                <w:jc w:val="center"/>
              </w:trPr>
              <w:tc>
                <w:tcPr>
                  <w:tcW w:w="743" w:type="dxa"/>
                  <w:vAlign w:val="center"/>
                </w:tcPr>
                <w:p>
                  <w:pPr>
                    <w:pStyle w:val="41"/>
                    <w:adjustRightInd/>
                    <w:snapToGrid/>
                    <w:spacing w:line="240" w:lineRule="auto"/>
                    <w:ind w:left="0" w:right="0"/>
                    <w:rPr>
                      <w:rFonts w:ascii="Times New Roman" w:hAnsi="Times New Roman"/>
                      <w:b/>
                      <w:bCs/>
                      <w:i/>
                      <w:iCs/>
                      <w:sz w:val="21"/>
                      <w:u w:val="single"/>
                    </w:rPr>
                  </w:pPr>
                  <w:r>
                    <w:rPr>
                      <w:rFonts w:hint="eastAsia" w:ascii="Times New Roman" w:hAnsi="Times New Roman"/>
                      <w:b/>
                      <w:bCs/>
                      <w:i/>
                      <w:iCs/>
                      <w:sz w:val="21"/>
                      <w:u w:val="single"/>
                    </w:rPr>
                    <w:t>序号</w:t>
                  </w:r>
                </w:p>
              </w:tc>
              <w:tc>
                <w:tcPr>
                  <w:tcW w:w="3018" w:type="dxa"/>
                  <w:vAlign w:val="center"/>
                </w:tcPr>
                <w:p>
                  <w:pPr>
                    <w:pStyle w:val="41"/>
                    <w:adjustRightInd/>
                    <w:snapToGrid/>
                    <w:spacing w:line="240" w:lineRule="auto"/>
                    <w:ind w:left="0" w:right="0"/>
                    <w:rPr>
                      <w:rFonts w:ascii="Times New Roman" w:hAnsi="Times New Roman"/>
                      <w:b/>
                      <w:bCs/>
                      <w:i/>
                      <w:iCs/>
                      <w:sz w:val="21"/>
                      <w:u w:val="single"/>
                    </w:rPr>
                  </w:pPr>
                  <w:r>
                    <w:rPr>
                      <w:rFonts w:hint="eastAsia" w:ascii="Times New Roman" w:hAnsi="Times New Roman"/>
                      <w:b/>
                      <w:bCs/>
                      <w:i/>
                      <w:iCs/>
                      <w:sz w:val="21"/>
                      <w:u w:val="single"/>
                    </w:rPr>
                    <w:t>物质名称</w:t>
                  </w:r>
                </w:p>
              </w:tc>
              <w:tc>
                <w:tcPr>
                  <w:tcW w:w="1445" w:type="dxa"/>
                  <w:vAlign w:val="center"/>
                </w:tcPr>
                <w:p>
                  <w:pPr>
                    <w:pStyle w:val="41"/>
                    <w:adjustRightInd/>
                    <w:snapToGrid/>
                    <w:spacing w:line="240" w:lineRule="auto"/>
                    <w:ind w:left="0" w:right="0"/>
                    <w:rPr>
                      <w:rFonts w:ascii="Times New Roman" w:hAnsi="Times New Roman"/>
                      <w:b/>
                      <w:bCs/>
                      <w:i/>
                      <w:iCs/>
                      <w:sz w:val="21"/>
                      <w:u w:val="single"/>
                    </w:rPr>
                  </w:pPr>
                  <w:r>
                    <w:rPr>
                      <w:rFonts w:hint="eastAsia" w:ascii="Times New Roman" w:hAnsi="Times New Roman"/>
                      <w:b/>
                      <w:bCs/>
                      <w:i/>
                      <w:iCs/>
                      <w:sz w:val="21"/>
                      <w:u w:val="single"/>
                    </w:rPr>
                    <w:t>最大存储量/t</w:t>
                  </w:r>
                </w:p>
              </w:tc>
              <w:tc>
                <w:tcPr>
                  <w:tcW w:w="1167" w:type="dxa"/>
                  <w:vAlign w:val="center"/>
                </w:tcPr>
                <w:p>
                  <w:pPr>
                    <w:pStyle w:val="41"/>
                    <w:adjustRightInd/>
                    <w:snapToGrid/>
                    <w:spacing w:line="240" w:lineRule="auto"/>
                    <w:ind w:left="0" w:right="0"/>
                    <w:rPr>
                      <w:rFonts w:ascii="Times New Roman" w:hAnsi="Times New Roman"/>
                      <w:b/>
                      <w:bCs/>
                      <w:i/>
                      <w:iCs/>
                      <w:sz w:val="21"/>
                      <w:u w:val="single"/>
                    </w:rPr>
                  </w:pPr>
                  <w:r>
                    <w:rPr>
                      <w:rFonts w:hint="eastAsia" w:ascii="Times New Roman" w:hAnsi="Times New Roman"/>
                      <w:b/>
                      <w:bCs/>
                      <w:i/>
                      <w:iCs/>
                      <w:sz w:val="21"/>
                      <w:u w:val="single"/>
                    </w:rPr>
                    <w:t>临界量</w:t>
                  </w:r>
                </w:p>
              </w:tc>
              <w:tc>
                <w:tcPr>
                  <w:tcW w:w="2065" w:type="dxa"/>
                  <w:vAlign w:val="center"/>
                </w:tcPr>
                <w:p>
                  <w:pPr>
                    <w:pStyle w:val="41"/>
                    <w:adjustRightInd/>
                    <w:snapToGrid/>
                    <w:spacing w:line="240" w:lineRule="auto"/>
                    <w:ind w:left="0" w:right="0"/>
                    <w:rPr>
                      <w:rFonts w:ascii="Times New Roman" w:hAnsi="Times New Roman"/>
                      <w:b/>
                      <w:bCs/>
                      <w:i/>
                      <w:iCs/>
                      <w:sz w:val="21"/>
                      <w:u w:val="single"/>
                    </w:rPr>
                  </w:pPr>
                  <w:r>
                    <w:rPr>
                      <w:rFonts w:hint="eastAsia" w:ascii="Times New Roman" w:hAnsi="Times New Roman"/>
                      <w:b/>
                      <w:bCs/>
                      <w:i/>
                      <w:iCs/>
                      <w:sz w:val="21"/>
                      <w:u w:val="single"/>
                    </w:rPr>
                    <w:t>Q值</w:t>
                  </w:r>
                </w:p>
              </w:tc>
            </w:tr>
            <w:tr>
              <w:trPr>
                <w:trHeight w:val="320" w:hRule="atLeast"/>
                <w:jc w:val="center"/>
              </w:trPr>
              <w:tc>
                <w:tcPr>
                  <w:tcW w:w="743" w:type="dxa"/>
                  <w:vAlign w:val="center"/>
                </w:tcPr>
                <w:p>
                  <w:pPr>
                    <w:pStyle w:val="41"/>
                    <w:adjustRightInd/>
                    <w:snapToGrid/>
                    <w:spacing w:line="240" w:lineRule="auto"/>
                    <w:ind w:left="0" w:right="0"/>
                    <w:rPr>
                      <w:rFonts w:ascii="Times New Roman" w:hAnsi="Times New Roman"/>
                      <w:i/>
                      <w:iCs/>
                      <w:sz w:val="21"/>
                      <w:u w:val="single"/>
                    </w:rPr>
                  </w:pPr>
                  <w:r>
                    <w:rPr>
                      <w:rFonts w:hint="eastAsia" w:ascii="Times New Roman" w:hAnsi="Times New Roman"/>
                      <w:i/>
                      <w:iCs/>
                      <w:sz w:val="21"/>
                      <w:u w:val="single"/>
                    </w:rPr>
                    <w:t>1</w:t>
                  </w:r>
                </w:p>
              </w:tc>
              <w:tc>
                <w:tcPr>
                  <w:tcW w:w="3018" w:type="dxa"/>
                  <w:vAlign w:val="center"/>
                </w:tcPr>
                <w:p>
                  <w:pPr>
                    <w:pStyle w:val="41"/>
                    <w:adjustRightInd/>
                    <w:snapToGrid/>
                    <w:spacing w:line="240" w:lineRule="auto"/>
                    <w:ind w:left="0" w:right="0"/>
                    <w:rPr>
                      <w:rFonts w:ascii="Times New Roman" w:hAnsi="Times New Roman"/>
                      <w:i/>
                      <w:iCs/>
                      <w:sz w:val="21"/>
                      <w:u w:val="single"/>
                    </w:rPr>
                  </w:pPr>
                  <w:r>
                    <w:rPr>
                      <w:rFonts w:hint="eastAsia" w:ascii="Times New Roman" w:hAnsi="Times New Roman"/>
                      <w:i/>
                      <w:iCs/>
                      <w:sz w:val="21"/>
                      <w:u w:val="single"/>
                    </w:rPr>
                    <w:t>废油液</w:t>
                  </w:r>
                </w:p>
              </w:tc>
              <w:tc>
                <w:tcPr>
                  <w:tcW w:w="1445" w:type="dxa"/>
                  <w:vAlign w:val="center"/>
                </w:tcPr>
                <w:p>
                  <w:pPr>
                    <w:pStyle w:val="41"/>
                    <w:adjustRightInd/>
                    <w:snapToGrid/>
                    <w:spacing w:line="240" w:lineRule="auto"/>
                    <w:ind w:left="0" w:right="0"/>
                    <w:rPr>
                      <w:rFonts w:ascii="Times New Roman" w:hAnsi="Times New Roman"/>
                      <w:i/>
                      <w:iCs/>
                      <w:sz w:val="21"/>
                      <w:u w:val="single"/>
                    </w:rPr>
                  </w:pPr>
                  <w:r>
                    <w:rPr>
                      <w:rFonts w:hint="eastAsia" w:ascii="Times New Roman" w:hAnsi="Times New Roman"/>
                      <w:i/>
                      <w:iCs/>
                      <w:sz w:val="21"/>
                      <w:u w:val="single"/>
                    </w:rPr>
                    <w:t>3.8</w:t>
                  </w:r>
                </w:p>
              </w:tc>
              <w:tc>
                <w:tcPr>
                  <w:tcW w:w="1167" w:type="dxa"/>
                  <w:vAlign w:val="center"/>
                </w:tcPr>
                <w:p>
                  <w:pPr>
                    <w:pStyle w:val="41"/>
                    <w:adjustRightInd/>
                    <w:snapToGrid/>
                    <w:spacing w:line="240" w:lineRule="auto"/>
                    <w:ind w:left="0" w:right="0"/>
                    <w:rPr>
                      <w:rFonts w:ascii="Times New Roman" w:hAnsi="Times New Roman"/>
                      <w:i/>
                      <w:iCs/>
                      <w:sz w:val="21"/>
                      <w:u w:val="single"/>
                    </w:rPr>
                  </w:pPr>
                  <w:r>
                    <w:rPr>
                      <w:rFonts w:ascii="Times New Roman" w:hAnsi="Times New Roman"/>
                      <w:i/>
                      <w:iCs/>
                      <w:sz w:val="21"/>
                      <w:u w:val="single"/>
                    </w:rPr>
                    <w:t>2500</w:t>
                  </w:r>
                  <w:r>
                    <w:rPr>
                      <w:rFonts w:hint="eastAsia" w:ascii="Times New Roman" w:hAnsi="Times New Roman"/>
                      <w:i/>
                      <w:iCs/>
                      <w:sz w:val="21"/>
                      <w:u w:val="single"/>
                    </w:rPr>
                    <w:t>t</w:t>
                  </w:r>
                </w:p>
              </w:tc>
              <w:tc>
                <w:tcPr>
                  <w:tcW w:w="2065" w:type="dxa"/>
                  <w:vAlign w:val="center"/>
                </w:tcPr>
                <w:p>
                  <w:pPr>
                    <w:pStyle w:val="41"/>
                    <w:adjustRightInd/>
                    <w:snapToGrid/>
                    <w:spacing w:line="240" w:lineRule="auto"/>
                    <w:ind w:left="0" w:right="0"/>
                    <w:rPr>
                      <w:rFonts w:ascii="Times New Roman" w:hAnsi="Times New Roman"/>
                      <w:i/>
                      <w:iCs/>
                      <w:sz w:val="21"/>
                      <w:u w:val="single"/>
                    </w:rPr>
                  </w:pPr>
                  <w:r>
                    <w:rPr>
                      <w:rFonts w:hint="eastAsia" w:ascii="Times New Roman" w:hAnsi="Times New Roman"/>
                      <w:i/>
                      <w:iCs/>
                      <w:sz w:val="21"/>
                      <w:u w:val="single"/>
                    </w:rPr>
                    <w:t>0.00152</w:t>
                  </w:r>
                </w:p>
              </w:tc>
            </w:tr>
            <w:tr>
              <w:trPr>
                <w:trHeight w:val="320" w:hRule="atLeast"/>
                <w:jc w:val="center"/>
              </w:trPr>
              <w:tc>
                <w:tcPr>
                  <w:tcW w:w="743" w:type="dxa"/>
                  <w:vAlign w:val="center"/>
                </w:tcPr>
                <w:p>
                  <w:pPr>
                    <w:pStyle w:val="41"/>
                    <w:adjustRightInd/>
                    <w:snapToGrid/>
                    <w:spacing w:line="240" w:lineRule="auto"/>
                    <w:ind w:left="0" w:right="0"/>
                    <w:rPr>
                      <w:rFonts w:ascii="Times New Roman" w:hAnsi="Times New Roman"/>
                      <w:i/>
                      <w:iCs/>
                      <w:sz w:val="21"/>
                      <w:u w:val="single"/>
                    </w:rPr>
                  </w:pPr>
                  <w:r>
                    <w:rPr>
                      <w:rFonts w:hint="eastAsia" w:ascii="Times New Roman" w:hAnsi="Times New Roman"/>
                      <w:i/>
                      <w:iCs/>
                      <w:sz w:val="21"/>
                      <w:u w:val="single"/>
                    </w:rPr>
                    <w:t>2</w:t>
                  </w:r>
                </w:p>
              </w:tc>
              <w:tc>
                <w:tcPr>
                  <w:tcW w:w="3018" w:type="dxa"/>
                  <w:vAlign w:val="center"/>
                </w:tcPr>
                <w:p>
                  <w:pPr>
                    <w:pStyle w:val="41"/>
                    <w:adjustRightInd/>
                    <w:snapToGrid/>
                    <w:spacing w:line="240" w:lineRule="auto"/>
                    <w:ind w:left="0" w:right="0"/>
                    <w:rPr>
                      <w:rFonts w:ascii="Times New Roman" w:hAnsi="Times New Roman"/>
                      <w:i/>
                      <w:iCs/>
                      <w:sz w:val="21"/>
                      <w:u w:val="single"/>
                    </w:rPr>
                  </w:pPr>
                  <w:r>
                    <w:rPr>
                      <w:rFonts w:hint="eastAsia" w:ascii="Times New Roman" w:hAnsi="Times New Roman"/>
                      <w:i/>
                      <w:iCs/>
                      <w:sz w:val="21"/>
                      <w:u w:val="single"/>
                    </w:rPr>
                    <w:t>废防冻液</w:t>
                  </w:r>
                </w:p>
              </w:tc>
              <w:tc>
                <w:tcPr>
                  <w:tcW w:w="1445" w:type="dxa"/>
                  <w:vAlign w:val="center"/>
                </w:tcPr>
                <w:p>
                  <w:pPr>
                    <w:pStyle w:val="41"/>
                    <w:adjustRightInd/>
                    <w:snapToGrid/>
                    <w:spacing w:line="240" w:lineRule="auto"/>
                    <w:ind w:left="0" w:right="0"/>
                    <w:rPr>
                      <w:rFonts w:ascii="Times New Roman" w:hAnsi="Times New Roman"/>
                      <w:i/>
                      <w:iCs/>
                      <w:sz w:val="21"/>
                      <w:u w:val="single"/>
                    </w:rPr>
                  </w:pPr>
                  <w:r>
                    <w:rPr>
                      <w:rFonts w:hint="eastAsia" w:ascii="Times New Roman" w:hAnsi="Times New Roman"/>
                      <w:i/>
                      <w:iCs/>
                      <w:sz w:val="21"/>
                      <w:u w:val="single"/>
                    </w:rPr>
                    <w:t>0.3</w:t>
                  </w:r>
                </w:p>
              </w:tc>
              <w:tc>
                <w:tcPr>
                  <w:tcW w:w="1167" w:type="dxa"/>
                  <w:vAlign w:val="center"/>
                </w:tcPr>
                <w:p>
                  <w:pPr>
                    <w:pStyle w:val="41"/>
                    <w:adjustRightInd/>
                    <w:snapToGrid/>
                    <w:spacing w:line="240" w:lineRule="auto"/>
                    <w:ind w:left="0" w:right="0"/>
                    <w:rPr>
                      <w:rFonts w:ascii="Times New Roman" w:hAnsi="Times New Roman"/>
                      <w:i/>
                      <w:iCs/>
                      <w:sz w:val="21"/>
                      <w:u w:val="single"/>
                    </w:rPr>
                  </w:pPr>
                  <w:r>
                    <w:rPr>
                      <w:rFonts w:ascii="Times New Roman" w:hAnsi="Times New Roman"/>
                      <w:i/>
                      <w:iCs/>
                      <w:sz w:val="21"/>
                      <w:u w:val="single"/>
                    </w:rPr>
                    <w:t>2500</w:t>
                  </w:r>
                  <w:r>
                    <w:rPr>
                      <w:rFonts w:hint="eastAsia" w:ascii="Times New Roman" w:hAnsi="Times New Roman"/>
                      <w:i/>
                      <w:iCs/>
                      <w:sz w:val="21"/>
                      <w:u w:val="single"/>
                    </w:rPr>
                    <w:t>t</w:t>
                  </w:r>
                </w:p>
              </w:tc>
              <w:tc>
                <w:tcPr>
                  <w:tcW w:w="2065" w:type="dxa"/>
                  <w:vAlign w:val="center"/>
                </w:tcPr>
                <w:p>
                  <w:pPr>
                    <w:pStyle w:val="41"/>
                    <w:adjustRightInd/>
                    <w:snapToGrid/>
                    <w:spacing w:line="240" w:lineRule="auto"/>
                    <w:ind w:left="0" w:right="0"/>
                    <w:rPr>
                      <w:rFonts w:ascii="Times New Roman" w:hAnsi="Times New Roman"/>
                      <w:i/>
                      <w:iCs/>
                      <w:sz w:val="21"/>
                      <w:u w:val="single"/>
                    </w:rPr>
                  </w:pPr>
                  <w:r>
                    <w:rPr>
                      <w:rFonts w:ascii="Times New Roman" w:hAnsi="Times New Roman"/>
                      <w:i/>
                      <w:iCs/>
                      <w:sz w:val="21"/>
                      <w:u w:val="single"/>
                    </w:rPr>
                    <w:t>0.00008</w:t>
                  </w:r>
                </w:p>
              </w:tc>
            </w:tr>
            <w:tr>
              <w:trPr>
                <w:trHeight w:val="320" w:hRule="atLeast"/>
                <w:jc w:val="center"/>
              </w:trPr>
              <w:tc>
                <w:tcPr>
                  <w:tcW w:w="743" w:type="dxa"/>
                  <w:vAlign w:val="center"/>
                </w:tcPr>
                <w:p>
                  <w:pPr>
                    <w:pStyle w:val="41"/>
                    <w:adjustRightInd/>
                    <w:snapToGrid/>
                    <w:spacing w:line="240" w:lineRule="auto"/>
                    <w:ind w:left="0" w:right="0"/>
                    <w:rPr>
                      <w:rFonts w:ascii="Times New Roman" w:hAnsi="Times New Roman"/>
                      <w:i/>
                      <w:iCs/>
                      <w:sz w:val="21"/>
                      <w:u w:val="single"/>
                    </w:rPr>
                  </w:pPr>
                  <w:r>
                    <w:rPr>
                      <w:rFonts w:hint="eastAsia" w:ascii="Times New Roman" w:hAnsi="Times New Roman"/>
                      <w:i/>
                      <w:iCs/>
                      <w:sz w:val="21"/>
                      <w:u w:val="single"/>
                    </w:rPr>
                    <w:t>3</w:t>
                  </w:r>
                </w:p>
              </w:tc>
              <w:tc>
                <w:tcPr>
                  <w:tcW w:w="3018" w:type="dxa"/>
                  <w:vAlign w:val="center"/>
                </w:tcPr>
                <w:p>
                  <w:pPr>
                    <w:pStyle w:val="41"/>
                    <w:adjustRightInd/>
                    <w:snapToGrid/>
                    <w:spacing w:line="240" w:lineRule="auto"/>
                    <w:ind w:left="0" w:right="0"/>
                    <w:rPr>
                      <w:rFonts w:ascii="Times New Roman" w:hAnsi="Times New Roman"/>
                      <w:i/>
                      <w:iCs/>
                      <w:sz w:val="21"/>
                      <w:u w:val="single"/>
                    </w:rPr>
                  </w:pPr>
                  <w:r>
                    <w:rPr>
                      <w:rFonts w:hint="eastAsia" w:ascii="Times New Roman" w:hAnsi="Times New Roman"/>
                      <w:i/>
                      <w:iCs/>
                      <w:sz w:val="21"/>
                      <w:u w:val="single"/>
                    </w:rPr>
                    <w:t>废制动液</w:t>
                  </w:r>
                </w:p>
              </w:tc>
              <w:tc>
                <w:tcPr>
                  <w:tcW w:w="1445" w:type="dxa"/>
                  <w:vAlign w:val="center"/>
                </w:tcPr>
                <w:p>
                  <w:pPr>
                    <w:pStyle w:val="41"/>
                    <w:adjustRightInd/>
                    <w:snapToGrid/>
                    <w:spacing w:line="240" w:lineRule="auto"/>
                    <w:ind w:left="0" w:right="0"/>
                    <w:rPr>
                      <w:rFonts w:ascii="Times New Roman" w:hAnsi="Times New Roman"/>
                      <w:i/>
                      <w:iCs/>
                      <w:sz w:val="21"/>
                      <w:u w:val="single"/>
                    </w:rPr>
                  </w:pPr>
                  <w:r>
                    <w:rPr>
                      <w:rFonts w:hint="eastAsia" w:ascii="Times New Roman" w:hAnsi="Times New Roman"/>
                      <w:i/>
                      <w:iCs/>
                      <w:sz w:val="21"/>
                      <w:u w:val="single"/>
                    </w:rPr>
                    <w:t>0.3</w:t>
                  </w:r>
                </w:p>
              </w:tc>
              <w:tc>
                <w:tcPr>
                  <w:tcW w:w="1167" w:type="dxa"/>
                  <w:vAlign w:val="center"/>
                </w:tcPr>
                <w:p>
                  <w:pPr>
                    <w:pStyle w:val="41"/>
                    <w:adjustRightInd/>
                    <w:snapToGrid/>
                    <w:spacing w:line="240" w:lineRule="auto"/>
                    <w:ind w:left="0" w:right="0"/>
                    <w:rPr>
                      <w:rFonts w:ascii="Times New Roman" w:hAnsi="Times New Roman"/>
                      <w:i/>
                      <w:iCs/>
                      <w:sz w:val="21"/>
                      <w:u w:val="single"/>
                    </w:rPr>
                  </w:pPr>
                  <w:r>
                    <w:rPr>
                      <w:rFonts w:ascii="Times New Roman" w:hAnsi="Times New Roman"/>
                      <w:i/>
                      <w:iCs/>
                      <w:sz w:val="21"/>
                      <w:u w:val="single"/>
                    </w:rPr>
                    <w:t>2500</w:t>
                  </w:r>
                  <w:r>
                    <w:rPr>
                      <w:rFonts w:hint="eastAsia" w:ascii="Times New Roman" w:hAnsi="Times New Roman"/>
                      <w:i/>
                      <w:iCs/>
                      <w:sz w:val="21"/>
                      <w:u w:val="single"/>
                    </w:rPr>
                    <w:t>t</w:t>
                  </w:r>
                </w:p>
              </w:tc>
              <w:tc>
                <w:tcPr>
                  <w:tcW w:w="2065" w:type="dxa"/>
                  <w:vAlign w:val="center"/>
                </w:tcPr>
                <w:p>
                  <w:pPr>
                    <w:pStyle w:val="41"/>
                    <w:adjustRightInd/>
                    <w:snapToGrid/>
                    <w:spacing w:line="240" w:lineRule="auto"/>
                    <w:ind w:left="0" w:right="0"/>
                    <w:rPr>
                      <w:rFonts w:ascii="Times New Roman" w:hAnsi="Times New Roman"/>
                      <w:i/>
                      <w:iCs/>
                      <w:sz w:val="21"/>
                      <w:u w:val="single"/>
                    </w:rPr>
                  </w:pPr>
                  <w:r>
                    <w:rPr>
                      <w:rFonts w:ascii="Times New Roman" w:hAnsi="Times New Roman"/>
                      <w:i/>
                      <w:iCs/>
                      <w:sz w:val="21"/>
                      <w:u w:val="single"/>
                    </w:rPr>
                    <w:t>0.00008</w:t>
                  </w:r>
                </w:p>
              </w:tc>
            </w:tr>
            <w:tr>
              <w:trPr>
                <w:trHeight w:val="818" w:hRule="atLeast"/>
                <w:jc w:val="center"/>
              </w:trPr>
              <w:tc>
                <w:tcPr>
                  <w:tcW w:w="743" w:type="dxa"/>
                  <w:vAlign w:val="center"/>
                </w:tcPr>
                <w:p>
                  <w:pPr>
                    <w:pStyle w:val="41"/>
                    <w:adjustRightInd/>
                    <w:snapToGrid/>
                    <w:spacing w:line="240" w:lineRule="auto"/>
                    <w:ind w:left="0" w:right="0"/>
                    <w:rPr>
                      <w:rFonts w:ascii="Times New Roman" w:hAnsi="Times New Roman"/>
                      <w:i/>
                      <w:iCs/>
                      <w:sz w:val="21"/>
                      <w:u w:val="single"/>
                    </w:rPr>
                  </w:pPr>
                  <w:r>
                    <w:rPr>
                      <w:rFonts w:hint="eastAsia" w:ascii="Times New Roman" w:hAnsi="Times New Roman"/>
                      <w:i/>
                      <w:iCs/>
                      <w:sz w:val="21"/>
                      <w:u w:val="single"/>
                    </w:rPr>
                    <w:t>4</w:t>
                  </w:r>
                </w:p>
              </w:tc>
              <w:tc>
                <w:tcPr>
                  <w:tcW w:w="3018" w:type="dxa"/>
                  <w:vAlign w:val="center"/>
                </w:tcPr>
                <w:p>
                  <w:pPr>
                    <w:pStyle w:val="41"/>
                    <w:adjustRightInd/>
                    <w:snapToGrid/>
                    <w:spacing w:line="240" w:lineRule="auto"/>
                    <w:ind w:left="0" w:right="0"/>
                    <w:rPr>
                      <w:rFonts w:ascii="Times New Roman" w:hAnsi="Times New Roman"/>
                      <w:i/>
                      <w:iCs/>
                      <w:sz w:val="21"/>
                      <w:u w:val="single"/>
                    </w:rPr>
                  </w:pPr>
                  <w:r>
                    <w:rPr>
                      <w:rFonts w:hint="eastAsia" w:ascii="Times New Roman" w:hAnsi="Times New Roman"/>
                      <w:i/>
                      <w:iCs/>
                      <w:sz w:val="21"/>
                      <w:u w:val="single"/>
                    </w:rPr>
                    <w:t xml:space="preserve">废铅酸蓄电池中的硫酸（硫酸电解液比例约占铅酸蓄电 </w:t>
                  </w:r>
                </w:p>
                <w:p>
                  <w:pPr>
                    <w:pStyle w:val="41"/>
                    <w:adjustRightInd/>
                    <w:snapToGrid/>
                    <w:spacing w:line="240" w:lineRule="auto"/>
                    <w:ind w:left="0" w:right="0"/>
                    <w:rPr>
                      <w:rFonts w:ascii="Times New Roman" w:hAnsi="Times New Roman"/>
                      <w:i/>
                      <w:iCs/>
                      <w:sz w:val="21"/>
                      <w:u w:val="single"/>
                    </w:rPr>
                  </w:pPr>
                  <w:r>
                    <w:rPr>
                      <w:rFonts w:hint="eastAsia" w:ascii="Times New Roman" w:hAnsi="Times New Roman"/>
                      <w:i/>
                      <w:iCs/>
                      <w:sz w:val="21"/>
                      <w:u w:val="single"/>
                    </w:rPr>
                    <w:t>池重量的</w:t>
                  </w:r>
                  <w:r>
                    <w:rPr>
                      <w:rFonts w:ascii="Times New Roman" w:hAnsi="Times New Roman"/>
                      <w:i/>
                      <w:iCs/>
                      <w:sz w:val="21"/>
                      <w:u w:val="single"/>
                    </w:rPr>
                    <w:t>20%</w:t>
                  </w:r>
                  <w:r>
                    <w:rPr>
                      <w:rFonts w:hint="eastAsia" w:ascii="Times New Roman" w:hAnsi="Times New Roman"/>
                      <w:i/>
                      <w:iCs/>
                      <w:sz w:val="21"/>
                      <w:u w:val="single"/>
                    </w:rPr>
                    <w:t>计）</w:t>
                  </w:r>
                </w:p>
              </w:tc>
              <w:tc>
                <w:tcPr>
                  <w:tcW w:w="1445" w:type="dxa"/>
                  <w:vAlign w:val="center"/>
                </w:tcPr>
                <w:p>
                  <w:pPr>
                    <w:pStyle w:val="41"/>
                    <w:adjustRightInd/>
                    <w:snapToGrid/>
                    <w:spacing w:line="240" w:lineRule="auto"/>
                    <w:ind w:left="0" w:right="0"/>
                    <w:rPr>
                      <w:rFonts w:ascii="Times New Roman" w:hAnsi="Times New Roman"/>
                      <w:i/>
                      <w:iCs/>
                      <w:sz w:val="21"/>
                      <w:u w:val="single"/>
                    </w:rPr>
                  </w:pPr>
                  <w:r>
                    <w:rPr>
                      <w:rFonts w:hint="eastAsia" w:ascii="Times New Roman" w:hAnsi="Times New Roman"/>
                      <w:i/>
                      <w:iCs/>
                      <w:sz w:val="21"/>
                      <w:u w:val="single"/>
                    </w:rPr>
                    <w:t>0.6</w:t>
                  </w:r>
                </w:p>
              </w:tc>
              <w:tc>
                <w:tcPr>
                  <w:tcW w:w="1167" w:type="dxa"/>
                  <w:vAlign w:val="center"/>
                </w:tcPr>
                <w:p>
                  <w:pPr>
                    <w:pStyle w:val="41"/>
                    <w:adjustRightInd/>
                    <w:snapToGrid/>
                    <w:spacing w:line="240" w:lineRule="auto"/>
                    <w:ind w:left="0" w:right="0"/>
                    <w:rPr>
                      <w:rFonts w:ascii="Times New Roman" w:hAnsi="Times New Roman"/>
                      <w:i/>
                      <w:iCs/>
                      <w:sz w:val="21"/>
                      <w:u w:val="single"/>
                    </w:rPr>
                  </w:pPr>
                  <w:r>
                    <w:rPr>
                      <w:rFonts w:hint="eastAsia" w:ascii="Times New Roman" w:hAnsi="Times New Roman"/>
                      <w:i/>
                      <w:iCs/>
                      <w:sz w:val="21"/>
                      <w:u w:val="single"/>
                    </w:rPr>
                    <w:t>10t</w:t>
                  </w:r>
                </w:p>
              </w:tc>
              <w:tc>
                <w:tcPr>
                  <w:tcW w:w="2065" w:type="dxa"/>
                  <w:vAlign w:val="center"/>
                </w:tcPr>
                <w:p>
                  <w:pPr>
                    <w:pStyle w:val="41"/>
                    <w:adjustRightInd/>
                    <w:snapToGrid/>
                    <w:spacing w:line="240" w:lineRule="auto"/>
                    <w:ind w:left="0" w:right="0"/>
                    <w:rPr>
                      <w:rFonts w:ascii="Times New Roman" w:hAnsi="Times New Roman"/>
                      <w:i/>
                      <w:iCs/>
                      <w:sz w:val="21"/>
                      <w:u w:val="single"/>
                    </w:rPr>
                  </w:pPr>
                  <w:r>
                    <w:rPr>
                      <w:rFonts w:hint="eastAsia" w:ascii="Times New Roman" w:hAnsi="Times New Roman"/>
                      <w:i/>
                      <w:iCs/>
                      <w:sz w:val="21"/>
                      <w:u w:val="single"/>
                    </w:rPr>
                    <w:t>0.06</w:t>
                  </w:r>
                </w:p>
              </w:tc>
            </w:tr>
            <w:tr>
              <w:trPr>
                <w:trHeight w:val="348" w:hRule="atLeast"/>
                <w:jc w:val="center"/>
              </w:trPr>
              <w:tc>
                <w:tcPr>
                  <w:tcW w:w="6373" w:type="dxa"/>
                  <w:gridSpan w:val="4"/>
                  <w:vAlign w:val="center"/>
                </w:tcPr>
                <w:p>
                  <w:pPr>
                    <w:pStyle w:val="41"/>
                    <w:adjustRightInd/>
                    <w:snapToGrid/>
                    <w:spacing w:line="240" w:lineRule="auto"/>
                    <w:ind w:left="0" w:right="0"/>
                    <w:rPr>
                      <w:rFonts w:ascii="Times New Roman" w:hAnsi="Times New Roman"/>
                      <w:i/>
                      <w:iCs/>
                      <w:sz w:val="21"/>
                      <w:u w:val="single"/>
                    </w:rPr>
                  </w:pPr>
                  <w:r>
                    <w:rPr>
                      <w:rFonts w:hint="eastAsia" w:ascii="Times New Roman" w:hAnsi="Times New Roman"/>
                      <w:i/>
                      <w:iCs/>
                      <w:sz w:val="21"/>
                      <w:u w:val="single"/>
                    </w:rPr>
                    <w:t>合计</w:t>
                  </w:r>
                </w:p>
              </w:tc>
              <w:tc>
                <w:tcPr>
                  <w:tcW w:w="2065" w:type="dxa"/>
                  <w:vAlign w:val="center"/>
                </w:tcPr>
                <w:p>
                  <w:pPr>
                    <w:widowControl/>
                    <w:ind w:firstLine="420" w:firstLineChars="200"/>
                    <w:jc w:val="left"/>
                    <w:rPr>
                      <w:i/>
                      <w:iCs/>
                      <w:szCs w:val="21"/>
                      <w:u w:val="single"/>
                    </w:rPr>
                  </w:pPr>
                  <w:r>
                    <w:rPr>
                      <w:i/>
                      <w:iCs/>
                      <w:szCs w:val="21"/>
                      <w:u w:val="single"/>
                    </w:rPr>
                    <w:fldChar w:fldCharType="begin"/>
                  </w:r>
                  <w:r>
                    <w:rPr>
                      <w:i/>
                      <w:iCs/>
                      <w:szCs w:val="21"/>
                      <w:u w:val="single"/>
                    </w:rPr>
                    <w:instrText xml:space="preserve"> =SUM(ABOVE) </w:instrText>
                  </w:r>
                  <w:r>
                    <w:rPr>
                      <w:i/>
                      <w:iCs/>
                      <w:szCs w:val="21"/>
                      <w:u w:val="single"/>
                    </w:rPr>
                    <w:fldChar w:fldCharType="separate"/>
                  </w:r>
                  <w:r>
                    <w:rPr>
                      <w:i/>
                      <w:iCs/>
                      <w:szCs w:val="21"/>
                      <w:u w:val="single"/>
                    </w:rPr>
                    <w:t>0.06168</w:t>
                  </w:r>
                  <w:r>
                    <w:rPr>
                      <w:i/>
                      <w:iCs/>
                      <w:szCs w:val="21"/>
                      <w:u w:val="single"/>
                    </w:rPr>
                    <w:fldChar w:fldCharType="end"/>
                  </w:r>
                  <w:r>
                    <w:rPr>
                      <w:i/>
                      <w:iCs/>
                      <w:szCs w:val="21"/>
                      <w:u w:val="single"/>
                    </w:rPr>
                    <w:t xml:space="preserve"> </w:t>
                  </w:r>
                  <w:r>
                    <w:rPr>
                      <w:i/>
                      <w:iCs/>
                      <w:kern w:val="0"/>
                      <w:sz w:val="20"/>
                      <w:szCs w:val="20"/>
                      <w:u w:val="single"/>
                    </w:rPr>
                    <w:t>&lt;1</w:t>
                  </w:r>
                </w:p>
              </w:tc>
            </w:tr>
          </w:tbl>
          <w:p>
            <w:pPr>
              <w:autoSpaceDE w:val="0"/>
              <w:autoSpaceDN w:val="0"/>
              <w:spacing w:line="360" w:lineRule="auto"/>
              <w:ind w:firstLine="480" w:firstLineChars="200"/>
              <w:rPr>
                <w:i/>
                <w:iCs/>
                <w:sz w:val="24"/>
                <w:u w:val="single"/>
              </w:rPr>
            </w:pPr>
            <w:r>
              <w:rPr>
                <w:bCs/>
                <w:i/>
                <w:iCs/>
                <w:kern w:val="0"/>
                <w:sz w:val="24"/>
                <w:u w:val="single"/>
                <w:lang/>
              </w:rPr>
              <w:t>根据《建设项目环境风险评价技术导则》</w:t>
            </w:r>
            <w:r>
              <w:rPr>
                <w:rFonts w:hint="eastAsia"/>
                <w:bCs/>
                <w:i/>
                <w:iCs/>
                <w:kern w:val="0"/>
                <w:sz w:val="24"/>
                <w:u w:val="single"/>
                <w:lang/>
              </w:rPr>
              <w:t>（</w:t>
            </w:r>
            <w:r>
              <w:rPr>
                <w:bCs/>
                <w:i/>
                <w:iCs/>
                <w:kern w:val="0"/>
                <w:sz w:val="24"/>
                <w:u w:val="single"/>
                <w:lang/>
              </w:rPr>
              <w:t>HJ</w:t>
            </w:r>
            <w:r>
              <w:rPr>
                <w:rFonts w:hint="eastAsia"/>
                <w:bCs/>
                <w:i/>
                <w:iCs/>
                <w:kern w:val="0"/>
                <w:sz w:val="24"/>
                <w:u w:val="single"/>
              </w:rPr>
              <w:t xml:space="preserve"> </w:t>
            </w:r>
            <w:r>
              <w:rPr>
                <w:bCs/>
                <w:i/>
                <w:iCs/>
                <w:kern w:val="0"/>
                <w:sz w:val="24"/>
                <w:u w:val="single"/>
                <w:lang/>
              </w:rPr>
              <w:t>169-2018</w:t>
            </w:r>
            <w:r>
              <w:rPr>
                <w:rFonts w:hint="eastAsia"/>
                <w:bCs/>
                <w:i/>
                <w:iCs/>
                <w:kern w:val="0"/>
                <w:sz w:val="24"/>
                <w:u w:val="single"/>
                <w:lang/>
              </w:rPr>
              <w:t>）</w:t>
            </w:r>
            <w:r>
              <w:rPr>
                <w:bCs/>
                <w:i/>
                <w:iCs/>
                <w:kern w:val="0"/>
                <w:sz w:val="24"/>
                <w:u w:val="single"/>
              </w:rPr>
              <w:t>，</w:t>
            </w:r>
            <w:r>
              <w:rPr>
                <w:rFonts w:hint="eastAsia"/>
                <w:bCs/>
                <w:i/>
                <w:iCs/>
                <w:kern w:val="0"/>
                <w:sz w:val="24"/>
                <w:u w:val="single"/>
              </w:rPr>
              <w:t>环境风险评价工作等级依据建设项目涉及的物质及工艺系统危险性和所在地的环境敏感性确定风险潜势，按照下表确定评价工作等级</w:t>
            </w:r>
            <w:r>
              <w:rPr>
                <w:i/>
                <w:iCs/>
                <w:sz w:val="24"/>
                <w:u w:val="single"/>
              </w:rPr>
              <w:t>。</w:t>
            </w:r>
          </w:p>
          <w:p>
            <w:pPr>
              <w:pStyle w:val="19"/>
              <w:ind w:left="0" w:leftChars="0"/>
              <w:jc w:val="center"/>
              <w:rPr>
                <w:rFonts w:ascii="宋体" w:hAnsi="宋体" w:cs="宋体"/>
                <w:b/>
                <w:i/>
                <w:iCs/>
                <w:sz w:val="24"/>
                <w:u w:val="single"/>
                <w:lang/>
              </w:rPr>
            </w:pPr>
            <w:r>
              <w:rPr>
                <w:rFonts w:hint="eastAsia" w:ascii="宋体" w:hAnsi="宋体" w:cs="宋体"/>
                <w:b/>
                <w:i/>
                <w:iCs/>
                <w:sz w:val="24"/>
                <w:u w:val="single"/>
                <w:lang/>
              </w:rPr>
              <w:t>表4-1</w:t>
            </w:r>
            <w:r>
              <w:rPr>
                <w:rFonts w:hint="eastAsia" w:ascii="宋体" w:hAnsi="宋体" w:cs="宋体"/>
                <w:b/>
                <w:i/>
                <w:iCs/>
                <w:sz w:val="24"/>
                <w:u w:val="single"/>
              </w:rPr>
              <w:t>7</w:t>
            </w:r>
            <w:r>
              <w:rPr>
                <w:rFonts w:hint="eastAsia" w:ascii="宋体" w:hAnsi="宋体" w:cs="宋体"/>
                <w:b/>
                <w:i/>
                <w:iCs/>
                <w:sz w:val="24"/>
                <w:u w:val="single"/>
                <w:lang/>
              </w:rPr>
              <w:t xml:space="preserve">  评价工作等级划分</w:t>
            </w:r>
          </w:p>
          <w:tbl>
            <w:tblPr>
              <w:tblW w:w="8537"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left w:w="108" w:type="dxa"/>
                <w:right w:w="108" w:type="dxa"/>
              </w:tblCellMar>
            </w:tblPr>
            <w:tblGrid>
              <w:gridCol w:w="1707"/>
              <w:gridCol w:w="1707"/>
              <w:gridCol w:w="1707"/>
              <w:gridCol w:w="1707"/>
              <w:gridCol w:w="1709"/>
            </w:tblGrid>
            <w:tr>
              <w:trPr>
                <w:trHeight w:val="316" w:hRule="atLeast"/>
                <w:jc w:val="center"/>
              </w:trPr>
              <w:tc>
                <w:tcPr>
                  <w:tcW w:w="1707" w:type="dxa"/>
                  <w:vAlign w:val="center"/>
                </w:tcPr>
                <w:p>
                  <w:pPr>
                    <w:pStyle w:val="41"/>
                    <w:adjustRightInd/>
                    <w:snapToGrid/>
                    <w:spacing w:line="240" w:lineRule="auto"/>
                    <w:ind w:left="0" w:right="0"/>
                    <w:rPr>
                      <w:rFonts w:ascii="Times New Roman" w:hAnsi="Times New Roman"/>
                      <w:i/>
                      <w:iCs/>
                      <w:sz w:val="21"/>
                      <w:u w:val="single"/>
                    </w:rPr>
                  </w:pPr>
                  <w:r>
                    <w:rPr>
                      <w:rFonts w:hint="eastAsia" w:ascii="Times New Roman" w:hAnsi="Times New Roman"/>
                      <w:i/>
                      <w:iCs/>
                      <w:sz w:val="21"/>
                      <w:u w:val="single"/>
                    </w:rPr>
                    <w:t>环境风险潜势</w:t>
                  </w:r>
                </w:p>
              </w:tc>
              <w:tc>
                <w:tcPr>
                  <w:tcW w:w="1707" w:type="dxa"/>
                  <w:vAlign w:val="center"/>
                </w:tcPr>
                <w:p>
                  <w:pPr>
                    <w:pStyle w:val="41"/>
                    <w:adjustRightInd/>
                    <w:snapToGrid/>
                    <w:spacing w:line="240" w:lineRule="auto"/>
                    <w:ind w:left="0" w:right="0"/>
                    <w:rPr>
                      <w:rFonts w:ascii="Times New Roman" w:hAnsi="Times New Roman"/>
                      <w:i/>
                      <w:iCs/>
                      <w:sz w:val="21"/>
                      <w:u w:val="single"/>
                      <w:vertAlign w:val="superscript"/>
                    </w:rPr>
                  </w:pPr>
                  <w:r>
                    <w:rPr>
                      <w:rFonts w:hint="eastAsia" w:ascii="Times New Roman" w:hAnsi="Times New Roman"/>
                      <w:i/>
                      <w:iCs/>
                      <w:sz w:val="21"/>
                      <w:u w:val="single"/>
                    </w:rPr>
                    <w:t>IV、IV</w:t>
                  </w:r>
                  <w:r>
                    <w:rPr>
                      <w:rFonts w:hint="eastAsia" w:ascii="Times New Roman" w:hAnsi="Times New Roman"/>
                      <w:i/>
                      <w:iCs/>
                      <w:sz w:val="21"/>
                      <w:u w:val="single"/>
                      <w:vertAlign w:val="superscript"/>
                    </w:rPr>
                    <w:t>+</w:t>
                  </w:r>
                </w:p>
              </w:tc>
              <w:tc>
                <w:tcPr>
                  <w:tcW w:w="1707" w:type="dxa"/>
                  <w:vAlign w:val="center"/>
                </w:tcPr>
                <w:p>
                  <w:pPr>
                    <w:pStyle w:val="41"/>
                    <w:adjustRightInd/>
                    <w:snapToGrid/>
                    <w:spacing w:line="240" w:lineRule="auto"/>
                    <w:ind w:left="0" w:right="0"/>
                    <w:rPr>
                      <w:rFonts w:ascii="Times New Roman" w:hAnsi="Times New Roman"/>
                      <w:i/>
                      <w:iCs/>
                      <w:sz w:val="21"/>
                      <w:u w:val="single"/>
                    </w:rPr>
                  </w:pPr>
                  <w:r>
                    <w:rPr>
                      <w:rFonts w:hint="eastAsia" w:ascii="Times New Roman" w:hAnsi="Times New Roman"/>
                      <w:i/>
                      <w:iCs/>
                      <w:sz w:val="21"/>
                      <w:u w:val="single"/>
                    </w:rPr>
                    <w:t>III</w:t>
                  </w:r>
                </w:p>
              </w:tc>
              <w:tc>
                <w:tcPr>
                  <w:tcW w:w="1707" w:type="dxa"/>
                  <w:vAlign w:val="center"/>
                </w:tcPr>
                <w:p>
                  <w:pPr>
                    <w:pStyle w:val="41"/>
                    <w:adjustRightInd/>
                    <w:snapToGrid/>
                    <w:spacing w:line="240" w:lineRule="auto"/>
                    <w:ind w:left="0" w:right="0"/>
                    <w:rPr>
                      <w:rFonts w:ascii="Times New Roman" w:hAnsi="Times New Roman"/>
                      <w:i/>
                      <w:iCs/>
                      <w:sz w:val="21"/>
                      <w:u w:val="single"/>
                    </w:rPr>
                  </w:pPr>
                  <w:r>
                    <w:rPr>
                      <w:rFonts w:hint="eastAsia" w:ascii="Times New Roman" w:hAnsi="Times New Roman"/>
                      <w:i/>
                      <w:iCs/>
                      <w:sz w:val="21"/>
                      <w:u w:val="single"/>
                    </w:rPr>
                    <w:t>II</w:t>
                  </w:r>
                </w:p>
              </w:tc>
              <w:tc>
                <w:tcPr>
                  <w:tcW w:w="1709" w:type="dxa"/>
                  <w:vAlign w:val="center"/>
                </w:tcPr>
                <w:p>
                  <w:pPr>
                    <w:pStyle w:val="41"/>
                    <w:adjustRightInd/>
                    <w:snapToGrid/>
                    <w:spacing w:line="240" w:lineRule="auto"/>
                    <w:ind w:left="0" w:right="0"/>
                    <w:rPr>
                      <w:rFonts w:ascii="Times New Roman" w:hAnsi="Times New Roman"/>
                      <w:i/>
                      <w:iCs/>
                      <w:sz w:val="21"/>
                      <w:u w:val="single"/>
                    </w:rPr>
                  </w:pPr>
                  <w:r>
                    <w:rPr>
                      <w:rFonts w:hint="eastAsia" w:ascii="Times New Roman" w:hAnsi="Times New Roman"/>
                      <w:i/>
                      <w:iCs/>
                      <w:sz w:val="21"/>
                      <w:u w:val="single"/>
                    </w:rPr>
                    <w:t>I</w:t>
                  </w:r>
                </w:p>
              </w:tc>
            </w:tr>
            <w:tr>
              <w:trPr>
                <w:trHeight w:val="334" w:hRule="atLeast"/>
                <w:jc w:val="center"/>
              </w:trPr>
              <w:tc>
                <w:tcPr>
                  <w:tcW w:w="1707" w:type="dxa"/>
                  <w:vAlign w:val="center"/>
                </w:tcPr>
                <w:p>
                  <w:pPr>
                    <w:pStyle w:val="41"/>
                    <w:adjustRightInd/>
                    <w:snapToGrid/>
                    <w:spacing w:line="240" w:lineRule="auto"/>
                    <w:ind w:left="0" w:right="0"/>
                    <w:rPr>
                      <w:rFonts w:ascii="Times New Roman" w:hAnsi="Times New Roman"/>
                      <w:i/>
                      <w:iCs/>
                      <w:sz w:val="21"/>
                      <w:u w:val="single"/>
                    </w:rPr>
                  </w:pPr>
                  <w:r>
                    <w:rPr>
                      <w:rFonts w:hint="eastAsia" w:ascii="Times New Roman" w:hAnsi="Times New Roman"/>
                      <w:i/>
                      <w:iCs/>
                      <w:sz w:val="21"/>
                      <w:u w:val="single"/>
                    </w:rPr>
                    <w:t>评价工作等级</w:t>
                  </w:r>
                </w:p>
              </w:tc>
              <w:tc>
                <w:tcPr>
                  <w:tcW w:w="1707" w:type="dxa"/>
                  <w:vAlign w:val="center"/>
                </w:tcPr>
                <w:p>
                  <w:pPr>
                    <w:pStyle w:val="41"/>
                    <w:adjustRightInd/>
                    <w:snapToGrid/>
                    <w:spacing w:line="240" w:lineRule="auto"/>
                    <w:ind w:left="0" w:right="0"/>
                    <w:rPr>
                      <w:rFonts w:ascii="Times New Roman" w:hAnsi="Times New Roman"/>
                      <w:i/>
                      <w:iCs/>
                      <w:sz w:val="21"/>
                      <w:u w:val="single"/>
                    </w:rPr>
                  </w:pPr>
                  <w:r>
                    <w:rPr>
                      <w:rFonts w:hint="eastAsia" w:ascii="Times New Roman" w:hAnsi="Times New Roman"/>
                      <w:i/>
                      <w:iCs/>
                      <w:sz w:val="21"/>
                      <w:u w:val="single"/>
                    </w:rPr>
                    <w:t>一</w:t>
                  </w:r>
                </w:p>
              </w:tc>
              <w:tc>
                <w:tcPr>
                  <w:tcW w:w="1707" w:type="dxa"/>
                  <w:vAlign w:val="center"/>
                </w:tcPr>
                <w:p>
                  <w:pPr>
                    <w:pStyle w:val="41"/>
                    <w:adjustRightInd/>
                    <w:snapToGrid/>
                    <w:spacing w:line="240" w:lineRule="auto"/>
                    <w:ind w:left="0" w:right="0"/>
                    <w:rPr>
                      <w:rFonts w:ascii="Times New Roman" w:hAnsi="Times New Roman"/>
                      <w:i/>
                      <w:iCs/>
                      <w:sz w:val="21"/>
                      <w:u w:val="single"/>
                    </w:rPr>
                  </w:pPr>
                  <w:r>
                    <w:rPr>
                      <w:rFonts w:hint="eastAsia" w:ascii="Times New Roman" w:hAnsi="Times New Roman"/>
                      <w:i/>
                      <w:iCs/>
                      <w:sz w:val="21"/>
                      <w:u w:val="single"/>
                    </w:rPr>
                    <w:t>二</w:t>
                  </w:r>
                </w:p>
              </w:tc>
              <w:tc>
                <w:tcPr>
                  <w:tcW w:w="1707" w:type="dxa"/>
                  <w:vAlign w:val="center"/>
                </w:tcPr>
                <w:p>
                  <w:pPr>
                    <w:pStyle w:val="41"/>
                    <w:adjustRightInd/>
                    <w:snapToGrid/>
                    <w:spacing w:line="240" w:lineRule="auto"/>
                    <w:ind w:left="0" w:right="0"/>
                    <w:rPr>
                      <w:rFonts w:ascii="Times New Roman" w:hAnsi="Times New Roman"/>
                      <w:i/>
                      <w:iCs/>
                      <w:sz w:val="21"/>
                      <w:u w:val="single"/>
                    </w:rPr>
                  </w:pPr>
                  <w:r>
                    <w:rPr>
                      <w:rFonts w:hint="eastAsia" w:ascii="Times New Roman" w:hAnsi="Times New Roman"/>
                      <w:i/>
                      <w:iCs/>
                      <w:sz w:val="21"/>
                      <w:u w:val="single"/>
                    </w:rPr>
                    <w:t>三</w:t>
                  </w:r>
                </w:p>
              </w:tc>
              <w:tc>
                <w:tcPr>
                  <w:tcW w:w="1709" w:type="dxa"/>
                  <w:vAlign w:val="center"/>
                </w:tcPr>
                <w:p>
                  <w:pPr>
                    <w:pStyle w:val="41"/>
                    <w:adjustRightInd/>
                    <w:snapToGrid/>
                    <w:spacing w:line="240" w:lineRule="auto"/>
                    <w:ind w:left="0" w:right="0"/>
                    <w:rPr>
                      <w:rFonts w:ascii="Times New Roman" w:hAnsi="Times New Roman"/>
                      <w:i/>
                      <w:iCs/>
                      <w:sz w:val="21"/>
                      <w:u w:val="single"/>
                      <w:vertAlign w:val="superscript"/>
                    </w:rPr>
                  </w:pPr>
                  <w:r>
                    <w:rPr>
                      <w:rFonts w:hint="eastAsia" w:ascii="Times New Roman" w:hAnsi="Times New Roman"/>
                      <w:i/>
                      <w:iCs/>
                      <w:sz w:val="21"/>
                      <w:u w:val="single"/>
                    </w:rPr>
                    <w:t>简单分析</w:t>
                  </w:r>
                  <w:r>
                    <w:rPr>
                      <w:rFonts w:hint="eastAsia" w:ascii="Times New Roman" w:hAnsi="Times New Roman"/>
                      <w:i/>
                      <w:iCs/>
                      <w:sz w:val="21"/>
                      <w:u w:val="single"/>
                      <w:vertAlign w:val="superscript"/>
                    </w:rPr>
                    <w:t>a</w:t>
                  </w:r>
                </w:p>
              </w:tc>
            </w:tr>
          </w:tbl>
          <w:p>
            <w:pPr>
              <w:autoSpaceDE w:val="0"/>
              <w:autoSpaceDN w:val="0"/>
              <w:spacing w:line="360" w:lineRule="auto"/>
              <w:ind w:firstLine="480" w:firstLineChars="200"/>
              <w:rPr>
                <w:bCs/>
                <w:i/>
                <w:iCs/>
                <w:kern w:val="0"/>
                <w:sz w:val="24"/>
                <w:u w:val="single"/>
                <w:lang/>
              </w:rPr>
            </w:pPr>
            <w:r>
              <w:rPr>
                <w:bCs/>
                <w:i/>
                <w:iCs/>
                <w:kern w:val="0"/>
                <w:sz w:val="24"/>
                <w:u w:val="single"/>
              </w:rPr>
              <w:t>根据计算，本项目Q</w:t>
            </w:r>
            <w:r>
              <w:rPr>
                <w:rFonts w:hint="eastAsia" w:ascii="宋体" w:hAnsi="宋体" w:cs="宋体"/>
                <w:bCs/>
                <w:i/>
                <w:iCs/>
                <w:kern w:val="0"/>
                <w:sz w:val="24"/>
                <w:u w:val="single"/>
              </w:rPr>
              <w:t>＜</w:t>
            </w:r>
            <w:r>
              <w:rPr>
                <w:bCs/>
                <w:i/>
                <w:iCs/>
                <w:kern w:val="0"/>
                <w:sz w:val="24"/>
                <w:u w:val="single"/>
              </w:rPr>
              <w:t>1，则本项目环境风险潜势为</w:t>
            </w:r>
            <w:r>
              <w:rPr>
                <w:rFonts w:hint="eastAsia"/>
                <w:bCs/>
                <w:i/>
                <w:iCs/>
                <w:kern w:val="0"/>
                <w:sz w:val="24"/>
                <w:u w:val="single"/>
              </w:rPr>
              <w:t>I</w:t>
            </w:r>
            <w:r>
              <w:rPr>
                <w:bCs/>
                <w:i/>
                <w:iCs/>
                <w:kern w:val="0"/>
                <w:sz w:val="24"/>
                <w:u w:val="single"/>
              </w:rPr>
              <w:t>，简单分析即可</w:t>
            </w:r>
            <w:r>
              <w:rPr>
                <w:rFonts w:hint="eastAsia"/>
                <w:bCs/>
                <w:i/>
                <w:iCs/>
                <w:kern w:val="0"/>
                <w:sz w:val="24"/>
                <w:u w:val="single"/>
              </w:rPr>
              <w:t>。</w:t>
            </w:r>
          </w:p>
          <w:p>
            <w:pPr>
              <w:autoSpaceDE w:val="0"/>
              <w:autoSpaceDN w:val="0"/>
              <w:spacing w:line="360" w:lineRule="auto"/>
              <w:ind w:firstLine="480" w:firstLineChars="200"/>
              <w:rPr>
                <w:rFonts w:ascii="宋体" w:hAnsi="宋体" w:cs="宋体"/>
                <w:bCs/>
                <w:i/>
                <w:iCs/>
                <w:kern w:val="0"/>
                <w:sz w:val="24"/>
                <w:u w:val="single"/>
              </w:rPr>
            </w:pPr>
            <w:r>
              <w:rPr>
                <w:bCs/>
                <w:i/>
                <w:iCs/>
                <w:kern w:val="0"/>
                <w:sz w:val="24"/>
                <w:u w:val="single"/>
              </w:rPr>
              <w:t>本项目生产过程中所涉及的危险化学品为废油</w:t>
            </w:r>
            <w:r>
              <w:rPr>
                <w:rFonts w:hint="eastAsia" w:ascii="宋体" w:hAnsi="宋体" w:cs="宋体"/>
                <w:bCs/>
                <w:i/>
                <w:iCs/>
                <w:kern w:val="0"/>
                <w:sz w:val="24"/>
                <w:u w:val="single"/>
              </w:rPr>
              <w:t>（主要为柴油）以及电解液(主要为硫酸），其物理化学性质见表4-18。</w:t>
            </w:r>
          </w:p>
          <w:p>
            <w:pPr>
              <w:pStyle w:val="2"/>
              <w:rPr>
                <w:rFonts w:ascii="宋体" w:hAnsi="宋体" w:cs="宋体"/>
                <w:b/>
                <w:i/>
                <w:iCs/>
                <w:sz w:val="21"/>
                <w:szCs w:val="21"/>
                <w:u w:val="single"/>
              </w:rPr>
            </w:pPr>
            <w:r>
              <w:rPr>
                <w:rFonts w:hint="eastAsia"/>
                <w:bCs/>
                <w:i/>
                <w:iCs/>
                <w:kern w:val="0"/>
                <w:sz w:val="24"/>
                <w:u w:val="single"/>
              </w:rPr>
              <w:t xml:space="preserve">                  </w:t>
            </w:r>
            <w:r>
              <w:rPr>
                <w:rFonts w:hint="eastAsia" w:ascii="宋体" w:hAnsi="宋体" w:cs="宋体"/>
                <w:b/>
                <w:i/>
                <w:iCs/>
                <w:kern w:val="0"/>
                <w:sz w:val="21"/>
                <w:szCs w:val="21"/>
                <w:u w:val="single"/>
              </w:rPr>
              <w:t xml:space="preserve"> </w:t>
            </w:r>
            <w:r>
              <w:rPr>
                <w:rFonts w:hint="eastAsia" w:ascii="宋体" w:hAnsi="宋体" w:cs="宋体"/>
                <w:b/>
                <w:i/>
                <w:iCs/>
                <w:sz w:val="24"/>
                <w:u w:val="single"/>
                <w:lang/>
              </w:rPr>
              <w:t>表4-1</w:t>
            </w:r>
            <w:r>
              <w:rPr>
                <w:rFonts w:hint="eastAsia" w:ascii="宋体" w:hAnsi="宋体" w:cs="宋体"/>
                <w:b/>
                <w:i/>
                <w:iCs/>
                <w:sz w:val="24"/>
                <w:u w:val="single"/>
              </w:rPr>
              <w:t>8</w:t>
            </w:r>
            <w:r>
              <w:rPr>
                <w:rFonts w:hint="eastAsia" w:ascii="宋体" w:hAnsi="宋体" w:cs="宋体"/>
                <w:b/>
                <w:i/>
                <w:iCs/>
                <w:sz w:val="24"/>
                <w:u w:val="single"/>
                <w:lang/>
              </w:rPr>
              <w:t xml:space="preserve">    理化性质一览表</w:t>
            </w:r>
          </w:p>
          <w:tbl>
            <w:tblPr>
              <w:tblW w:w="8418"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left w:w="108" w:type="dxa"/>
                <w:right w:w="108" w:type="dxa"/>
              </w:tblCellMar>
            </w:tblPr>
            <w:tblGrid>
              <w:gridCol w:w="723"/>
              <w:gridCol w:w="1833"/>
              <w:gridCol w:w="2776"/>
              <w:gridCol w:w="3086"/>
            </w:tblGrid>
            <w:tr>
              <w:trPr>
                <w:trHeight w:val="430" w:hRule="atLeast"/>
                <w:jc w:val="center"/>
              </w:trPr>
              <w:tc>
                <w:tcPr>
                  <w:tcW w:w="723" w:type="dxa"/>
                  <w:vAlign w:val="top"/>
                </w:tcPr>
                <w:p>
                  <w:pPr>
                    <w:pStyle w:val="2"/>
                    <w:spacing w:line="240" w:lineRule="auto"/>
                    <w:jc w:val="left"/>
                    <w:rPr>
                      <w:rFonts w:ascii="宋体" w:hAnsi="宋体" w:cs="宋体"/>
                      <w:bCs/>
                      <w:i/>
                      <w:iCs/>
                      <w:kern w:val="0"/>
                      <w:sz w:val="21"/>
                      <w:szCs w:val="21"/>
                      <w:u w:val="single"/>
                    </w:rPr>
                  </w:pPr>
                  <w:r>
                    <w:rPr>
                      <w:rFonts w:hint="eastAsia" w:ascii="宋体" w:hAnsi="宋体" w:cs="宋体"/>
                      <w:bCs/>
                      <w:i/>
                      <w:iCs/>
                      <w:kern w:val="0"/>
                      <w:sz w:val="21"/>
                      <w:szCs w:val="21"/>
                      <w:u w:val="single"/>
                    </w:rPr>
                    <w:t>名称</w:t>
                  </w:r>
                </w:p>
              </w:tc>
              <w:tc>
                <w:tcPr>
                  <w:tcW w:w="1833" w:type="dxa"/>
                  <w:vAlign w:val="top"/>
                </w:tcPr>
                <w:p>
                  <w:pPr>
                    <w:pStyle w:val="2"/>
                    <w:spacing w:line="240" w:lineRule="auto"/>
                    <w:jc w:val="left"/>
                    <w:rPr>
                      <w:rFonts w:ascii="宋体" w:hAnsi="宋体" w:cs="宋体"/>
                      <w:bCs/>
                      <w:i/>
                      <w:iCs/>
                      <w:kern w:val="0"/>
                      <w:sz w:val="21"/>
                      <w:szCs w:val="21"/>
                      <w:u w:val="single"/>
                    </w:rPr>
                  </w:pPr>
                  <w:r>
                    <w:rPr>
                      <w:rFonts w:hint="eastAsia" w:ascii="宋体" w:hAnsi="宋体" w:cs="宋体"/>
                      <w:bCs/>
                      <w:i/>
                      <w:iCs/>
                      <w:kern w:val="0"/>
                      <w:sz w:val="21"/>
                      <w:szCs w:val="21"/>
                      <w:u w:val="single"/>
                    </w:rPr>
                    <w:t>理化性质</w:t>
                  </w:r>
                </w:p>
              </w:tc>
              <w:tc>
                <w:tcPr>
                  <w:tcW w:w="2776" w:type="dxa"/>
                  <w:vAlign w:val="top"/>
                </w:tcPr>
                <w:p>
                  <w:pPr>
                    <w:pStyle w:val="2"/>
                    <w:spacing w:line="240" w:lineRule="auto"/>
                    <w:jc w:val="left"/>
                    <w:rPr>
                      <w:rFonts w:ascii="宋体" w:hAnsi="宋体" w:cs="宋体"/>
                      <w:bCs/>
                      <w:i/>
                      <w:iCs/>
                      <w:kern w:val="0"/>
                      <w:sz w:val="21"/>
                      <w:szCs w:val="21"/>
                      <w:u w:val="single"/>
                    </w:rPr>
                  </w:pPr>
                  <w:r>
                    <w:rPr>
                      <w:rFonts w:hint="eastAsia" w:ascii="宋体" w:hAnsi="宋体" w:cs="宋体"/>
                      <w:bCs/>
                      <w:i/>
                      <w:iCs/>
                      <w:kern w:val="0"/>
                      <w:sz w:val="21"/>
                      <w:szCs w:val="21"/>
                      <w:u w:val="single"/>
                    </w:rPr>
                    <w:t>燃爆等危险性</w:t>
                  </w:r>
                </w:p>
              </w:tc>
              <w:tc>
                <w:tcPr>
                  <w:tcW w:w="3086" w:type="dxa"/>
                  <w:vAlign w:val="top"/>
                </w:tcPr>
                <w:p>
                  <w:pPr>
                    <w:pStyle w:val="2"/>
                    <w:spacing w:line="240" w:lineRule="auto"/>
                    <w:jc w:val="left"/>
                    <w:rPr>
                      <w:rFonts w:ascii="宋体" w:hAnsi="宋体" w:cs="宋体"/>
                      <w:bCs/>
                      <w:i/>
                      <w:iCs/>
                      <w:kern w:val="0"/>
                      <w:sz w:val="21"/>
                      <w:szCs w:val="21"/>
                      <w:u w:val="single"/>
                    </w:rPr>
                  </w:pPr>
                  <w:r>
                    <w:rPr>
                      <w:rFonts w:hint="eastAsia" w:ascii="宋体" w:hAnsi="宋体" w:cs="宋体"/>
                      <w:bCs/>
                      <w:i/>
                      <w:iCs/>
                      <w:kern w:val="0"/>
                      <w:sz w:val="21"/>
                      <w:szCs w:val="21"/>
                      <w:u w:val="single"/>
                    </w:rPr>
                    <w:t>毒性、危害</w:t>
                  </w:r>
                </w:p>
              </w:tc>
            </w:tr>
            <w:tr>
              <w:trPr>
                <w:trHeight w:val="1489" w:hRule="atLeast"/>
                <w:jc w:val="center"/>
              </w:trPr>
              <w:tc>
                <w:tcPr>
                  <w:tcW w:w="723" w:type="dxa"/>
                  <w:vAlign w:val="top"/>
                </w:tcPr>
                <w:p>
                  <w:pPr>
                    <w:pStyle w:val="2"/>
                    <w:spacing w:line="240" w:lineRule="auto"/>
                    <w:jc w:val="left"/>
                    <w:rPr>
                      <w:rFonts w:ascii="宋体" w:hAnsi="宋体" w:cs="宋体"/>
                      <w:bCs/>
                      <w:i/>
                      <w:iCs/>
                      <w:kern w:val="0"/>
                      <w:sz w:val="21"/>
                      <w:szCs w:val="21"/>
                      <w:u w:val="single"/>
                    </w:rPr>
                  </w:pPr>
                  <w:r>
                    <w:rPr>
                      <w:rFonts w:hint="eastAsia" w:ascii="宋体" w:hAnsi="宋体" w:cs="宋体"/>
                      <w:bCs/>
                      <w:i/>
                      <w:iCs/>
                      <w:kern w:val="0"/>
                      <w:sz w:val="21"/>
                      <w:szCs w:val="21"/>
                      <w:u w:val="single"/>
                    </w:rPr>
                    <w:t>汽油</w:t>
                  </w:r>
                </w:p>
              </w:tc>
              <w:tc>
                <w:tcPr>
                  <w:tcW w:w="1833" w:type="dxa"/>
                  <w:vAlign w:val="top"/>
                </w:tcPr>
                <w:p>
                  <w:pPr>
                    <w:widowControl/>
                    <w:jc w:val="left"/>
                    <w:rPr>
                      <w:rFonts w:ascii="宋体" w:hAnsi="宋体" w:cs="宋体"/>
                      <w:bCs/>
                      <w:i/>
                      <w:iCs/>
                      <w:kern w:val="0"/>
                      <w:szCs w:val="21"/>
                      <w:u w:val="single"/>
                    </w:rPr>
                  </w:pPr>
                  <w:r>
                    <w:rPr>
                      <w:rFonts w:hint="eastAsia" w:ascii="宋体" w:hAnsi="宋体" w:cs="宋体"/>
                      <w:i/>
                      <w:iCs/>
                      <w:color w:val="000000"/>
                      <w:kern w:val="0"/>
                      <w:szCs w:val="21"/>
                      <w:u w:val="single"/>
                    </w:rPr>
                    <w:t>具有挥发性和易燃性</w:t>
                  </w:r>
                </w:p>
              </w:tc>
              <w:tc>
                <w:tcPr>
                  <w:tcW w:w="2776" w:type="dxa"/>
                  <w:vAlign w:val="top"/>
                </w:tcPr>
                <w:p>
                  <w:pPr>
                    <w:widowControl/>
                    <w:jc w:val="left"/>
                    <w:rPr>
                      <w:rFonts w:ascii="宋体" w:hAnsi="宋体" w:cs="宋体"/>
                      <w:bCs/>
                      <w:i/>
                      <w:iCs/>
                      <w:kern w:val="0"/>
                      <w:szCs w:val="21"/>
                      <w:u w:val="single"/>
                    </w:rPr>
                  </w:pPr>
                  <w:r>
                    <w:rPr>
                      <w:rFonts w:hint="eastAsia" w:ascii="宋体" w:hAnsi="宋体" w:cs="宋体"/>
                      <w:i/>
                      <w:iCs/>
                      <w:color w:val="000000"/>
                      <w:kern w:val="0"/>
                      <w:szCs w:val="21"/>
                      <w:u w:val="single"/>
                    </w:rPr>
                    <w:t>爆炸危险组别为 T3/IIA，其闪点为-50℃，爆炸下限为 1%，爆炸上限为 7.6%， 其蒸气与空气混合成为爆炸性混合物， 遇明火、高热、氧化剂时极易引起燃烧爆炸危险。</w:t>
                  </w:r>
                </w:p>
              </w:tc>
              <w:tc>
                <w:tcPr>
                  <w:tcW w:w="3086" w:type="dxa"/>
                  <w:vAlign w:val="top"/>
                </w:tcPr>
                <w:p>
                  <w:pPr>
                    <w:widowControl/>
                    <w:jc w:val="left"/>
                    <w:rPr>
                      <w:rFonts w:ascii="宋体" w:hAnsi="宋体" w:cs="宋体"/>
                      <w:bCs/>
                      <w:i/>
                      <w:iCs/>
                      <w:kern w:val="0"/>
                      <w:szCs w:val="21"/>
                      <w:u w:val="single"/>
                    </w:rPr>
                  </w:pPr>
                  <w:r>
                    <w:rPr>
                      <w:rFonts w:hint="eastAsia" w:ascii="宋体" w:hAnsi="宋体" w:cs="宋体"/>
                      <w:i/>
                      <w:iCs/>
                      <w:color w:val="000000"/>
                      <w:kern w:val="0"/>
                      <w:szCs w:val="21"/>
                      <w:u w:val="single"/>
                    </w:rPr>
                    <w:t>易于从呼吸道或溶解皮脂从皮肤侵入人体，引起急性和慢性中毒，当空气中汽油蒸气浓度达到 30-40mg/l 时，人呼吸半小时后，即导致生命危险。</w:t>
                  </w:r>
                </w:p>
              </w:tc>
            </w:tr>
            <w:tr>
              <w:trPr>
                <w:trHeight w:val="1205" w:hRule="atLeast"/>
                <w:jc w:val="center"/>
              </w:trPr>
              <w:tc>
                <w:tcPr>
                  <w:tcW w:w="723" w:type="dxa"/>
                  <w:vAlign w:val="top"/>
                </w:tcPr>
                <w:p>
                  <w:pPr>
                    <w:pStyle w:val="2"/>
                    <w:spacing w:line="240" w:lineRule="auto"/>
                    <w:jc w:val="left"/>
                    <w:rPr>
                      <w:rFonts w:ascii="宋体" w:hAnsi="宋体" w:cs="宋体"/>
                      <w:bCs/>
                      <w:i/>
                      <w:iCs/>
                      <w:kern w:val="0"/>
                      <w:sz w:val="21"/>
                      <w:szCs w:val="21"/>
                      <w:u w:val="single"/>
                    </w:rPr>
                  </w:pPr>
                  <w:r>
                    <w:rPr>
                      <w:rFonts w:hint="eastAsia" w:ascii="宋体" w:hAnsi="宋体" w:cs="宋体"/>
                      <w:bCs/>
                      <w:i/>
                      <w:iCs/>
                      <w:kern w:val="0"/>
                      <w:sz w:val="21"/>
                      <w:szCs w:val="21"/>
                      <w:u w:val="single"/>
                    </w:rPr>
                    <w:t>柴油</w:t>
                  </w:r>
                </w:p>
              </w:tc>
              <w:tc>
                <w:tcPr>
                  <w:tcW w:w="1833" w:type="dxa"/>
                  <w:vAlign w:val="top"/>
                </w:tcPr>
                <w:p>
                  <w:pPr>
                    <w:widowControl/>
                    <w:jc w:val="left"/>
                    <w:rPr>
                      <w:rFonts w:ascii="宋体" w:hAnsi="宋体" w:cs="宋体"/>
                      <w:bCs/>
                      <w:i/>
                      <w:iCs/>
                      <w:kern w:val="0"/>
                      <w:szCs w:val="21"/>
                      <w:u w:val="single"/>
                    </w:rPr>
                  </w:pPr>
                  <w:r>
                    <w:rPr>
                      <w:rFonts w:hint="eastAsia" w:ascii="宋体" w:hAnsi="宋体" w:cs="宋体"/>
                      <w:i/>
                      <w:iCs/>
                      <w:color w:val="000000"/>
                      <w:kern w:val="0"/>
                      <w:szCs w:val="21"/>
                      <w:u w:val="single"/>
                    </w:rPr>
                    <w:t>稍有黏性</w:t>
                  </w:r>
                </w:p>
              </w:tc>
              <w:tc>
                <w:tcPr>
                  <w:tcW w:w="2776" w:type="dxa"/>
                  <w:vAlign w:val="top"/>
                </w:tcPr>
                <w:p>
                  <w:pPr>
                    <w:widowControl/>
                    <w:jc w:val="left"/>
                    <w:rPr>
                      <w:rFonts w:ascii="宋体" w:hAnsi="宋体" w:cs="宋体"/>
                      <w:bCs/>
                      <w:i/>
                      <w:iCs/>
                      <w:kern w:val="0"/>
                      <w:szCs w:val="21"/>
                      <w:u w:val="single"/>
                    </w:rPr>
                  </w:pPr>
                  <w:r>
                    <w:rPr>
                      <w:rFonts w:hint="eastAsia" w:ascii="宋体" w:hAnsi="宋体" w:cs="宋体"/>
                      <w:i/>
                      <w:iCs/>
                      <w:color w:val="000000"/>
                      <w:kern w:val="0"/>
                      <w:szCs w:val="21"/>
                      <w:u w:val="single"/>
                    </w:rPr>
                    <w:t>火灾危险程度的乙 B 或丙 A 类物质，其闪点≥60℃ ，爆炸危险组别/类别为 T3/IIA，未列入危险化学品范围。</w:t>
                  </w:r>
                </w:p>
              </w:tc>
              <w:tc>
                <w:tcPr>
                  <w:tcW w:w="3086" w:type="dxa"/>
                  <w:vAlign w:val="top"/>
                </w:tcPr>
                <w:p>
                  <w:pPr>
                    <w:widowControl/>
                    <w:jc w:val="left"/>
                    <w:rPr>
                      <w:rFonts w:ascii="宋体" w:hAnsi="宋体" w:cs="宋体"/>
                      <w:bCs/>
                      <w:i/>
                      <w:iCs/>
                      <w:kern w:val="0"/>
                      <w:szCs w:val="21"/>
                      <w:u w:val="single"/>
                    </w:rPr>
                  </w:pPr>
                  <w:r>
                    <w:rPr>
                      <w:rFonts w:hint="eastAsia" w:ascii="宋体" w:hAnsi="宋体" w:cs="宋体"/>
                      <w:i/>
                      <w:iCs/>
                      <w:color w:val="000000"/>
                      <w:kern w:val="0"/>
                      <w:szCs w:val="21"/>
                      <w:u w:val="single"/>
                    </w:rPr>
                    <w:t>对皮肤粘膜有刺激作用。皮肤接触柴油可引起接触性皮炎、油性痤疮。 吸入柴油雾滴可引起吸入性肺炎。</w:t>
                  </w:r>
                </w:p>
              </w:tc>
            </w:tr>
            <w:tr>
              <w:trPr>
                <w:trHeight w:val="1360" w:hRule="atLeast"/>
                <w:jc w:val="center"/>
              </w:trPr>
              <w:tc>
                <w:tcPr>
                  <w:tcW w:w="723" w:type="dxa"/>
                  <w:vAlign w:val="top"/>
                </w:tcPr>
                <w:p>
                  <w:pPr>
                    <w:widowControl/>
                    <w:jc w:val="left"/>
                    <w:rPr>
                      <w:rFonts w:ascii="宋体" w:hAnsi="宋体" w:cs="宋体"/>
                      <w:bCs/>
                      <w:i/>
                      <w:iCs/>
                      <w:kern w:val="0"/>
                      <w:szCs w:val="21"/>
                      <w:u w:val="single"/>
                    </w:rPr>
                  </w:pPr>
                  <w:r>
                    <w:rPr>
                      <w:rFonts w:hint="eastAsia" w:ascii="宋体" w:hAnsi="宋体" w:cs="宋体"/>
                      <w:i/>
                      <w:iCs/>
                      <w:color w:val="000000"/>
                      <w:kern w:val="0"/>
                      <w:szCs w:val="21"/>
                      <w:u w:val="single"/>
                    </w:rPr>
                    <w:t>硫酸</w:t>
                  </w:r>
                </w:p>
              </w:tc>
              <w:tc>
                <w:tcPr>
                  <w:tcW w:w="1833" w:type="dxa"/>
                  <w:vAlign w:val="top"/>
                </w:tcPr>
                <w:p>
                  <w:pPr>
                    <w:jc w:val="left"/>
                    <w:rPr>
                      <w:rFonts w:ascii="宋体" w:hAnsi="宋体" w:cs="宋体"/>
                      <w:i/>
                      <w:iCs/>
                      <w:szCs w:val="21"/>
                      <w:u w:val="single"/>
                    </w:rPr>
                  </w:pPr>
                  <w:r>
                    <w:rPr>
                      <w:rFonts w:hint="eastAsia" w:ascii="宋体" w:hAnsi="宋体" w:cs="宋体"/>
                      <w:i/>
                      <w:iCs/>
                      <w:szCs w:val="21"/>
                      <w:u w:val="single"/>
                    </w:rPr>
                    <w:t>液体</w:t>
                  </w:r>
                </w:p>
              </w:tc>
              <w:tc>
                <w:tcPr>
                  <w:tcW w:w="2776" w:type="dxa"/>
                  <w:vAlign w:val="top"/>
                </w:tcPr>
                <w:p>
                  <w:pPr>
                    <w:widowControl/>
                    <w:jc w:val="left"/>
                    <w:rPr>
                      <w:rFonts w:ascii="宋体" w:hAnsi="宋体" w:cs="宋体"/>
                      <w:bCs/>
                      <w:i/>
                      <w:iCs/>
                      <w:kern w:val="0"/>
                      <w:szCs w:val="21"/>
                      <w:u w:val="single"/>
                    </w:rPr>
                  </w:pPr>
                  <w:r>
                    <w:rPr>
                      <w:rFonts w:hint="eastAsia" w:ascii="宋体" w:hAnsi="宋体" w:cs="宋体"/>
                      <w:i/>
                      <w:iCs/>
                      <w:color w:val="000000"/>
                      <w:kern w:val="0"/>
                      <w:szCs w:val="21"/>
                      <w:u w:val="single"/>
                    </w:rPr>
                    <w:t>硫酸为废蓄电池中所含风险物质，在特定条件下存在自燃和爆炸的风险。</w:t>
                  </w:r>
                </w:p>
              </w:tc>
              <w:tc>
                <w:tcPr>
                  <w:tcW w:w="3086" w:type="dxa"/>
                  <w:vAlign w:val="top"/>
                </w:tcPr>
                <w:p>
                  <w:pPr>
                    <w:widowControl/>
                    <w:jc w:val="left"/>
                    <w:rPr>
                      <w:rFonts w:ascii="宋体" w:hAnsi="宋体" w:cs="宋体"/>
                      <w:bCs/>
                      <w:i/>
                      <w:iCs/>
                      <w:kern w:val="0"/>
                      <w:szCs w:val="21"/>
                      <w:u w:val="single"/>
                    </w:rPr>
                  </w:pPr>
                  <w:r>
                    <w:rPr>
                      <w:rFonts w:hint="eastAsia" w:ascii="宋体" w:hAnsi="宋体" w:cs="宋体"/>
                      <w:i/>
                      <w:iCs/>
                      <w:color w:val="000000"/>
                      <w:kern w:val="0"/>
                      <w:szCs w:val="21"/>
                      <w:u w:val="single"/>
                    </w:rPr>
                    <w:t>铅酸电池的核心成分是硫酸，这种电解质性质稳定，不易引发火灾或爆炸，但在密闭空间、高温环境下，电池内部的化学反应可能会导致短路，进而引发危险的反应。</w:t>
                  </w:r>
                </w:p>
              </w:tc>
            </w:tr>
            <w:tr>
              <w:trPr>
                <w:trHeight w:val="1360" w:hRule="atLeast"/>
                <w:jc w:val="center"/>
              </w:trPr>
              <w:tc>
                <w:tcPr>
                  <w:tcW w:w="723" w:type="dxa"/>
                  <w:vAlign w:val="top"/>
                </w:tcPr>
                <w:p>
                  <w:pPr>
                    <w:widowControl/>
                    <w:jc w:val="left"/>
                    <w:rPr>
                      <w:rFonts w:ascii="宋体" w:hAnsi="宋体" w:cs="宋体"/>
                      <w:i/>
                      <w:iCs/>
                      <w:color w:val="000000"/>
                      <w:kern w:val="0"/>
                      <w:szCs w:val="21"/>
                      <w:u w:val="single"/>
                    </w:rPr>
                  </w:pPr>
                  <w:r>
                    <w:rPr>
                      <w:rFonts w:hint="eastAsia" w:ascii="宋体" w:hAnsi="宋体" w:cs="宋体"/>
                      <w:i/>
                      <w:iCs/>
                      <w:color w:val="000000"/>
                      <w:kern w:val="0"/>
                      <w:szCs w:val="21"/>
                      <w:u w:val="single"/>
                    </w:rPr>
                    <w:t>废制动液</w:t>
                  </w:r>
                </w:p>
              </w:tc>
              <w:tc>
                <w:tcPr>
                  <w:tcW w:w="1833" w:type="dxa"/>
                  <w:vAlign w:val="top"/>
                </w:tcPr>
                <w:p>
                  <w:pPr>
                    <w:jc w:val="left"/>
                    <w:rPr>
                      <w:rFonts w:ascii="宋体" w:hAnsi="宋体" w:cs="宋体"/>
                      <w:i/>
                      <w:iCs/>
                      <w:szCs w:val="21"/>
                      <w:u w:val="single"/>
                    </w:rPr>
                  </w:pPr>
                  <w:r>
                    <w:rPr>
                      <w:rFonts w:ascii="宋体" w:hAnsi="宋体" w:cs="宋体"/>
                      <w:i/>
                      <w:iCs/>
                      <w:szCs w:val="21"/>
                      <w:u w:val="single"/>
                    </w:rPr>
                    <w:t>淡黄色</w:t>
                  </w:r>
                  <w:r>
                    <w:rPr>
                      <w:rFonts w:hint="eastAsia" w:ascii="宋体" w:hAnsi="宋体" w:cs="宋体"/>
                      <w:i/>
                      <w:iCs/>
                      <w:szCs w:val="21"/>
                      <w:u w:val="single"/>
                    </w:rPr>
                    <w:t>黏稠</w:t>
                  </w:r>
                  <w:r>
                    <w:rPr>
                      <w:rFonts w:ascii="宋体" w:hAnsi="宋体" w:cs="宋体"/>
                      <w:i/>
                      <w:iCs/>
                      <w:szCs w:val="21"/>
                      <w:u w:val="single"/>
                    </w:rPr>
                    <w:t>液体，主要成分为乙二醇醚，具有吸湿性，常温下挥发性较弱。</w:t>
                  </w:r>
                </w:p>
              </w:tc>
              <w:tc>
                <w:tcPr>
                  <w:tcW w:w="2776" w:type="dxa"/>
                  <w:vAlign w:val="top"/>
                </w:tcPr>
                <w:p>
                  <w:pPr>
                    <w:widowControl/>
                    <w:jc w:val="left"/>
                    <w:rPr>
                      <w:rFonts w:ascii="宋体" w:hAnsi="宋体" w:cs="宋体"/>
                      <w:i/>
                      <w:iCs/>
                      <w:color w:val="000000"/>
                      <w:kern w:val="0"/>
                      <w:szCs w:val="21"/>
                      <w:u w:val="single"/>
                    </w:rPr>
                  </w:pPr>
                  <w:r>
                    <w:rPr>
                      <w:rFonts w:ascii="宋体" w:hAnsi="宋体" w:cs="宋体"/>
                      <w:i/>
                      <w:iCs/>
                      <w:color w:val="000000"/>
                      <w:kern w:val="0"/>
                      <w:szCs w:val="21"/>
                      <w:u w:val="single"/>
                    </w:rPr>
                    <w:t>可燃液体，闪点较高；蒸气遇明火可发生燃烧；与强氧化剂接触可发生反应；避免高温、明火。</w:t>
                  </w:r>
                </w:p>
              </w:tc>
              <w:tc>
                <w:tcPr>
                  <w:tcW w:w="3086" w:type="dxa"/>
                  <w:vAlign w:val="top"/>
                </w:tcPr>
                <w:p>
                  <w:pPr>
                    <w:widowControl/>
                    <w:jc w:val="left"/>
                    <w:rPr>
                      <w:rFonts w:ascii="宋体" w:hAnsi="宋体" w:cs="宋体"/>
                      <w:i/>
                      <w:iCs/>
                      <w:color w:val="000000"/>
                      <w:kern w:val="0"/>
                      <w:szCs w:val="21"/>
                      <w:u w:val="single"/>
                    </w:rPr>
                  </w:pPr>
                  <w:r>
                    <w:rPr>
                      <w:rFonts w:ascii="宋体" w:hAnsi="宋体" w:cs="宋体"/>
                      <w:i/>
                      <w:iCs/>
                      <w:color w:val="000000"/>
                      <w:kern w:val="0"/>
                      <w:szCs w:val="21"/>
                      <w:u w:val="single"/>
                    </w:rPr>
                    <w:t>具有刺激性，接触皮肤、眼部可造成刺激；大量吸入蒸气引发不适；泄漏渗入土壤、地下水将造成水土污染。</w:t>
                  </w:r>
                </w:p>
              </w:tc>
            </w:tr>
            <w:tr>
              <w:trPr>
                <w:trHeight w:val="1360" w:hRule="atLeast"/>
                <w:jc w:val="center"/>
              </w:trPr>
              <w:tc>
                <w:tcPr>
                  <w:tcW w:w="723" w:type="dxa"/>
                  <w:vAlign w:val="top"/>
                </w:tcPr>
                <w:p>
                  <w:pPr>
                    <w:widowControl/>
                    <w:jc w:val="left"/>
                    <w:rPr>
                      <w:rFonts w:ascii="宋体" w:hAnsi="宋体" w:cs="宋体"/>
                      <w:i/>
                      <w:iCs/>
                      <w:color w:val="000000"/>
                      <w:kern w:val="0"/>
                      <w:szCs w:val="21"/>
                      <w:u w:val="single"/>
                    </w:rPr>
                  </w:pPr>
                  <w:r>
                    <w:rPr>
                      <w:rFonts w:hint="eastAsia" w:ascii="宋体" w:hAnsi="宋体" w:cs="宋体"/>
                      <w:i/>
                      <w:iCs/>
                      <w:color w:val="000000"/>
                      <w:kern w:val="0"/>
                      <w:szCs w:val="21"/>
                      <w:u w:val="single"/>
                    </w:rPr>
                    <w:t>废防冻液</w:t>
                  </w:r>
                </w:p>
              </w:tc>
              <w:tc>
                <w:tcPr>
                  <w:tcW w:w="1833" w:type="dxa"/>
                  <w:vAlign w:val="top"/>
                </w:tcPr>
                <w:p>
                  <w:pPr>
                    <w:jc w:val="left"/>
                    <w:rPr>
                      <w:rFonts w:ascii="宋体" w:hAnsi="宋体" w:cs="宋体"/>
                      <w:i/>
                      <w:iCs/>
                      <w:szCs w:val="21"/>
                      <w:u w:val="single"/>
                    </w:rPr>
                  </w:pPr>
                  <w:r>
                    <w:rPr>
                      <w:rFonts w:ascii="宋体" w:hAnsi="宋体" w:cs="宋体"/>
                      <w:i/>
                      <w:iCs/>
                      <w:szCs w:val="21"/>
                      <w:u w:val="single"/>
                    </w:rPr>
                    <w:t>透明粘稠液体，主体成分为乙二醇，易吸湿，可与水任意比例互溶。</w:t>
                  </w:r>
                </w:p>
              </w:tc>
              <w:tc>
                <w:tcPr>
                  <w:tcW w:w="2776" w:type="dxa"/>
                  <w:vAlign w:val="top"/>
                </w:tcPr>
                <w:p>
                  <w:pPr>
                    <w:widowControl/>
                    <w:jc w:val="left"/>
                    <w:rPr>
                      <w:rFonts w:ascii="宋体" w:hAnsi="宋体" w:cs="宋体"/>
                      <w:i/>
                      <w:iCs/>
                      <w:color w:val="000000"/>
                      <w:kern w:val="0"/>
                      <w:szCs w:val="21"/>
                      <w:u w:val="single"/>
                    </w:rPr>
                  </w:pPr>
                  <w:r>
                    <w:rPr>
                      <w:rFonts w:ascii="宋体" w:hAnsi="宋体" w:cs="宋体"/>
                      <w:i/>
                      <w:iCs/>
                      <w:color w:val="000000"/>
                      <w:kern w:val="0"/>
                      <w:szCs w:val="21"/>
                      <w:u w:val="single"/>
                    </w:rPr>
                    <w:t>可燃液体，闪点高于汽油；高温下可挥发产生可燃蒸气；遇明火、高热能够燃烧；不具备爆炸性。</w:t>
                  </w:r>
                </w:p>
              </w:tc>
              <w:tc>
                <w:tcPr>
                  <w:tcW w:w="3086" w:type="dxa"/>
                  <w:vAlign w:val="top"/>
                </w:tcPr>
                <w:p>
                  <w:pPr>
                    <w:widowControl/>
                    <w:jc w:val="left"/>
                    <w:rPr>
                      <w:rFonts w:ascii="宋体" w:hAnsi="宋体" w:cs="宋体"/>
                      <w:i/>
                      <w:iCs/>
                      <w:color w:val="000000"/>
                      <w:kern w:val="0"/>
                      <w:szCs w:val="21"/>
                      <w:u w:val="single"/>
                    </w:rPr>
                  </w:pPr>
                  <w:r>
                    <w:rPr>
                      <w:rFonts w:ascii="宋体" w:hAnsi="宋体" w:cs="宋体"/>
                      <w:i/>
                      <w:iCs/>
                      <w:color w:val="000000"/>
                      <w:kern w:val="0"/>
                      <w:szCs w:val="21"/>
                      <w:u w:val="single"/>
                    </w:rPr>
                    <w:t>低毒，但长期接触刺激皮肤；大量进入水体可造成水生生物中毒；发生泄漏易污染土壤与地下水。</w:t>
                  </w:r>
                </w:p>
              </w:tc>
            </w:tr>
          </w:tbl>
          <w:p>
            <w:pPr>
              <w:spacing w:line="360" w:lineRule="auto"/>
              <w:ind w:firstLine="480" w:firstLineChars="200"/>
              <w:rPr>
                <w:i/>
                <w:iCs/>
                <w:sz w:val="24"/>
                <w:u w:val="single"/>
              </w:rPr>
            </w:pPr>
            <w:r>
              <w:rPr>
                <w:rFonts w:hint="eastAsia"/>
                <w:i/>
                <w:iCs/>
                <w:sz w:val="24"/>
                <w:u w:val="single"/>
              </w:rPr>
              <w:t>（3）环境风险识别</w:t>
            </w:r>
          </w:p>
          <w:p>
            <w:pPr>
              <w:spacing w:line="360" w:lineRule="auto"/>
              <w:ind w:firstLine="480" w:firstLineChars="200"/>
              <w:rPr>
                <w:i/>
                <w:iCs/>
                <w:sz w:val="24"/>
                <w:u w:val="single"/>
              </w:rPr>
            </w:pPr>
            <w:r>
              <w:rPr>
                <w:i/>
                <w:iCs/>
                <w:sz w:val="24"/>
                <w:u w:val="single"/>
              </w:rPr>
              <w:t>①</w:t>
            </w:r>
            <w:r>
              <w:rPr>
                <w:rFonts w:hint="eastAsia"/>
                <w:i/>
                <w:iCs/>
                <w:sz w:val="24"/>
                <w:u w:val="single"/>
              </w:rPr>
              <w:t xml:space="preserve">物质危险性识别 </w:t>
            </w:r>
          </w:p>
          <w:p>
            <w:pPr>
              <w:spacing w:line="360" w:lineRule="auto"/>
              <w:ind w:firstLine="480" w:firstLineChars="200"/>
              <w:rPr>
                <w:i/>
                <w:iCs/>
                <w:sz w:val="24"/>
                <w:u w:val="single"/>
              </w:rPr>
            </w:pPr>
            <w:r>
              <w:rPr>
                <w:rFonts w:hint="eastAsia"/>
                <w:i/>
                <w:iCs/>
                <w:sz w:val="24"/>
                <w:u w:val="single"/>
              </w:rPr>
              <w:t>通过对本项目涉及的主要原辅材料、燃料、污染物、火灾和爆炸伴生</w:t>
            </w:r>
            <w:r>
              <w:rPr>
                <w:i/>
                <w:iCs/>
                <w:sz w:val="24"/>
                <w:u w:val="single"/>
              </w:rPr>
              <w:t>/</w:t>
            </w:r>
            <w:r>
              <w:rPr>
                <w:rFonts w:hint="eastAsia"/>
                <w:i/>
                <w:iCs/>
                <w:sz w:val="24"/>
                <w:u w:val="single"/>
              </w:rPr>
              <w:t>生物等进行物质危险性识别。按《建设项目环境风险评价技术导则》（</w:t>
            </w:r>
            <w:r>
              <w:rPr>
                <w:i/>
                <w:iCs/>
                <w:sz w:val="24"/>
                <w:u w:val="single"/>
              </w:rPr>
              <w:t>HJ169-2018</w:t>
            </w:r>
            <w:r>
              <w:rPr>
                <w:rFonts w:hint="eastAsia"/>
                <w:i/>
                <w:iCs/>
                <w:sz w:val="24"/>
                <w:u w:val="single"/>
              </w:rPr>
              <w:t>）</w:t>
            </w:r>
          </w:p>
          <w:p>
            <w:pPr>
              <w:spacing w:line="360" w:lineRule="auto"/>
              <w:rPr>
                <w:i/>
                <w:iCs/>
                <w:sz w:val="24"/>
                <w:u w:val="single"/>
              </w:rPr>
            </w:pPr>
            <w:r>
              <w:rPr>
                <w:rFonts w:hint="eastAsia"/>
                <w:i/>
                <w:iCs/>
                <w:sz w:val="24"/>
                <w:u w:val="single"/>
              </w:rPr>
              <w:t>附录</w:t>
            </w:r>
            <w:r>
              <w:rPr>
                <w:i/>
                <w:iCs/>
                <w:sz w:val="24"/>
                <w:u w:val="single"/>
              </w:rPr>
              <w:t>B</w:t>
            </w:r>
            <w:r>
              <w:rPr>
                <w:rFonts w:hint="eastAsia"/>
                <w:i/>
                <w:iCs/>
                <w:sz w:val="24"/>
                <w:u w:val="single"/>
              </w:rPr>
              <w:t>确定本项目主要涉及的危险物质为废矿物油与含矿物油废物（汽油、柴油、发动机机油等）、废铅酸蓄电池中的硫酸。危险物质分布情况详见表</w:t>
            </w:r>
            <w:r>
              <w:rPr>
                <w:i/>
                <w:iCs/>
                <w:sz w:val="24"/>
                <w:u w:val="single"/>
              </w:rPr>
              <w:t>4-1</w:t>
            </w:r>
            <w:r>
              <w:rPr>
                <w:rFonts w:hint="eastAsia"/>
                <w:i/>
                <w:iCs/>
                <w:sz w:val="24"/>
                <w:u w:val="single"/>
              </w:rPr>
              <w:t>9。</w:t>
            </w:r>
          </w:p>
          <w:p>
            <w:pPr>
              <w:rPr>
                <w:i/>
                <w:iCs/>
                <w:szCs w:val="21"/>
                <w:u w:val="single"/>
              </w:rPr>
            </w:pPr>
            <w:r>
              <w:rPr>
                <w:rFonts w:hint="eastAsia"/>
                <w:i/>
                <w:iCs/>
                <w:u w:val="single"/>
              </w:rPr>
              <w:t xml:space="preserve">                </w:t>
            </w:r>
            <w:r>
              <w:rPr>
                <w:rFonts w:hint="eastAsia" w:ascii="宋体" w:hAnsi="宋体" w:cs="宋体"/>
                <w:b/>
                <w:i/>
                <w:iCs/>
                <w:sz w:val="24"/>
                <w:u w:val="single"/>
                <w:lang/>
              </w:rPr>
              <w:t xml:space="preserve">    表 4-1</w:t>
            </w:r>
            <w:r>
              <w:rPr>
                <w:rFonts w:hint="eastAsia" w:ascii="宋体" w:hAnsi="宋体" w:cs="宋体"/>
                <w:b/>
                <w:i/>
                <w:iCs/>
                <w:sz w:val="24"/>
                <w:u w:val="single"/>
              </w:rPr>
              <w:t>9</w:t>
            </w:r>
            <w:r>
              <w:rPr>
                <w:rFonts w:hint="eastAsia" w:ascii="宋体" w:hAnsi="宋体" w:cs="宋体"/>
                <w:b/>
                <w:i/>
                <w:iCs/>
                <w:sz w:val="24"/>
                <w:u w:val="single"/>
                <w:lang/>
              </w:rPr>
              <w:t xml:space="preserve">   危险物质分布情况一览表</w:t>
            </w:r>
          </w:p>
          <w:tbl>
            <w:tblPr>
              <w:tblW w:w="8276"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left w:w="108" w:type="dxa"/>
                <w:right w:w="108" w:type="dxa"/>
              </w:tblCellMar>
            </w:tblPr>
            <w:tblGrid>
              <w:gridCol w:w="2503"/>
              <w:gridCol w:w="1984"/>
              <w:gridCol w:w="1418"/>
              <w:gridCol w:w="2371"/>
            </w:tblGrid>
            <w:tr>
              <w:trPr>
                <w:trHeight w:val="626" w:hRule="atLeast"/>
              </w:trPr>
              <w:tc>
                <w:tcPr>
                  <w:tcW w:w="2503" w:type="dxa"/>
                  <w:vAlign w:val="center"/>
                </w:tcPr>
                <w:p>
                  <w:pPr>
                    <w:pStyle w:val="2"/>
                    <w:spacing w:line="240" w:lineRule="auto"/>
                    <w:jc w:val="center"/>
                    <w:rPr>
                      <w:i/>
                      <w:iCs/>
                      <w:sz w:val="21"/>
                      <w:szCs w:val="21"/>
                      <w:u w:val="single"/>
                    </w:rPr>
                  </w:pPr>
                  <w:r>
                    <w:rPr>
                      <w:rFonts w:hint="eastAsia"/>
                      <w:i/>
                      <w:iCs/>
                      <w:sz w:val="21"/>
                      <w:szCs w:val="21"/>
                      <w:u w:val="single"/>
                    </w:rPr>
                    <w:t>危险物质名称</w:t>
                  </w:r>
                </w:p>
              </w:tc>
              <w:tc>
                <w:tcPr>
                  <w:tcW w:w="1984" w:type="dxa"/>
                  <w:vAlign w:val="center"/>
                </w:tcPr>
                <w:p>
                  <w:pPr>
                    <w:pStyle w:val="2"/>
                    <w:spacing w:line="240" w:lineRule="auto"/>
                    <w:jc w:val="center"/>
                    <w:rPr>
                      <w:i/>
                      <w:iCs/>
                      <w:sz w:val="21"/>
                      <w:szCs w:val="21"/>
                      <w:u w:val="single"/>
                    </w:rPr>
                  </w:pPr>
                  <w:r>
                    <w:rPr>
                      <w:rFonts w:hint="eastAsia"/>
                      <w:i/>
                      <w:iCs/>
                      <w:sz w:val="21"/>
                      <w:szCs w:val="21"/>
                      <w:u w:val="single"/>
                    </w:rPr>
                    <w:t>主要有害成分</w:t>
                  </w:r>
                </w:p>
              </w:tc>
              <w:tc>
                <w:tcPr>
                  <w:tcW w:w="1418" w:type="dxa"/>
                  <w:vAlign w:val="center"/>
                </w:tcPr>
                <w:p>
                  <w:pPr>
                    <w:pStyle w:val="2"/>
                    <w:spacing w:line="240" w:lineRule="auto"/>
                    <w:jc w:val="center"/>
                    <w:rPr>
                      <w:i/>
                      <w:iCs/>
                      <w:sz w:val="21"/>
                      <w:szCs w:val="21"/>
                      <w:u w:val="single"/>
                    </w:rPr>
                  </w:pPr>
                  <w:r>
                    <w:rPr>
                      <w:rFonts w:hint="eastAsia"/>
                      <w:i/>
                      <w:iCs/>
                      <w:sz w:val="21"/>
                      <w:szCs w:val="21"/>
                      <w:u w:val="single"/>
                    </w:rPr>
                    <w:t>形态</w:t>
                  </w:r>
                </w:p>
              </w:tc>
              <w:tc>
                <w:tcPr>
                  <w:tcW w:w="2371" w:type="dxa"/>
                  <w:vAlign w:val="center"/>
                </w:tcPr>
                <w:p>
                  <w:pPr>
                    <w:pStyle w:val="2"/>
                    <w:spacing w:line="240" w:lineRule="auto"/>
                    <w:jc w:val="center"/>
                    <w:rPr>
                      <w:i/>
                      <w:iCs/>
                      <w:sz w:val="21"/>
                      <w:szCs w:val="21"/>
                      <w:u w:val="single"/>
                    </w:rPr>
                  </w:pPr>
                  <w:r>
                    <w:rPr>
                      <w:rFonts w:hint="eastAsia"/>
                      <w:i/>
                      <w:iCs/>
                      <w:sz w:val="21"/>
                      <w:szCs w:val="21"/>
                      <w:u w:val="single"/>
                    </w:rPr>
                    <w:t>主要分布位置</w:t>
                  </w:r>
                </w:p>
              </w:tc>
            </w:tr>
            <w:tr>
              <w:trPr>
                <w:trHeight w:val="316" w:hRule="atLeast"/>
              </w:trPr>
              <w:tc>
                <w:tcPr>
                  <w:tcW w:w="2503" w:type="dxa"/>
                  <w:vAlign w:val="center"/>
                </w:tcPr>
                <w:p>
                  <w:pPr>
                    <w:pStyle w:val="2"/>
                    <w:spacing w:line="240" w:lineRule="auto"/>
                    <w:jc w:val="center"/>
                    <w:rPr>
                      <w:i/>
                      <w:iCs/>
                      <w:sz w:val="21"/>
                      <w:szCs w:val="21"/>
                      <w:u w:val="single"/>
                    </w:rPr>
                  </w:pPr>
                  <w:r>
                    <w:rPr>
                      <w:rFonts w:hint="eastAsia"/>
                      <w:i/>
                      <w:iCs/>
                      <w:sz w:val="21"/>
                      <w:szCs w:val="21"/>
                      <w:u w:val="single"/>
                    </w:rPr>
                    <w:t>废油液</w:t>
                  </w:r>
                </w:p>
              </w:tc>
              <w:tc>
                <w:tcPr>
                  <w:tcW w:w="1984" w:type="dxa"/>
                  <w:vAlign w:val="center"/>
                </w:tcPr>
                <w:p>
                  <w:pPr>
                    <w:pStyle w:val="2"/>
                    <w:spacing w:line="240" w:lineRule="auto"/>
                    <w:jc w:val="center"/>
                    <w:rPr>
                      <w:i/>
                      <w:iCs/>
                      <w:sz w:val="21"/>
                      <w:szCs w:val="21"/>
                      <w:u w:val="single"/>
                    </w:rPr>
                  </w:pPr>
                  <w:r>
                    <w:rPr>
                      <w:rFonts w:hint="eastAsia"/>
                      <w:i/>
                      <w:iCs/>
                      <w:sz w:val="21"/>
                      <w:szCs w:val="21"/>
                      <w:u w:val="single"/>
                    </w:rPr>
                    <w:t>油类物质</w:t>
                  </w:r>
                </w:p>
              </w:tc>
              <w:tc>
                <w:tcPr>
                  <w:tcW w:w="1418" w:type="dxa"/>
                  <w:vAlign w:val="center"/>
                </w:tcPr>
                <w:p>
                  <w:pPr>
                    <w:pStyle w:val="2"/>
                    <w:spacing w:line="240" w:lineRule="auto"/>
                    <w:jc w:val="center"/>
                    <w:rPr>
                      <w:i/>
                      <w:iCs/>
                      <w:sz w:val="21"/>
                      <w:szCs w:val="21"/>
                      <w:u w:val="single"/>
                    </w:rPr>
                  </w:pPr>
                  <w:r>
                    <w:rPr>
                      <w:rFonts w:hint="eastAsia"/>
                      <w:i/>
                      <w:iCs/>
                      <w:sz w:val="21"/>
                      <w:szCs w:val="21"/>
                      <w:u w:val="single"/>
                    </w:rPr>
                    <w:t>液态</w:t>
                  </w:r>
                </w:p>
              </w:tc>
              <w:tc>
                <w:tcPr>
                  <w:tcW w:w="2371" w:type="dxa"/>
                  <w:vAlign w:val="center"/>
                </w:tcPr>
                <w:p>
                  <w:pPr>
                    <w:pStyle w:val="2"/>
                    <w:spacing w:line="240" w:lineRule="auto"/>
                    <w:jc w:val="center"/>
                    <w:rPr>
                      <w:i/>
                      <w:iCs/>
                      <w:sz w:val="21"/>
                      <w:szCs w:val="21"/>
                      <w:u w:val="single"/>
                    </w:rPr>
                  </w:pPr>
                  <w:r>
                    <w:rPr>
                      <w:rFonts w:hint="eastAsia"/>
                      <w:i/>
                      <w:iCs/>
                      <w:sz w:val="21"/>
                      <w:szCs w:val="21"/>
                      <w:u w:val="single"/>
                    </w:rPr>
                    <w:t>车间、 危废贮存区</w:t>
                  </w:r>
                </w:p>
              </w:tc>
            </w:tr>
            <w:tr>
              <w:trPr>
                <w:trHeight w:val="316" w:hRule="atLeast"/>
              </w:trPr>
              <w:tc>
                <w:tcPr>
                  <w:tcW w:w="2503" w:type="dxa"/>
                  <w:vAlign w:val="center"/>
                </w:tcPr>
                <w:p>
                  <w:pPr>
                    <w:pStyle w:val="2"/>
                    <w:spacing w:line="240" w:lineRule="auto"/>
                    <w:jc w:val="center"/>
                    <w:rPr>
                      <w:i/>
                      <w:iCs/>
                      <w:sz w:val="21"/>
                      <w:szCs w:val="21"/>
                      <w:u w:val="single"/>
                    </w:rPr>
                  </w:pPr>
                  <w:r>
                    <w:rPr>
                      <w:rFonts w:hint="eastAsia"/>
                      <w:i/>
                      <w:iCs/>
                      <w:sz w:val="21"/>
                      <w:szCs w:val="21"/>
                      <w:u w:val="single"/>
                    </w:rPr>
                    <w:t>废防冻液</w:t>
                  </w:r>
                </w:p>
              </w:tc>
              <w:tc>
                <w:tcPr>
                  <w:tcW w:w="1984" w:type="dxa"/>
                  <w:vAlign w:val="center"/>
                </w:tcPr>
                <w:p>
                  <w:pPr>
                    <w:pStyle w:val="2"/>
                    <w:spacing w:line="240" w:lineRule="auto"/>
                    <w:jc w:val="center"/>
                    <w:rPr>
                      <w:i/>
                      <w:iCs/>
                      <w:sz w:val="21"/>
                      <w:szCs w:val="21"/>
                      <w:u w:val="single"/>
                    </w:rPr>
                  </w:pPr>
                  <w:r>
                    <w:rPr>
                      <w:rFonts w:hint="eastAsia"/>
                      <w:i/>
                      <w:iCs/>
                      <w:sz w:val="21"/>
                      <w:szCs w:val="21"/>
                      <w:u w:val="single"/>
                    </w:rPr>
                    <w:t>醇醚类有机物</w:t>
                  </w:r>
                </w:p>
              </w:tc>
              <w:tc>
                <w:tcPr>
                  <w:tcW w:w="1418" w:type="dxa"/>
                  <w:vAlign w:val="center"/>
                </w:tcPr>
                <w:p>
                  <w:pPr>
                    <w:pStyle w:val="2"/>
                    <w:spacing w:line="240" w:lineRule="auto"/>
                    <w:jc w:val="center"/>
                    <w:rPr>
                      <w:i/>
                      <w:iCs/>
                      <w:sz w:val="21"/>
                      <w:szCs w:val="21"/>
                      <w:u w:val="single"/>
                    </w:rPr>
                  </w:pPr>
                  <w:r>
                    <w:rPr>
                      <w:rFonts w:hint="eastAsia"/>
                      <w:i/>
                      <w:iCs/>
                      <w:sz w:val="21"/>
                      <w:szCs w:val="21"/>
                      <w:u w:val="single"/>
                    </w:rPr>
                    <w:t>液态</w:t>
                  </w:r>
                </w:p>
              </w:tc>
              <w:tc>
                <w:tcPr>
                  <w:tcW w:w="2371" w:type="dxa"/>
                  <w:vAlign w:val="center"/>
                </w:tcPr>
                <w:p>
                  <w:pPr>
                    <w:pStyle w:val="2"/>
                    <w:spacing w:line="240" w:lineRule="auto"/>
                    <w:jc w:val="center"/>
                    <w:rPr>
                      <w:i/>
                      <w:iCs/>
                      <w:sz w:val="21"/>
                      <w:szCs w:val="21"/>
                      <w:u w:val="single"/>
                    </w:rPr>
                  </w:pPr>
                  <w:r>
                    <w:rPr>
                      <w:rFonts w:hint="eastAsia"/>
                      <w:i/>
                      <w:iCs/>
                      <w:sz w:val="21"/>
                      <w:szCs w:val="21"/>
                      <w:u w:val="single"/>
                    </w:rPr>
                    <w:t>危废贮存区</w:t>
                  </w:r>
                </w:p>
              </w:tc>
            </w:tr>
            <w:tr>
              <w:trPr>
                <w:trHeight w:val="316" w:hRule="atLeast"/>
              </w:trPr>
              <w:tc>
                <w:tcPr>
                  <w:tcW w:w="2503" w:type="dxa"/>
                  <w:vAlign w:val="center"/>
                </w:tcPr>
                <w:p>
                  <w:pPr>
                    <w:pStyle w:val="2"/>
                    <w:spacing w:line="240" w:lineRule="auto"/>
                    <w:jc w:val="center"/>
                    <w:rPr>
                      <w:i/>
                      <w:iCs/>
                      <w:sz w:val="21"/>
                      <w:szCs w:val="21"/>
                      <w:u w:val="single"/>
                    </w:rPr>
                  </w:pPr>
                  <w:r>
                    <w:rPr>
                      <w:rFonts w:hint="eastAsia"/>
                      <w:i/>
                      <w:iCs/>
                      <w:sz w:val="21"/>
                      <w:szCs w:val="21"/>
                      <w:u w:val="single"/>
                    </w:rPr>
                    <w:t>废制动液</w:t>
                  </w:r>
                </w:p>
              </w:tc>
              <w:tc>
                <w:tcPr>
                  <w:tcW w:w="1984" w:type="dxa"/>
                  <w:vAlign w:val="center"/>
                </w:tcPr>
                <w:p>
                  <w:pPr>
                    <w:pStyle w:val="2"/>
                    <w:spacing w:line="240" w:lineRule="auto"/>
                    <w:jc w:val="center"/>
                    <w:rPr>
                      <w:i/>
                      <w:iCs/>
                      <w:sz w:val="21"/>
                      <w:szCs w:val="21"/>
                      <w:u w:val="single"/>
                    </w:rPr>
                  </w:pPr>
                  <w:r>
                    <w:rPr>
                      <w:rFonts w:hint="eastAsia"/>
                      <w:i/>
                      <w:iCs/>
                      <w:sz w:val="21"/>
                      <w:szCs w:val="21"/>
                      <w:u w:val="single"/>
                    </w:rPr>
                    <w:t>醇醚类有机物</w:t>
                  </w:r>
                </w:p>
              </w:tc>
              <w:tc>
                <w:tcPr>
                  <w:tcW w:w="1418" w:type="dxa"/>
                  <w:vAlign w:val="center"/>
                </w:tcPr>
                <w:p>
                  <w:pPr>
                    <w:pStyle w:val="2"/>
                    <w:spacing w:line="240" w:lineRule="auto"/>
                    <w:jc w:val="center"/>
                    <w:rPr>
                      <w:i/>
                      <w:iCs/>
                      <w:sz w:val="21"/>
                      <w:szCs w:val="21"/>
                      <w:u w:val="single"/>
                    </w:rPr>
                  </w:pPr>
                  <w:r>
                    <w:rPr>
                      <w:rFonts w:hint="eastAsia"/>
                      <w:i/>
                      <w:iCs/>
                      <w:sz w:val="21"/>
                      <w:szCs w:val="21"/>
                      <w:u w:val="single"/>
                    </w:rPr>
                    <w:t>液态</w:t>
                  </w:r>
                </w:p>
              </w:tc>
              <w:tc>
                <w:tcPr>
                  <w:tcW w:w="2371" w:type="dxa"/>
                  <w:vAlign w:val="center"/>
                </w:tcPr>
                <w:p>
                  <w:pPr>
                    <w:pStyle w:val="2"/>
                    <w:spacing w:line="240" w:lineRule="auto"/>
                    <w:jc w:val="center"/>
                    <w:rPr>
                      <w:i/>
                      <w:iCs/>
                      <w:sz w:val="21"/>
                      <w:szCs w:val="21"/>
                      <w:u w:val="single"/>
                    </w:rPr>
                  </w:pPr>
                  <w:r>
                    <w:rPr>
                      <w:rFonts w:hint="eastAsia"/>
                      <w:i/>
                      <w:iCs/>
                      <w:sz w:val="21"/>
                      <w:szCs w:val="21"/>
                      <w:u w:val="single"/>
                    </w:rPr>
                    <w:t>危废贮存区</w:t>
                  </w:r>
                </w:p>
              </w:tc>
            </w:tr>
            <w:tr>
              <w:trPr>
                <w:trHeight w:val="631" w:hRule="atLeast"/>
              </w:trPr>
              <w:tc>
                <w:tcPr>
                  <w:tcW w:w="2503" w:type="dxa"/>
                  <w:vAlign w:val="center"/>
                </w:tcPr>
                <w:p>
                  <w:pPr>
                    <w:pStyle w:val="2"/>
                    <w:spacing w:line="240" w:lineRule="auto"/>
                    <w:jc w:val="center"/>
                    <w:rPr>
                      <w:i/>
                      <w:iCs/>
                      <w:sz w:val="21"/>
                      <w:szCs w:val="21"/>
                      <w:u w:val="single"/>
                    </w:rPr>
                  </w:pPr>
                  <w:r>
                    <w:rPr>
                      <w:rFonts w:hint="eastAsia"/>
                      <w:i/>
                      <w:iCs/>
                      <w:sz w:val="21"/>
                      <w:szCs w:val="21"/>
                      <w:u w:val="single"/>
                    </w:rPr>
                    <w:t>废铅酸蓄电池中的硫酸</w:t>
                  </w:r>
                </w:p>
              </w:tc>
              <w:tc>
                <w:tcPr>
                  <w:tcW w:w="1984" w:type="dxa"/>
                  <w:vAlign w:val="center"/>
                </w:tcPr>
                <w:p>
                  <w:pPr>
                    <w:pStyle w:val="2"/>
                    <w:spacing w:line="240" w:lineRule="auto"/>
                    <w:jc w:val="center"/>
                    <w:rPr>
                      <w:i/>
                      <w:iCs/>
                      <w:sz w:val="21"/>
                      <w:szCs w:val="21"/>
                      <w:u w:val="single"/>
                    </w:rPr>
                  </w:pPr>
                  <w:r>
                    <w:rPr>
                      <w:rFonts w:hint="eastAsia"/>
                      <w:i/>
                      <w:iCs/>
                      <w:sz w:val="21"/>
                      <w:szCs w:val="21"/>
                      <w:u w:val="single"/>
                    </w:rPr>
                    <w:t>硫酸</w:t>
                  </w:r>
                </w:p>
              </w:tc>
              <w:tc>
                <w:tcPr>
                  <w:tcW w:w="1418" w:type="dxa"/>
                  <w:vAlign w:val="center"/>
                </w:tcPr>
                <w:p>
                  <w:pPr>
                    <w:pStyle w:val="2"/>
                    <w:spacing w:line="240" w:lineRule="auto"/>
                    <w:jc w:val="center"/>
                    <w:rPr>
                      <w:i/>
                      <w:iCs/>
                      <w:sz w:val="21"/>
                      <w:szCs w:val="21"/>
                      <w:u w:val="single"/>
                    </w:rPr>
                  </w:pPr>
                  <w:r>
                    <w:rPr>
                      <w:rFonts w:hint="eastAsia"/>
                      <w:i/>
                      <w:iCs/>
                      <w:sz w:val="21"/>
                      <w:szCs w:val="21"/>
                      <w:u w:val="single"/>
                    </w:rPr>
                    <w:t>液态</w:t>
                  </w:r>
                </w:p>
              </w:tc>
              <w:tc>
                <w:tcPr>
                  <w:tcW w:w="2371" w:type="dxa"/>
                  <w:vAlign w:val="center"/>
                </w:tcPr>
                <w:p>
                  <w:pPr>
                    <w:pStyle w:val="2"/>
                    <w:spacing w:line="240" w:lineRule="auto"/>
                    <w:jc w:val="center"/>
                    <w:rPr>
                      <w:i/>
                      <w:iCs/>
                      <w:sz w:val="21"/>
                      <w:szCs w:val="21"/>
                      <w:u w:val="single"/>
                    </w:rPr>
                  </w:pPr>
                  <w:r>
                    <w:rPr>
                      <w:rFonts w:hint="eastAsia"/>
                      <w:i/>
                      <w:iCs/>
                      <w:sz w:val="21"/>
                      <w:szCs w:val="21"/>
                      <w:u w:val="single"/>
                    </w:rPr>
                    <w:t>铅酸电池贮存区</w:t>
                  </w:r>
                </w:p>
              </w:tc>
            </w:tr>
          </w:tbl>
          <w:p>
            <w:pPr>
              <w:widowControl/>
              <w:spacing w:line="360" w:lineRule="auto"/>
              <w:ind w:firstLine="480" w:firstLineChars="200"/>
              <w:jc w:val="left"/>
              <w:rPr>
                <w:rFonts w:ascii="宋体" w:hAnsi="宋体" w:cs="宋体"/>
                <w:i/>
                <w:iCs/>
                <w:sz w:val="24"/>
                <w:u w:val="single"/>
              </w:rPr>
            </w:pPr>
            <w:r>
              <w:rPr>
                <w:rFonts w:hint="eastAsia" w:ascii="宋体" w:hAnsi="宋体" w:cs="宋体"/>
                <w:i/>
                <w:iCs/>
                <w:color w:val="000000"/>
                <w:kern w:val="0"/>
                <w:sz w:val="24"/>
                <w:u w:val="single"/>
              </w:rPr>
              <w:t xml:space="preserve">②生产系统危险性识别 </w:t>
            </w:r>
          </w:p>
          <w:p>
            <w:pPr>
              <w:widowControl/>
              <w:spacing w:line="360" w:lineRule="auto"/>
              <w:ind w:firstLine="480" w:firstLineChars="200"/>
              <w:jc w:val="left"/>
              <w:rPr>
                <w:rFonts w:ascii="宋体" w:hAnsi="宋体" w:cs="宋体"/>
                <w:i/>
                <w:iCs/>
                <w:color w:val="000000"/>
                <w:kern w:val="0"/>
                <w:sz w:val="24"/>
                <w:u w:val="single"/>
              </w:rPr>
            </w:pPr>
            <w:r>
              <w:rPr>
                <w:rFonts w:hint="eastAsia" w:ascii="宋体" w:hAnsi="宋体" w:cs="宋体"/>
                <w:i/>
                <w:iCs/>
                <w:color w:val="000000"/>
                <w:kern w:val="0"/>
                <w:sz w:val="24"/>
                <w:u w:val="single"/>
              </w:rPr>
              <w:t>通过对本项目生产装置、公用工程和辅助生产设施以及环境保护设施等进行生产系统危险性识别，确定本项目危险单元为预处理区、危险废物贮存区、铅酸蓄电池贮存区、废水处理系统、废气处理系统等。通过对物质及生产系统危险性识别，得出风险识别结果详见表 4-20。</w:t>
            </w:r>
          </w:p>
          <w:p>
            <w:pPr>
              <w:pStyle w:val="2"/>
              <w:jc w:val="center"/>
              <w:rPr>
                <w:rFonts w:ascii="宋体" w:hAnsi="宋体" w:cs="宋体"/>
                <w:b/>
                <w:i/>
                <w:iCs/>
                <w:sz w:val="24"/>
                <w:u w:val="single"/>
                <w:lang/>
              </w:rPr>
            </w:pPr>
            <w:r>
              <w:rPr>
                <w:rFonts w:hint="eastAsia" w:ascii="宋体" w:hAnsi="宋体" w:cs="宋体"/>
                <w:b/>
                <w:i/>
                <w:iCs/>
                <w:sz w:val="24"/>
                <w:u w:val="single"/>
                <w:lang/>
              </w:rPr>
              <w:t>表4-</w:t>
            </w:r>
            <w:r>
              <w:rPr>
                <w:rFonts w:hint="eastAsia" w:ascii="宋体" w:hAnsi="宋体" w:cs="宋体"/>
                <w:b/>
                <w:i/>
                <w:iCs/>
                <w:sz w:val="24"/>
                <w:u w:val="single"/>
              </w:rPr>
              <w:t>20</w:t>
            </w:r>
            <w:r>
              <w:rPr>
                <w:rFonts w:hint="eastAsia" w:ascii="宋体" w:hAnsi="宋体" w:cs="宋体"/>
                <w:b/>
                <w:i/>
                <w:iCs/>
                <w:sz w:val="24"/>
                <w:u w:val="single"/>
                <w:lang/>
              </w:rPr>
              <w:t xml:space="preserve">   风险识别结果一览表</w:t>
            </w:r>
          </w:p>
          <w:tbl>
            <w:tblPr>
              <w:tblW w:w="8399"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left w:w="108" w:type="dxa"/>
                <w:right w:w="108" w:type="dxa"/>
              </w:tblCellMar>
            </w:tblPr>
            <w:tblGrid>
              <w:gridCol w:w="976"/>
              <w:gridCol w:w="1095"/>
              <w:gridCol w:w="855"/>
              <w:gridCol w:w="1273"/>
              <w:gridCol w:w="1622"/>
              <w:gridCol w:w="690"/>
              <w:gridCol w:w="885"/>
              <w:gridCol w:w="1003"/>
            </w:tblGrid>
            <w:tr>
              <w:tc>
                <w:tcPr>
                  <w:tcW w:w="976" w:type="dxa"/>
                  <w:vMerge w:val="restart"/>
                  <w:vAlign w:val="center"/>
                </w:tcPr>
                <w:p>
                  <w:pPr>
                    <w:pStyle w:val="16"/>
                    <w:spacing w:after="0" w:line="0" w:lineRule="atLeast"/>
                    <w:jc w:val="center"/>
                    <w:rPr>
                      <w:rFonts w:hAnsi="宋体" w:cs="宋体"/>
                      <w:i/>
                      <w:iCs/>
                      <w:szCs w:val="21"/>
                      <w:u w:val="single"/>
                    </w:rPr>
                  </w:pPr>
                  <w:r>
                    <w:rPr>
                      <w:rFonts w:hint="eastAsia" w:hAnsi="宋体" w:cs="宋体"/>
                      <w:i/>
                      <w:iCs/>
                      <w:szCs w:val="21"/>
                      <w:u w:val="single"/>
                    </w:rPr>
                    <w:t>危险单元</w:t>
                  </w:r>
                </w:p>
              </w:tc>
              <w:tc>
                <w:tcPr>
                  <w:tcW w:w="1095" w:type="dxa"/>
                  <w:vMerge w:val="restart"/>
                  <w:vAlign w:val="center"/>
                </w:tcPr>
                <w:p>
                  <w:pPr>
                    <w:pStyle w:val="16"/>
                    <w:spacing w:after="0" w:line="0" w:lineRule="atLeast"/>
                    <w:jc w:val="center"/>
                    <w:rPr>
                      <w:rFonts w:hAnsi="宋体" w:cs="宋体"/>
                      <w:i/>
                      <w:iCs/>
                      <w:szCs w:val="21"/>
                      <w:u w:val="single"/>
                    </w:rPr>
                  </w:pPr>
                  <w:r>
                    <w:rPr>
                      <w:rFonts w:hint="eastAsia" w:hAnsi="宋体" w:cs="宋体"/>
                      <w:i/>
                      <w:iCs/>
                      <w:szCs w:val="21"/>
                      <w:u w:val="single"/>
                    </w:rPr>
                    <w:t>风险源</w:t>
                  </w:r>
                </w:p>
              </w:tc>
              <w:tc>
                <w:tcPr>
                  <w:tcW w:w="855" w:type="dxa"/>
                  <w:vMerge w:val="restart"/>
                  <w:vAlign w:val="center"/>
                </w:tcPr>
                <w:p>
                  <w:pPr>
                    <w:pStyle w:val="16"/>
                    <w:spacing w:after="0" w:line="0" w:lineRule="atLeast"/>
                    <w:jc w:val="center"/>
                    <w:rPr>
                      <w:rFonts w:hAnsi="宋体" w:cs="宋体"/>
                      <w:i/>
                      <w:iCs/>
                      <w:szCs w:val="21"/>
                      <w:u w:val="single"/>
                    </w:rPr>
                  </w:pPr>
                  <w:r>
                    <w:rPr>
                      <w:rFonts w:hint="eastAsia" w:hAnsi="宋体" w:cs="宋体"/>
                      <w:i/>
                      <w:iCs/>
                      <w:szCs w:val="21"/>
                      <w:u w:val="single"/>
                    </w:rPr>
                    <w:t>主要危险物质</w:t>
                  </w:r>
                </w:p>
              </w:tc>
              <w:tc>
                <w:tcPr>
                  <w:tcW w:w="1273" w:type="dxa"/>
                  <w:vMerge w:val="restart"/>
                  <w:vAlign w:val="center"/>
                </w:tcPr>
                <w:p>
                  <w:pPr>
                    <w:pStyle w:val="16"/>
                    <w:spacing w:after="0" w:line="0" w:lineRule="atLeast"/>
                    <w:jc w:val="center"/>
                    <w:rPr>
                      <w:rFonts w:hAnsi="宋体" w:cs="宋体"/>
                      <w:i/>
                      <w:iCs/>
                      <w:szCs w:val="21"/>
                      <w:u w:val="single"/>
                    </w:rPr>
                  </w:pPr>
                  <w:r>
                    <w:rPr>
                      <w:rFonts w:hint="eastAsia" w:hAnsi="宋体" w:cs="宋体"/>
                      <w:i/>
                      <w:iCs/>
                      <w:szCs w:val="21"/>
                      <w:u w:val="single"/>
                    </w:rPr>
                    <w:t>风险类型</w:t>
                  </w:r>
                </w:p>
              </w:tc>
              <w:tc>
                <w:tcPr>
                  <w:tcW w:w="1622" w:type="dxa"/>
                  <w:vMerge w:val="restart"/>
                  <w:vAlign w:val="center"/>
                </w:tcPr>
                <w:p>
                  <w:pPr>
                    <w:pStyle w:val="16"/>
                    <w:spacing w:after="0" w:line="0" w:lineRule="atLeast"/>
                    <w:jc w:val="center"/>
                    <w:rPr>
                      <w:rFonts w:hAnsi="宋体" w:cs="宋体"/>
                      <w:i/>
                      <w:iCs/>
                      <w:szCs w:val="21"/>
                      <w:u w:val="single"/>
                    </w:rPr>
                  </w:pPr>
                  <w:r>
                    <w:rPr>
                      <w:rFonts w:hint="eastAsia" w:hAnsi="宋体" w:cs="宋体"/>
                      <w:i/>
                      <w:iCs/>
                      <w:szCs w:val="21"/>
                      <w:u w:val="single"/>
                    </w:rPr>
                    <w:t>事故原因</w:t>
                  </w:r>
                </w:p>
              </w:tc>
              <w:tc>
                <w:tcPr>
                  <w:tcW w:w="2578" w:type="dxa"/>
                  <w:gridSpan w:val="3"/>
                  <w:vAlign w:val="center"/>
                </w:tcPr>
                <w:p>
                  <w:pPr>
                    <w:pStyle w:val="16"/>
                    <w:spacing w:after="0" w:line="0" w:lineRule="atLeast"/>
                    <w:jc w:val="center"/>
                    <w:rPr>
                      <w:rFonts w:hAnsi="宋体" w:cs="宋体"/>
                      <w:i/>
                      <w:iCs/>
                      <w:szCs w:val="21"/>
                      <w:u w:val="single"/>
                    </w:rPr>
                  </w:pPr>
                  <w:r>
                    <w:rPr>
                      <w:rFonts w:hint="eastAsia" w:hAnsi="宋体" w:cs="宋体"/>
                      <w:i/>
                      <w:iCs/>
                      <w:szCs w:val="21"/>
                      <w:u w:val="single"/>
                    </w:rPr>
                    <w:t>影响途径</w:t>
                  </w:r>
                </w:p>
              </w:tc>
            </w:tr>
            <w:tr>
              <w:tc>
                <w:tcPr>
                  <w:tcW w:w="976" w:type="dxa"/>
                  <w:vMerge w:val="continue"/>
                  <w:vAlign w:val="center"/>
                </w:tcPr>
                <w:p>
                  <w:pPr>
                    <w:pStyle w:val="16"/>
                    <w:spacing w:after="0" w:line="0" w:lineRule="atLeast"/>
                    <w:jc w:val="center"/>
                    <w:rPr>
                      <w:rFonts w:hAnsi="宋体" w:cs="宋体"/>
                      <w:i/>
                      <w:iCs/>
                      <w:szCs w:val="21"/>
                      <w:u w:val="single"/>
                    </w:rPr>
                  </w:pPr>
                </w:p>
              </w:tc>
              <w:tc>
                <w:tcPr>
                  <w:tcW w:w="1095" w:type="dxa"/>
                  <w:vMerge w:val="continue"/>
                  <w:vAlign w:val="center"/>
                </w:tcPr>
                <w:p>
                  <w:pPr>
                    <w:pStyle w:val="16"/>
                    <w:spacing w:after="0" w:line="0" w:lineRule="atLeast"/>
                    <w:jc w:val="center"/>
                    <w:rPr>
                      <w:rFonts w:hAnsi="宋体" w:cs="宋体"/>
                      <w:i/>
                      <w:iCs/>
                      <w:szCs w:val="21"/>
                      <w:u w:val="single"/>
                    </w:rPr>
                  </w:pPr>
                </w:p>
              </w:tc>
              <w:tc>
                <w:tcPr>
                  <w:tcW w:w="855" w:type="dxa"/>
                  <w:vMerge w:val="continue"/>
                  <w:vAlign w:val="center"/>
                </w:tcPr>
                <w:p>
                  <w:pPr>
                    <w:pStyle w:val="16"/>
                    <w:spacing w:after="0" w:line="0" w:lineRule="atLeast"/>
                    <w:jc w:val="center"/>
                    <w:rPr>
                      <w:rFonts w:hAnsi="宋体" w:cs="宋体"/>
                      <w:i/>
                      <w:iCs/>
                      <w:szCs w:val="21"/>
                      <w:u w:val="single"/>
                    </w:rPr>
                  </w:pPr>
                </w:p>
              </w:tc>
              <w:tc>
                <w:tcPr>
                  <w:tcW w:w="1273" w:type="dxa"/>
                  <w:vMerge w:val="continue"/>
                  <w:vAlign w:val="center"/>
                </w:tcPr>
                <w:p>
                  <w:pPr>
                    <w:pStyle w:val="16"/>
                    <w:spacing w:after="0" w:line="0" w:lineRule="atLeast"/>
                    <w:jc w:val="center"/>
                    <w:rPr>
                      <w:rFonts w:hAnsi="宋体" w:cs="宋体"/>
                      <w:i/>
                      <w:iCs/>
                      <w:szCs w:val="21"/>
                      <w:u w:val="single"/>
                    </w:rPr>
                  </w:pPr>
                </w:p>
              </w:tc>
              <w:tc>
                <w:tcPr>
                  <w:tcW w:w="1622" w:type="dxa"/>
                  <w:vMerge w:val="continue"/>
                  <w:vAlign w:val="center"/>
                </w:tcPr>
                <w:p>
                  <w:pPr>
                    <w:pStyle w:val="16"/>
                    <w:spacing w:after="0" w:line="0" w:lineRule="atLeast"/>
                    <w:jc w:val="center"/>
                    <w:rPr>
                      <w:rFonts w:hAnsi="宋体" w:cs="宋体"/>
                      <w:i/>
                      <w:iCs/>
                      <w:szCs w:val="21"/>
                      <w:u w:val="single"/>
                    </w:rPr>
                  </w:pPr>
                </w:p>
              </w:tc>
              <w:tc>
                <w:tcPr>
                  <w:tcW w:w="690" w:type="dxa"/>
                  <w:vAlign w:val="center"/>
                </w:tcPr>
                <w:p>
                  <w:pPr>
                    <w:pStyle w:val="16"/>
                    <w:spacing w:after="0" w:line="0" w:lineRule="atLeast"/>
                    <w:jc w:val="center"/>
                    <w:rPr>
                      <w:rFonts w:hAnsi="宋体" w:cs="宋体"/>
                      <w:i/>
                      <w:iCs/>
                      <w:szCs w:val="21"/>
                      <w:u w:val="single"/>
                    </w:rPr>
                  </w:pPr>
                  <w:r>
                    <w:rPr>
                      <w:rFonts w:hint="eastAsia" w:hAnsi="宋体" w:cs="宋体"/>
                      <w:i/>
                      <w:iCs/>
                      <w:szCs w:val="21"/>
                      <w:u w:val="single"/>
                    </w:rPr>
                    <w:t>大气</w:t>
                  </w:r>
                </w:p>
              </w:tc>
              <w:tc>
                <w:tcPr>
                  <w:tcW w:w="885" w:type="dxa"/>
                  <w:vAlign w:val="center"/>
                </w:tcPr>
                <w:p>
                  <w:pPr>
                    <w:pStyle w:val="16"/>
                    <w:spacing w:after="0" w:line="0" w:lineRule="atLeast"/>
                    <w:jc w:val="center"/>
                    <w:rPr>
                      <w:rFonts w:hAnsi="宋体" w:cs="宋体"/>
                      <w:i/>
                      <w:iCs/>
                      <w:szCs w:val="21"/>
                      <w:u w:val="single"/>
                    </w:rPr>
                  </w:pPr>
                  <w:r>
                    <w:rPr>
                      <w:rFonts w:hint="eastAsia" w:hAnsi="宋体" w:cs="宋体"/>
                      <w:i/>
                      <w:iCs/>
                      <w:szCs w:val="21"/>
                      <w:u w:val="single"/>
                    </w:rPr>
                    <w:t>地表水</w:t>
                  </w:r>
                </w:p>
              </w:tc>
              <w:tc>
                <w:tcPr>
                  <w:tcW w:w="1003" w:type="dxa"/>
                  <w:vAlign w:val="center"/>
                </w:tcPr>
                <w:p>
                  <w:pPr>
                    <w:pStyle w:val="16"/>
                    <w:spacing w:after="0" w:line="0" w:lineRule="atLeast"/>
                    <w:jc w:val="center"/>
                    <w:rPr>
                      <w:rFonts w:hAnsi="宋体" w:cs="宋体"/>
                      <w:i/>
                      <w:iCs/>
                      <w:szCs w:val="21"/>
                      <w:u w:val="single"/>
                    </w:rPr>
                  </w:pPr>
                  <w:r>
                    <w:rPr>
                      <w:rFonts w:hint="eastAsia" w:hAnsi="宋体" w:cs="宋体"/>
                      <w:i/>
                      <w:iCs/>
                      <w:szCs w:val="21"/>
                      <w:u w:val="single"/>
                    </w:rPr>
                    <w:t>地下水、土壤</w:t>
                  </w:r>
                </w:p>
              </w:tc>
            </w:tr>
            <w:tr>
              <w:tc>
                <w:tcPr>
                  <w:tcW w:w="976" w:type="dxa"/>
                  <w:vAlign w:val="center"/>
                </w:tcPr>
                <w:p>
                  <w:pPr>
                    <w:pStyle w:val="16"/>
                    <w:spacing w:after="0" w:line="0" w:lineRule="atLeast"/>
                    <w:jc w:val="center"/>
                    <w:rPr>
                      <w:rFonts w:hAnsi="宋体" w:cs="宋体"/>
                      <w:i/>
                      <w:iCs/>
                      <w:szCs w:val="21"/>
                      <w:u w:val="single"/>
                    </w:rPr>
                  </w:pPr>
                  <w:r>
                    <w:rPr>
                      <w:rFonts w:hint="eastAsia" w:hAnsi="宋体" w:cs="宋体"/>
                      <w:i/>
                      <w:iCs/>
                      <w:szCs w:val="21"/>
                      <w:u w:val="single"/>
                    </w:rPr>
                    <w:t>拆解区</w:t>
                  </w:r>
                </w:p>
              </w:tc>
              <w:tc>
                <w:tcPr>
                  <w:tcW w:w="1095" w:type="dxa"/>
                  <w:vAlign w:val="center"/>
                </w:tcPr>
                <w:p>
                  <w:pPr>
                    <w:pStyle w:val="16"/>
                    <w:spacing w:after="0" w:line="0" w:lineRule="atLeast"/>
                    <w:jc w:val="center"/>
                    <w:rPr>
                      <w:rFonts w:hAnsi="宋体" w:cs="宋体"/>
                      <w:i/>
                      <w:iCs/>
                      <w:szCs w:val="21"/>
                      <w:u w:val="single"/>
                    </w:rPr>
                  </w:pPr>
                  <w:r>
                    <w:rPr>
                      <w:rFonts w:hint="eastAsia" w:hAnsi="宋体" w:cs="宋体"/>
                      <w:i/>
                      <w:iCs/>
                      <w:szCs w:val="21"/>
                      <w:u w:val="single"/>
                    </w:rPr>
                    <w:t>农机具</w:t>
                  </w:r>
                </w:p>
              </w:tc>
              <w:tc>
                <w:tcPr>
                  <w:tcW w:w="855" w:type="dxa"/>
                  <w:vAlign w:val="center"/>
                </w:tcPr>
                <w:p>
                  <w:pPr>
                    <w:pStyle w:val="16"/>
                    <w:spacing w:after="0" w:line="0" w:lineRule="atLeast"/>
                    <w:jc w:val="center"/>
                    <w:rPr>
                      <w:rFonts w:hAnsi="宋体" w:cs="宋体"/>
                      <w:i/>
                      <w:iCs/>
                      <w:szCs w:val="21"/>
                      <w:u w:val="single"/>
                    </w:rPr>
                  </w:pPr>
                  <w:r>
                    <w:rPr>
                      <w:rFonts w:hint="eastAsia" w:hAnsi="宋体" w:cs="宋体"/>
                      <w:i/>
                      <w:iCs/>
                      <w:szCs w:val="21"/>
                      <w:u w:val="single"/>
                    </w:rPr>
                    <w:t>油液、硫酸</w:t>
                  </w:r>
                </w:p>
              </w:tc>
              <w:tc>
                <w:tcPr>
                  <w:tcW w:w="1273" w:type="dxa"/>
                  <w:vAlign w:val="center"/>
                </w:tcPr>
                <w:p>
                  <w:pPr>
                    <w:widowControl/>
                    <w:spacing w:line="0" w:lineRule="atLeast"/>
                    <w:jc w:val="center"/>
                    <w:rPr>
                      <w:rFonts w:ascii="宋体" w:hAnsi="宋体" w:cs="宋体"/>
                      <w:i/>
                      <w:iCs/>
                      <w:szCs w:val="21"/>
                      <w:u w:val="single"/>
                    </w:rPr>
                  </w:pPr>
                  <w:r>
                    <w:rPr>
                      <w:rFonts w:hint="eastAsia" w:ascii="宋体" w:hAnsi="宋体" w:cs="宋体"/>
                      <w:i/>
                      <w:iCs/>
                      <w:color w:val="000000"/>
                      <w:kern w:val="0"/>
                      <w:szCs w:val="21"/>
                      <w:u w:val="single"/>
                    </w:rPr>
                    <w:t>泄漏、火灾爆炸等引发的伴生/ 次生污染物排放。</w:t>
                  </w:r>
                </w:p>
                <w:p>
                  <w:pPr>
                    <w:pStyle w:val="16"/>
                    <w:spacing w:after="0" w:line="0" w:lineRule="atLeast"/>
                    <w:jc w:val="center"/>
                    <w:rPr>
                      <w:rFonts w:hAnsi="宋体" w:cs="宋体"/>
                      <w:i/>
                      <w:iCs/>
                      <w:szCs w:val="21"/>
                      <w:u w:val="single"/>
                    </w:rPr>
                  </w:pPr>
                </w:p>
              </w:tc>
              <w:tc>
                <w:tcPr>
                  <w:tcW w:w="1622" w:type="dxa"/>
                  <w:vAlign w:val="center"/>
                </w:tcPr>
                <w:p>
                  <w:pPr>
                    <w:widowControl/>
                    <w:spacing w:line="0" w:lineRule="atLeast"/>
                    <w:jc w:val="center"/>
                    <w:rPr>
                      <w:rFonts w:ascii="宋体" w:hAnsi="宋体" w:cs="宋体"/>
                      <w:i/>
                      <w:iCs/>
                      <w:szCs w:val="21"/>
                      <w:u w:val="single"/>
                    </w:rPr>
                  </w:pPr>
                  <w:r>
                    <w:rPr>
                      <w:rFonts w:hint="eastAsia" w:ascii="宋体" w:hAnsi="宋体" w:cs="宋体"/>
                      <w:i/>
                      <w:iCs/>
                      <w:color w:val="000000"/>
                      <w:kern w:val="0"/>
                      <w:szCs w:val="21"/>
                      <w:u w:val="single"/>
                    </w:rPr>
                    <w:t>1.废液排空过程操作失误导致泄漏；2.抽取管道和设备质量存在缺陷导致泄漏； 3. 收集容器破裂，受到撞击；4.泄露遇明火引发火灾、爆炸。</w:t>
                  </w:r>
                </w:p>
              </w:tc>
              <w:tc>
                <w:tcPr>
                  <w:tcW w:w="690" w:type="dxa"/>
                  <w:vAlign w:val="center"/>
                </w:tcPr>
                <w:p>
                  <w:pPr>
                    <w:widowControl/>
                    <w:spacing w:line="0" w:lineRule="atLeast"/>
                    <w:jc w:val="center"/>
                    <w:rPr>
                      <w:rFonts w:ascii="宋体" w:hAnsi="宋体" w:cs="宋体"/>
                      <w:i/>
                      <w:iCs/>
                      <w:szCs w:val="21"/>
                      <w:u w:val="single"/>
                    </w:rPr>
                  </w:pPr>
                  <w:r>
                    <w:rPr>
                      <w:rFonts w:hint="eastAsia" w:ascii="宋体" w:hAnsi="宋体" w:cs="宋体"/>
                      <w:i/>
                      <w:iCs/>
                      <w:color w:val="000000"/>
                      <w:kern w:val="0"/>
                      <w:szCs w:val="21"/>
                      <w:u w:val="single"/>
                    </w:rPr>
                    <w:t>扩散</w:t>
                  </w:r>
                </w:p>
                <w:p>
                  <w:pPr>
                    <w:pStyle w:val="16"/>
                    <w:spacing w:after="0" w:line="0" w:lineRule="atLeast"/>
                    <w:jc w:val="center"/>
                    <w:rPr>
                      <w:rFonts w:hAnsi="宋体" w:cs="宋体"/>
                      <w:i/>
                      <w:iCs/>
                      <w:szCs w:val="21"/>
                      <w:u w:val="single"/>
                    </w:rPr>
                  </w:pPr>
                </w:p>
              </w:tc>
              <w:tc>
                <w:tcPr>
                  <w:tcW w:w="885" w:type="dxa"/>
                  <w:vAlign w:val="center"/>
                </w:tcPr>
                <w:p>
                  <w:pPr>
                    <w:widowControl/>
                    <w:spacing w:line="0" w:lineRule="atLeast"/>
                    <w:jc w:val="center"/>
                    <w:rPr>
                      <w:rFonts w:ascii="宋体" w:hAnsi="宋体" w:cs="宋体"/>
                      <w:i/>
                      <w:iCs/>
                      <w:szCs w:val="21"/>
                      <w:u w:val="single"/>
                    </w:rPr>
                  </w:pPr>
                  <w:r>
                    <w:rPr>
                      <w:rFonts w:hint="eastAsia" w:ascii="宋体" w:hAnsi="宋体" w:cs="宋体"/>
                      <w:i/>
                      <w:iCs/>
                      <w:color w:val="000000"/>
                      <w:kern w:val="0"/>
                      <w:szCs w:val="21"/>
                      <w:u w:val="single"/>
                    </w:rPr>
                    <w:t>/</w:t>
                  </w:r>
                </w:p>
                <w:p>
                  <w:pPr>
                    <w:pStyle w:val="16"/>
                    <w:spacing w:after="0" w:line="0" w:lineRule="atLeast"/>
                    <w:jc w:val="center"/>
                    <w:rPr>
                      <w:rFonts w:hAnsi="宋体" w:cs="宋体"/>
                      <w:i/>
                      <w:iCs/>
                      <w:szCs w:val="21"/>
                      <w:u w:val="single"/>
                    </w:rPr>
                  </w:pPr>
                </w:p>
              </w:tc>
              <w:tc>
                <w:tcPr>
                  <w:tcW w:w="1003" w:type="dxa"/>
                  <w:vAlign w:val="center"/>
                </w:tcPr>
                <w:p>
                  <w:pPr>
                    <w:widowControl/>
                    <w:spacing w:line="0" w:lineRule="atLeast"/>
                    <w:jc w:val="center"/>
                    <w:rPr>
                      <w:rFonts w:ascii="宋体" w:hAnsi="宋体" w:cs="宋体"/>
                      <w:i/>
                      <w:iCs/>
                      <w:szCs w:val="21"/>
                      <w:u w:val="single"/>
                    </w:rPr>
                  </w:pPr>
                  <w:r>
                    <w:rPr>
                      <w:rFonts w:hint="eastAsia" w:ascii="宋体" w:hAnsi="宋体" w:cs="宋体"/>
                      <w:i/>
                      <w:iCs/>
                      <w:color w:val="000000"/>
                      <w:kern w:val="0"/>
                      <w:szCs w:val="21"/>
                      <w:u w:val="single"/>
                    </w:rPr>
                    <w:t>渗透、吸收</w:t>
                  </w:r>
                </w:p>
                <w:p>
                  <w:pPr>
                    <w:pStyle w:val="16"/>
                    <w:spacing w:after="0" w:line="0" w:lineRule="atLeast"/>
                    <w:jc w:val="center"/>
                    <w:rPr>
                      <w:rFonts w:hAnsi="宋体" w:cs="宋体"/>
                      <w:i/>
                      <w:iCs/>
                      <w:szCs w:val="21"/>
                      <w:u w:val="single"/>
                    </w:rPr>
                  </w:pPr>
                </w:p>
              </w:tc>
            </w:tr>
            <w:tr>
              <w:tc>
                <w:tcPr>
                  <w:tcW w:w="976" w:type="dxa"/>
                  <w:vAlign w:val="center"/>
                </w:tcPr>
                <w:p>
                  <w:pPr>
                    <w:pStyle w:val="16"/>
                    <w:spacing w:after="0" w:line="0" w:lineRule="atLeast"/>
                    <w:jc w:val="center"/>
                    <w:rPr>
                      <w:rFonts w:hAnsi="宋体" w:cs="宋体"/>
                      <w:i/>
                      <w:iCs/>
                      <w:szCs w:val="21"/>
                      <w:u w:val="single"/>
                    </w:rPr>
                  </w:pPr>
                  <w:r>
                    <w:rPr>
                      <w:rFonts w:hint="eastAsia" w:hAnsi="宋体" w:cs="宋体"/>
                      <w:i/>
                      <w:iCs/>
                      <w:szCs w:val="21"/>
                      <w:u w:val="single"/>
                    </w:rPr>
                    <w:t>油液贮存区</w:t>
                  </w:r>
                </w:p>
              </w:tc>
              <w:tc>
                <w:tcPr>
                  <w:tcW w:w="1095" w:type="dxa"/>
                  <w:vAlign w:val="center"/>
                </w:tcPr>
                <w:p>
                  <w:pPr>
                    <w:pStyle w:val="16"/>
                    <w:spacing w:after="0" w:line="0" w:lineRule="atLeast"/>
                    <w:jc w:val="center"/>
                    <w:rPr>
                      <w:rFonts w:hAnsi="宋体" w:cs="宋体"/>
                      <w:i/>
                      <w:iCs/>
                      <w:szCs w:val="21"/>
                      <w:u w:val="single"/>
                    </w:rPr>
                  </w:pPr>
                  <w:r>
                    <w:rPr>
                      <w:rFonts w:hint="eastAsia" w:hAnsi="宋体" w:cs="宋体"/>
                      <w:i/>
                      <w:iCs/>
                      <w:szCs w:val="21"/>
                      <w:u w:val="single"/>
                    </w:rPr>
                    <w:t>废油油液</w:t>
                  </w:r>
                </w:p>
              </w:tc>
              <w:tc>
                <w:tcPr>
                  <w:tcW w:w="855" w:type="dxa"/>
                  <w:vAlign w:val="center"/>
                </w:tcPr>
                <w:p>
                  <w:pPr>
                    <w:pStyle w:val="16"/>
                    <w:spacing w:after="0" w:line="0" w:lineRule="atLeast"/>
                    <w:jc w:val="center"/>
                    <w:rPr>
                      <w:rFonts w:hAnsi="宋体" w:cs="宋体"/>
                      <w:i/>
                      <w:iCs/>
                      <w:szCs w:val="21"/>
                      <w:u w:val="single"/>
                    </w:rPr>
                  </w:pPr>
                  <w:r>
                    <w:rPr>
                      <w:rFonts w:hint="eastAsia" w:hAnsi="宋体" w:cs="宋体"/>
                      <w:i/>
                      <w:iCs/>
                      <w:szCs w:val="21"/>
                      <w:u w:val="single"/>
                    </w:rPr>
                    <w:t>废矿物油与含矿物油废物</w:t>
                  </w:r>
                </w:p>
              </w:tc>
              <w:tc>
                <w:tcPr>
                  <w:tcW w:w="1273" w:type="dxa"/>
                  <w:vAlign w:val="center"/>
                </w:tcPr>
                <w:p>
                  <w:pPr>
                    <w:widowControl/>
                    <w:spacing w:line="0" w:lineRule="atLeast"/>
                    <w:jc w:val="center"/>
                    <w:rPr>
                      <w:rFonts w:ascii="宋体" w:hAnsi="宋体" w:cs="宋体"/>
                      <w:i/>
                      <w:iCs/>
                      <w:szCs w:val="21"/>
                      <w:u w:val="single"/>
                    </w:rPr>
                  </w:pPr>
                  <w:r>
                    <w:rPr>
                      <w:rFonts w:hint="eastAsia" w:ascii="宋体" w:hAnsi="宋体" w:cs="宋体"/>
                      <w:i/>
                      <w:iCs/>
                      <w:color w:val="000000"/>
                      <w:kern w:val="0"/>
                      <w:szCs w:val="21"/>
                      <w:u w:val="single"/>
                    </w:rPr>
                    <w:t>泄漏、火灾、爆炸等引发</w:t>
                  </w:r>
                </w:p>
                <w:p>
                  <w:pPr>
                    <w:widowControl/>
                    <w:spacing w:line="0" w:lineRule="atLeast"/>
                    <w:jc w:val="center"/>
                    <w:rPr>
                      <w:rFonts w:ascii="宋体" w:hAnsi="宋体" w:cs="宋体"/>
                      <w:i/>
                      <w:iCs/>
                      <w:szCs w:val="21"/>
                      <w:u w:val="single"/>
                    </w:rPr>
                  </w:pPr>
                  <w:r>
                    <w:rPr>
                      <w:rFonts w:hint="eastAsia" w:ascii="宋体" w:hAnsi="宋体" w:cs="宋体"/>
                      <w:i/>
                      <w:iCs/>
                      <w:color w:val="000000"/>
                      <w:kern w:val="0"/>
                      <w:szCs w:val="21"/>
                      <w:u w:val="single"/>
                    </w:rPr>
                    <w:t>的半生/次生污染物排放。</w:t>
                  </w:r>
                </w:p>
              </w:tc>
              <w:tc>
                <w:tcPr>
                  <w:tcW w:w="1622" w:type="dxa"/>
                  <w:vAlign w:val="center"/>
                </w:tcPr>
                <w:p>
                  <w:pPr>
                    <w:widowControl/>
                    <w:spacing w:line="0" w:lineRule="atLeast"/>
                    <w:jc w:val="center"/>
                    <w:rPr>
                      <w:rFonts w:ascii="宋体" w:hAnsi="宋体" w:cs="宋体"/>
                      <w:i/>
                      <w:iCs/>
                      <w:szCs w:val="21"/>
                      <w:u w:val="single"/>
                    </w:rPr>
                  </w:pPr>
                  <w:r>
                    <w:rPr>
                      <w:rFonts w:hint="eastAsia" w:ascii="宋体" w:hAnsi="宋体" w:cs="宋体"/>
                      <w:i/>
                      <w:iCs/>
                      <w:color w:val="000000"/>
                      <w:kern w:val="0"/>
                      <w:szCs w:val="21"/>
                      <w:u w:val="single"/>
                    </w:rPr>
                    <w:t>1.收集容器破</w:t>
                  </w:r>
                </w:p>
                <w:p>
                  <w:pPr>
                    <w:widowControl/>
                    <w:spacing w:line="0" w:lineRule="atLeast"/>
                    <w:jc w:val="center"/>
                    <w:rPr>
                      <w:rFonts w:ascii="宋体" w:hAnsi="宋体" w:cs="宋体"/>
                      <w:i/>
                      <w:iCs/>
                      <w:szCs w:val="21"/>
                      <w:u w:val="single"/>
                    </w:rPr>
                  </w:pPr>
                  <w:r>
                    <w:rPr>
                      <w:rFonts w:hint="eastAsia" w:ascii="宋体" w:hAnsi="宋体" w:cs="宋体"/>
                      <w:i/>
                      <w:iCs/>
                      <w:color w:val="000000"/>
                      <w:kern w:val="0"/>
                      <w:szCs w:val="21"/>
                      <w:u w:val="single"/>
                    </w:rPr>
                    <w:t>裂，受到撞击；</w:t>
                  </w:r>
                </w:p>
                <w:p>
                  <w:pPr>
                    <w:widowControl/>
                    <w:spacing w:line="0" w:lineRule="atLeast"/>
                    <w:jc w:val="center"/>
                    <w:rPr>
                      <w:rFonts w:ascii="宋体" w:hAnsi="宋体" w:cs="宋体"/>
                      <w:i/>
                      <w:iCs/>
                      <w:szCs w:val="21"/>
                      <w:u w:val="single"/>
                    </w:rPr>
                  </w:pPr>
                  <w:r>
                    <w:rPr>
                      <w:rFonts w:hint="eastAsia" w:ascii="宋体" w:hAnsi="宋体" w:cs="宋体"/>
                      <w:i/>
                      <w:iCs/>
                      <w:color w:val="000000"/>
                      <w:kern w:val="0"/>
                      <w:szCs w:val="21"/>
                      <w:u w:val="single"/>
                    </w:rPr>
                    <w:t>2.泄露遇明火引发火灾、爆炸。</w:t>
                  </w:r>
                </w:p>
              </w:tc>
              <w:tc>
                <w:tcPr>
                  <w:tcW w:w="690" w:type="dxa"/>
                  <w:vAlign w:val="center"/>
                </w:tcPr>
                <w:p>
                  <w:pPr>
                    <w:widowControl/>
                    <w:spacing w:line="0" w:lineRule="atLeast"/>
                    <w:jc w:val="center"/>
                    <w:rPr>
                      <w:rFonts w:ascii="宋体" w:hAnsi="宋体" w:cs="宋体"/>
                      <w:i/>
                      <w:iCs/>
                      <w:szCs w:val="21"/>
                      <w:u w:val="single"/>
                    </w:rPr>
                  </w:pPr>
                  <w:r>
                    <w:rPr>
                      <w:rFonts w:hint="eastAsia" w:ascii="宋体" w:hAnsi="宋体" w:cs="宋体"/>
                      <w:i/>
                      <w:iCs/>
                      <w:color w:val="000000"/>
                      <w:kern w:val="0"/>
                      <w:szCs w:val="21"/>
                      <w:u w:val="single"/>
                    </w:rPr>
                    <w:t>扩散</w:t>
                  </w:r>
                </w:p>
                <w:p>
                  <w:pPr>
                    <w:pStyle w:val="16"/>
                    <w:spacing w:after="0" w:line="0" w:lineRule="atLeast"/>
                    <w:jc w:val="center"/>
                    <w:rPr>
                      <w:rFonts w:hAnsi="宋体" w:cs="宋体"/>
                      <w:i/>
                      <w:iCs/>
                      <w:szCs w:val="21"/>
                      <w:u w:val="single"/>
                    </w:rPr>
                  </w:pPr>
                </w:p>
              </w:tc>
              <w:tc>
                <w:tcPr>
                  <w:tcW w:w="885" w:type="dxa"/>
                  <w:vAlign w:val="center"/>
                </w:tcPr>
                <w:p>
                  <w:pPr>
                    <w:widowControl/>
                    <w:spacing w:line="0" w:lineRule="atLeast"/>
                    <w:jc w:val="center"/>
                    <w:rPr>
                      <w:rFonts w:ascii="宋体" w:hAnsi="宋体" w:cs="宋体"/>
                      <w:i/>
                      <w:iCs/>
                      <w:szCs w:val="21"/>
                      <w:u w:val="single"/>
                    </w:rPr>
                  </w:pPr>
                  <w:r>
                    <w:rPr>
                      <w:rFonts w:hint="eastAsia" w:ascii="宋体" w:hAnsi="宋体" w:cs="宋体"/>
                      <w:i/>
                      <w:iCs/>
                      <w:color w:val="000000"/>
                      <w:kern w:val="0"/>
                      <w:szCs w:val="21"/>
                      <w:u w:val="single"/>
                    </w:rPr>
                    <w:t>/</w:t>
                  </w:r>
                </w:p>
                <w:p>
                  <w:pPr>
                    <w:pStyle w:val="16"/>
                    <w:spacing w:after="0" w:line="0" w:lineRule="atLeast"/>
                    <w:jc w:val="center"/>
                    <w:rPr>
                      <w:rFonts w:hAnsi="宋体" w:cs="宋体"/>
                      <w:i/>
                      <w:iCs/>
                      <w:szCs w:val="21"/>
                      <w:u w:val="single"/>
                    </w:rPr>
                  </w:pPr>
                </w:p>
              </w:tc>
              <w:tc>
                <w:tcPr>
                  <w:tcW w:w="1003" w:type="dxa"/>
                  <w:vAlign w:val="center"/>
                </w:tcPr>
                <w:p>
                  <w:pPr>
                    <w:widowControl/>
                    <w:spacing w:line="0" w:lineRule="atLeast"/>
                    <w:jc w:val="center"/>
                    <w:rPr>
                      <w:rFonts w:ascii="宋体" w:hAnsi="宋体" w:cs="宋体"/>
                      <w:i/>
                      <w:iCs/>
                      <w:szCs w:val="21"/>
                      <w:u w:val="single"/>
                    </w:rPr>
                  </w:pPr>
                  <w:r>
                    <w:rPr>
                      <w:rFonts w:hint="eastAsia" w:ascii="宋体" w:hAnsi="宋体" w:cs="宋体"/>
                      <w:i/>
                      <w:iCs/>
                      <w:color w:val="000000"/>
                      <w:kern w:val="0"/>
                      <w:szCs w:val="21"/>
                      <w:u w:val="single"/>
                    </w:rPr>
                    <w:t>渗透、吸收</w:t>
                  </w:r>
                </w:p>
                <w:p>
                  <w:pPr>
                    <w:pStyle w:val="16"/>
                    <w:spacing w:after="0" w:line="0" w:lineRule="atLeast"/>
                    <w:jc w:val="center"/>
                    <w:rPr>
                      <w:rFonts w:hAnsi="宋体" w:cs="宋体"/>
                      <w:i/>
                      <w:iCs/>
                      <w:szCs w:val="21"/>
                      <w:u w:val="single"/>
                    </w:rPr>
                  </w:pPr>
                </w:p>
              </w:tc>
            </w:tr>
            <w:tr>
              <w:tc>
                <w:tcPr>
                  <w:tcW w:w="976" w:type="dxa"/>
                  <w:vAlign w:val="center"/>
                </w:tcPr>
                <w:p>
                  <w:pPr>
                    <w:pStyle w:val="16"/>
                    <w:spacing w:after="0" w:line="0" w:lineRule="atLeast"/>
                    <w:jc w:val="center"/>
                    <w:rPr>
                      <w:rFonts w:hAnsi="宋体" w:cs="宋体"/>
                      <w:i/>
                      <w:iCs/>
                      <w:szCs w:val="21"/>
                      <w:u w:val="single"/>
                    </w:rPr>
                  </w:pPr>
                  <w:r>
                    <w:rPr>
                      <w:rFonts w:hint="eastAsia" w:hAnsi="宋体" w:cs="宋体"/>
                      <w:i/>
                      <w:iCs/>
                      <w:szCs w:val="21"/>
                      <w:u w:val="single"/>
                    </w:rPr>
                    <w:t>蓄电池贮存区</w:t>
                  </w:r>
                </w:p>
              </w:tc>
              <w:tc>
                <w:tcPr>
                  <w:tcW w:w="1095" w:type="dxa"/>
                  <w:vAlign w:val="center"/>
                </w:tcPr>
                <w:p>
                  <w:pPr>
                    <w:pStyle w:val="16"/>
                    <w:spacing w:after="0" w:line="0" w:lineRule="atLeast"/>
                    <w:jc w:val="center"/>
                    <w:rPr>
                      <w:rFonts w:hAnsi="宋体" w:cs="宋体"/>
                      <w:i/>
                      <w:iCs/>
                      <w:szCs w:val="21"/>
                      <w:u w:val="single"/>
                    </w:rPr>
                  </w:pPr>
                  <w:r>
                    <w:rPr>
                      <w:rFonts w:hint="eastAsia" w:hAnsi="宋体" w:cs="宋体"/>
                      <w:i/>
                      <w:iCs/>
                      <w:szCs w:val="21"/>
                      <w:u w:val="single"/>
                    </w:rPr>
                    <w:t>铅酸蓄电池</w:t>
                  </w:r>
                </w:p>
              </w:tc>
              <w:tc>
                <w:tcPr>
                  <w:tcW w:w="855" w:type="dxa"/>
                  <w:vAlign w:val="center"/>
                </w:tcPr>
                <w:p>
                  <w:pPr>
                    <w:pStyle w:val="16"/>
                    <w:spacing w:after="0" w:line="0" w:lineRule="atLeast"/>
                    <w:jc w:val="center"/>
                    <w:rPr>
                      <w:rFonts w:hAnsi="宋体" w:cs="宋体"/>
                      <w:i/>
                      <w:iCs/>
                      <w:szCs w:val="21"/>
                      <w:u w:val="single"/>
                    </w:rPr>
                  </w:pPr>
                  <w:r>
                    <w:rPr>
                      <w:rFonts w:hint="eastAsia" w:hAnsi="宋体" w:cs="宋体"/>
                      <w:i/>
                      <w:iCs/>
                      <w:szCs w:val="21"/>
                      <w:u w:val="single"/>
                    </w:rPr>
                    <w:t>硫酸</w:t>
                  </w:r>
                </w:p>
              </w:tc>
              <w:tc>
                <w:tcPr>
                  <w:tcW w:w="1273" w:type="dxa"/>
                  <w:vAlign w:val="center"/>
                </w:tcPr>
                <w:p>
                  <w:pPr>
                    <w:widowControl/>
                    <w:spacing w:line="0" w:lineRule="atLeast"/>
                    <w:jc w:val="center"/>
                    <w:rPr>
                      <w:rFonts w:hAnsi="宋体" w:cs="宋体"/>
                      <w:i/>
                      <w:iCs/>
                      <w:szCs w:val="21"/>
                      <w:u w:val="single"/>
                    </w:rPr>
                  </w:pPr>
                  <w:r>
                    <w:rPr>
                      <w:rFonts w:hint="eastAsia" w:ascii="宋体" w:hAnsi="宋体" w:cs="宋体"/>
                      <w:i/>
                      <w:iCs/>
                      <w:color w:val="000000"/>
                      <w:kern w:val="0"/>
                      <w:szCs w:val="21"/>
                      <w:u w:val="single"/>
                    </w:rPr>
                    <w:t>泄露</w:t>
                  </w:r>
                </w:p>
              </w:tc>
              <w:tc>
                <w:tcPr>
                  <w:tcW w:w="1622" w:type="dxa"/>
                  <w:vAlign w:val="center"/>
                </w:tcPr>
                <w:p>
                  <w:pPr>
                    <w:widowControl/>
                    <w:spacing w:line="0" w:lineRule="atLeast"/>
                    <w:jc w:val="center"/>
                    <w:rPr>
                      <w:rFonts w:ascii="宋体" w:hAnsi="宋体" w:cs="宋体"/>
                      <w:i/>
                      <w:iCs/>
                      <w:szCs w:val="21"/>
                      <w:u w:val="single"/>
                    </w:rPr>
                  </w:pPr>
                  <w:r>
                    <w:rPr>
                      <w:rFonts w:hint="eastAsia" w:ascii="宋体" w:hAnsi="宋体" w:cs="宋体"/>
                      <w:i/>
                      <w:iCs/>
                      <w:color w:val="000000"/>
                      <w:kern w:val="0"/>
                      <w:szCs w:val="21"/>
                      <w:u w:val="single"/>
                    </w:rPr>
                    <w:t>收集容器破裂，受到撞击。</w:t>
                  </w:r>
                </w:p>
              </w:tc>
              <w:tc>
                <w:tcPr>
                  <w:tcW w:w="690" w:type="dxa"/>
                  <w:vAlign w:val="center"/>
                </w:tcPr>
                <w:p>
                  <w:pPr>
                    <w:widowControl/>
                    <w:spacing w:line="0" w:lineRule="atLeast"/>
                    <w:jc w:val="center"/>
                    <w:rPr>
                      <w:rFonts w:ascii="宋体" w:hAnsi="宋体" w:cs="宋体"/>
                      <w:i/>
                      <w:iCs/>
                      <w:szCs w:val="21"/>
                      <w:u w:val="single"/>
                    </w:rPr>
                  </w:pPr>
                  <w:r>
                    <w:rPr>
                      <w:rFonts w:hint="eastAsia" w:ascii="宋体" w:hAnsi="宋体" w:cs="宋体"/>
                      <w:i/>
                      <w:iCs/>
                      <w:color w:val="000000"/>
                      <w:kern w:val="0"/>
                      <w:szCs w:val="21"/>
                      <w:u w:val="single"/>
                    </w:rPr>
                    <w:t>扩散</w:t>
                  </w:r>
                </w:p>
              </w:tc>
              <w:tc>
                <w:tcPr>
                  <w:tcW w:w="885" w:type="dxa"/>
                  <w:vAlign w:val="center"/>
                </w:tcPr>
                <w:p>
                  <w:pPr>
                    <w:widowControl/>
                    <w:spacing w:line="0" w:lineRule="atLeast"/>
                    <w:jc w:val="center"/>
                    <w:rPr>
                      <w:rFonts w:ascii="宋体" w:hAnsi="宋体" w:cs="宋体"/>
                      <w:i/>
                      <w:iCs/>
                      <w:szCs w:val="21"/>
                      <w:u w:val="single"/>
                    </w:rPr>
                  </w:pPr>
                  <w:r>
                    <w:rPr>
                      <w:rFonts w:hint="eastAsia" w:ascii="宋体" w:hAnsi="宋体" w:cs="宋体"/>
                      <w:i/>
                      <w:iCs/>
                      <w:color w:val="000000"/>
                      <w:kern w:val="0"/>
                      <w:szCs w:val="21"/>
                      <w:u w:val="single"/>
                    </w:rPr>
                    <w:t>/</w:t>
                  </w:r>
                </w:p>
                <w:p>
                  <w:pPr>
                    <w:pStyle w:val="16"/>
                    <w:spacing w:after="0" w:line="0" w:lineRule="atLeast"/>
                    <w:jc w:val="center"/>
                    <w:rPr>
                      <w:rFonts w:hAnsi="宋体" w:cs="宋体"/>
                      <w:i/>
                      <w:iCs/>
                      <w:szCs w:val="21"/>
                      <w:u w:val="single"/>
                    </w:rPr>
                  </w:pPr>
                </w:p>
              </w:tc>
              <w:tc>
                <w:tcPr>
                  <w:tcW w:w="1003" w:type="dxa"/>
                  <w:vAlign w:val="center"/>
                </w:tcPr>
                <w:p>
                  <w:pPr>
                    <w:widowControl/>
                    <w:spacing w:line="0" w:lineRule="atLeast"/>
                    <w:jc w:val="center"/>
                    <w:rPr>
                      <w:rFonts w:ascii="宋体" w:hAnsi="宋体" w:cs="宋体"/>
                      <w:i/>
                      <w:iCs/>
                      <w:szCs w:val="21"/>
                      <w:u w:val="single"/>
                    </w:rPr>
                  </w:pPr>
                  <w:r>
                    <w:rPr>
                      <w:rFonts w:hint="eastAsia" w:ascii="宋体" w:hAnsi="宋体" w:cs="宋体"/>
                      <w:i/>
                      <w:iCs/>
                      <w:color w:val="000000"/>
                      <w:kern w:val="0"/>
                      <w:szCs w:val="21"/>
                      <w:u w:val="single"/>
                    </w:rPr>
                    <w:t>渗透、吸收</w:t>
                  </w:r>
                </w:p>
              </w:tc>
            </w:tr>
            <w:tr>
              <w:tc>
                <w:tcPr>
                  <w:tcW w:w="976" w:type="dxa"/>
                  <w:vAlign w:val="center"/>
                </w:tcPr>
                <w:p>
                  <w:pPr>
                    <w:pStyle w:val="16"/>
                    <w:spacing w:after="0" w:line="0" w:lineRule="atLeast"/>
                    <w:jc w:val="center"/>
                    <w:rPr>
                      <w:rFonts w:hAnsi="宋体" w:cs="宋体"/>
                      <w:i/>
                      <w:iCs/>
                      <w:szCs w:val="21"/>
                      <w:u w:val="single"/>
                    </w:rPr>
                  </w:pPr>
                  <w:r>
                    <w:rPr>
                      <w:rFonts w:hint="eastAsia" w:hAnsi="宋体" w:cs="宋体"/>
                      <w:i/>
                      <w:iCs/>
                      <w:szCs w:val="21"/>
                      <w:u w:val="single"/>
                    </w:rPr>
                    <w:t>废水处理设施</w:t>
                  </w:r>
                </w:p>
              </w:tc>
              <w:tc>
                <w:tcPr>
                  <w:tcW w:w="1095" w:type="dxa"/>
                  <w:vAlign w:val="center"/>
                </w:tcPr>
                <w:p>
                  <w:pPr>
                    <w:pStyle w:val="16"/>
                    <w:spacing w:after="0" w:line="0" w:lineRule="atLeast"/>
                    <w:jc w:val="center"/>
                    <w:rPr>
                      <w:rFonts w:hAnsi="宋体" w:cs="宋体"/>
                      <w:i/>
                      <w:iCs/>
                      <w:szCs w:val="21"/>
                      <w:u w:val="single"/>
                    </w:rPr>
                  </w:pPr>
                  <w:r>
                    <w:rPr>
                      <w:rFonts w:hint="eastAsia" w:hAnsi="宋体" w:cs="宋体"/>
                      <w:i/>
                      <w:iCs/>
                      <w:szCs w:val="21"/>
                      <w:u w:val="single"/>
                    </w:rPr>
                    <w:t>污水暂存池</w:t>
                  </w:r>
                </w:p>
              </w:tc>
              <w:tc>
                <w:tcPr>
                  <w:tcW w:w="855" w:type="dxa"/>
                  <w:vAlign w:val="center"/>
                </w:tcPr>
                <w:p>
                  <w:pPr>
                    <w:pStyle w:val="16"/>
                    <w:spacing w:after="0" w:line="0" w:lineRule="atLeast"/>
                    <w:jc w:val="center"/>
                    <w:rPr>
                      <w:rFonts w:hAnsi="宋体" w:cs="宋体"/>
                      <w:i/>
                      <w:iCs/>
                      <w:szCs w:val="21"/>
                      <w:u w:val="single"/>
                    </w:rPr>
                  </w:pPr>
                  <w:r>
                    <w:rPr>
                      <w:rFonts w:hint="eastAsia" w:hAnsi="宋体" w:cs="宋体"/>
                      <w:i/>
                      <w:iCs/>
                      <w:szCs w:val="21"/>
                      <w:u w:val="single"/>
                    </w:rPr>
                    <w:t>废水</w:t>
                  </w:r>
                </w:p>
              </w:tc>
              <w:tc>
                <w:tcPr>
                  <w:tcW w:w="1273" w:type="dxa"/>
                  <w:vAlign w:val="center"/>
                </w:tcPr>
                <w:p>
                  <w:pPr>
                    <w:widowControl/>
                    <w:spacing w:line="0" w:lineRule="atLeast"/>
                    <w:jc w:val="center"/>
                    <w:rPr>
                      <w:rFonts w:hAnsi="宋体" w:cs="宋体"/>
                      <w:i/>
                      <w:iCs/>
                      <w:szCs w:val="21"/>
                      <w:u w:val="single"/>
                    </w:rPr>
                  </w:pPr>
                  <w:r>
                    <w:rPr>
                      <w:rFonts w:hint="eastAsia" w:ascii="宋体" w:hAnsi="宋体" w:cs="宋体"/>
                      <w:i/>
                      <w:iCs/>
                      <w:color w:val="000000"/>
                      <w:kern w:val="0"/>
                      <w:szCs w:val="21"/>
                      <w:u w:val="single"/>
                    </w:rPr>
                    <w:t>泄露</w:t>
                  </w:r>
                </w:p>
              </w:tc>
              <w:tc>
                <w:tcPr>
                  <w:tcW w:w="1622" w:type="dxa"/>
                  <w:vAlign w:val="center"/>
                </w:tcPr>
                <w:p>
                  <w:pPr>
                    <w:widowControl/>
                    <w:spacing w:line="0" w:lineRule="atLeast"/>
                    <w:jc w:val="center"/>
                    <w:rPr>
                      <w:rFonts w:ascii="宋体" w:hAnsi="宋体" w:cs="宋体"/>
                      <w:i/>
                      <w:iCs/>
                      <w:szCs w:val="21"/>
                      <w:u w:val="single"/>
                    </w:rPr>
                  </w:pPr>
                  <w:r>
                    <w:rPr>
                      <w:rFonts w:hint="eastAsia" w:ascii="宋体" w:hAnsi="宋体" w:cs="宋体"/>
                      <w:i/>
                      <w:iCs/>
                      <w:color w:val="000000"/>
                      <w:kern w:val="0"/>
                      <w:szCs w:val="21"/>
                      <w:u w:val="single"/>
                    </w:rPr>
                    <w:t>含油废水未能有效收集。</w:t>
                  </w:r>
                </w:p>
              </w:tc>
              <w:tc>
                <w:tcPr>
                  <w:tcW w:w="690" w:type="dxa"/>
                  <w:vAlign w:val="center"/>
                </w:tcPr>
                <w:p>
                  <w:pPr>
                    <w:widowControl/>
                    <w:spacing w:line="0" w:lineRule="atLeast"/>
                    <w:jc w:val="center"/>
                    <w:rPr>
                      <w:rFonts w:ascii="宋体" w:hAnsi="宋体" w:cs="宋体"/>
                      <w:i/>
                      <w:iCs/>
                      <w:szCs w:val="21"/>
                      <w:u w:val="single"/>
                    </w:rPr>
                  </w:pPr>
                  <w:r>
                    <w:rPr>
                      <w:rFonts w:hint="eastAsia" w:ascii="宋体" w:hAnsi="宋体" w:cs="宋体"/>
                      <w:i/>
                      <w:iCs/>
                      <w:color w:val="000000"/>
                      <w:kern w:val="0"/>
                      <w:szCs w:val="21"/>
                      <w:u w:val="single"/>
                    </w:rPr>
                    <w:t>/</w:t>
                  </w:r>
                </w:p>
                <w:p>
                  <w:pPr>
                    <w:pStyle w:val="16"/>
                    <w:spacing w:after="0" w:line="0" w:lineRule="atLeast"/>
                    <w:jc w:val="center"/>
                    <w:rPr>
                      <w:rFonts w:hAnsi="宋体" w:cs="宋体"/>
                      <w:i/>
                      <w:iCs/>
                      <w:szCs w:val="21"/>
                      <w:u w:val="single"/>
                    </w:rPr>
                  </w:pPr>
                </w:p>
              </w:tc>
              <w:tc>
                <w:tcPr>
                  <w:tcW w:w="885" w:type="dxa"/>
                  <w:vAlign w:val="center"/>
                </w:tcPr>
                <w:p>
                  <w:pPr>
                    <w:pStyle w:val="16"/>
                    <w:spacing w:after="0" w:line="0" w:lineRule="atLeast"/>
                    <w:jc w:val="center"/>
                    <w:rPr>
                      <w:rFonts w:hAnsi="宋体" w:cs="宋体"/>
                      <w:i/>
                      <w:iCs/>
                      <w:szCs w:val="21"/>
                      <w:u w:val="single"/>
                    </w:rPr>
                  </w:pPr>
                  <w:r>
                    <w:rPr>
                      <w:rFonts w:hint="eastAsia" w:hAnsi="宋体" w:cs="宋体"/>
                      <w:i/>
                      <w:iCs/>
                      <w:szCs w:val="21"/>
                      <w:u w:val="single"/>
                    </w:rPr>
                    <w:t>/</w:t>
                  </w:r>
                </w:p>
              </w:tc>
              <w:tc>
                <w:tcPr>
                  <w:tcW w:w="1003" w:type="dxa"/>
                  <w:vAlign w:val="center"/>
                </w:tcPr>
                <w:p>
                  <w:pPr>
                    <w:widowControl/>
                    <w:spacing w:line="0" w:lineRule="atLeast"/>
                    <w:jc w:val="center"/>
                    <w:rPr>
                      <w:rFonts w:ascii="宋体" w:hAnsi="宋体" w:cs="宋体"/>
                      <w:i/>
                      <w:iCs/>
                      <w:szCs w:val="21"/>
                      <w:u w:val="single"/>
                    </w:rPr>
                  </w:pPr>
                  <w:r>
                    <w:rPr>
                      <w:rFonts w:hint="eastAsia" w:ascii="宋体" w:hAnsi="宋体" w:cs="宋体"/>
                      <w:i/>
                      <w:iCs/>
                      <w:color w:val="000000"/>
                      <w:kern w:val="0"/>
                      <w:szCs w:val="21"/>
                      <w:u w:val="single"/>
                    </w:rPr>
                    <w:t>渗透、吸收</w:t>
                  </w:r>
                </w:p>
              </w:tc>
            </w:tr>
            <w:tr>
              <w:tc>
                <w:tcPr>
                  <w:tcW w:w="976" w:type="dxa"/>
                  <w:vAlign w:val="center"/>
                </w:tcPr>
                <w:p>
                  <w:pPr>
                    <w:pStyle w:val="16"/>
                    <w:spacing w:after="0" w:line="0" w:lineRule="atLeast"/>
                    <w:jc w:val="center"/>
                    <w:rPr>
                      <w:rFonts w:hAnsi="宋体" w:cs="宋体"/>
                      <w:i/>
                      <w:iCs/>
                      <w:szCs w:val="21"/>
                      <w:u w:val="single"/>
                    </w:rPr>
                  </w:pPr>
                  <w:r>
                    <w:rPr>
                      <w:rFonts w:hint="eastAsia" w:hAnsi="宋体" w:cs="宋体"/>
                      <w:i/>
                      <w:iCs/>
                      <w:szCs w:val="21"/>
                      <w:u w:val="single"/>
                    </w:rPr>
                    <w:t>废气处理设施</w:t>
                  </w:r>
                </w:p>
              </w:tc>
              <w:tc>
                <w:tcPr>
                  <w:tcW w:w="1095" w:type="dxa"/>
                  <w:vAlign w:val="center"/>
                </w:tcPr>
                <w:p>
                  <w:pPr>
                    <w:pStyle w:val="16"/>
                    <w:spacing w:after="0" w:line="0" w:lineRule="atLeast"/>
                    <w:jc w:val="center"/>
                    <w:rPr>
                      <w:rFonts w:hAnsi="宋体" w:cs="宋体"/>
                      <w:i/>
                      <w:iCs/>
                      <w:szCs w:val="21"/>
                      <w:u w:val="single"/>
                    </w:rPr>
                  </w:pPr>
                  <w:r>
                    <w:rPr>
                      <w:rFonts w:hint="eastAsia" w:hAnsi="宋体" w:cs="宋体"/>
                      <w:i/>
                      <w:iCs/>
                      <w:color w:val="000000"/>
                      <w:szCs w:val="21"/>
                      <w:u w:val="single"/>
                    </w:rPr>
                    <w:t>活性炭处理装置、布袋除尘器</w:t>
                  </w:r>
                </w:p>
              </w:tc>
              <w:tc>
                <w:tcPr>
                  <w:tcW w:w="855" w:type="dxa"/>
                  <w:vAlign w:val="center"/>
                </w:tcPr>
                <w:p>
                  <w:pPr>
                    <w:pStyle w:val="16"/>
                    <w:spacing w:after="0" w:line="0" w:lineRule="atLeast"/>
                    <w:jc w:val="center"/>
                    <w:rPr>
                      <w:rFonts w:hAnsi="宋体" w:cs="宋体"/>
                      <w:i/>
                      <w:iCs/>
                      <w:szCs w:val="21"/>
                      <w:u w:val="single"/>
                    </w:rPr>
                  </w:pPr>
                  <w:r>
                    <w:rPr>
                      <w:rFonts w:hint="eastAsia" w:hAnsi="宋体" w:cs="宋体"/>
                      <w:i/>
                      <w:iCs/>
                      <w:szCs w:val="21"/>
                      <w:u w:val="single"/>
                    </w:rPr>
                    <w:t>废气</w:t>
                  </w:r>
                </w:p>
              </w:tc>
              <w:tc>
                <w:tcPr>
                  <w:tcW w:w="1273" w:type="dxa"/>
                  <w:vAlign w:val="center"/>
                </w:tcPr>
                <w:p>
                  <w:pPr>
                    <w:widowControl/>
                    <w:spacing w:line="0" w:lineRule="atLeast"/>
                    <w:jc w:val="center"/>
                    <w:rPr>
                      <w:rFonts w:hAnsi="宋体" w:cs="宋体"/>
                      <w:i/>
                      <w:iCs/>
                      <w:szCs w:val="21"/>
                      <w:u w:val="single"/>
                    </w:rPr>
                  </w:pPr>
                  <w:r>
                    <w:rPr>
                      <w:rFonts w:hint="eastAsia" w:ascii="宋体" w:hAnsi="宋体" w:cs="宋体"/>
                      <w:i/>
                      <w:iCs/>
                      <w:color w:val="000000"/>
                      <w:kern w:val="0"/>
                      <w:szCs w:val="21"/>
                      <w:u w:val="single"/>
                    </w:rPr>
                    <w:t>泄露</w:t>
                  </w:r>
                </w:p>
              </w:tc>
              <w:tc>
                <w:tcPr>
                  <w:tcW w:w="1622" w:type="dxa"/>
                  <w:vAlign w:val="center"/>
                </w:tcPr>
                <w:p>
                  <w:pPr>
                    <w:widowControl/>
                    <w:spacing w:line="0" w:lineRule="atLeast"/>
                    <w:jc w:val="center"/>
                    <w:rPr>
                      <w:rFonts w:hAnsi="宋体" w:cs="宋体"/>
                      <w:i/>
                      <w:iCs/>
                      <w:szCs w:val="21"/>
                      <w:u w:val="single"/>
                    </w:rPr>
                  </w:pPr>
                  <w:r>
                    <w:rPr>
                      <w:rFonts w:hint="eastAsia" w:ascii="宋体" w:hAnsi="宋体" w:cs="宋体"/>
                      <w:i/>
                      <w:iCs/>
                      <w:color w:val="000000"/>
                      <w:kern w:val="0"/>
                      <w:szCs w:val="21"/>
                      <w:u w:val="single"/>
                    </w:rPr>
                    <w:t>设备故障。</w:t>
                  </w:r>
                </w:p>
              </w:tc>
              <w:tc>
                <w:tcPr>
                  <w:tcW w:w="690" w:type="dxa"/>
                  <w:vAlign w:val="center"/>
                </w:tcPr>
                <w:p>
                  <w:pPr>
                    <w:widowControl/>
                    <w:spacing w:line="0" w:lineRule="atLeast"/>
                    <w:jc w:val="center"/>
                    <w:rPr>
                      <w:rFonts w:ascii="宋体" w:hAnsi="宋体" w:cs="宋体"/>
                      <w:i/>
                      <w:iCs/>
                      <w:szCs w:val="21"/>
                      <w:u w:val="single"/>
                    </w:rPr>
                  </w:pPr>
                  <w:r>
                    <w:rPr>
                      <w:rFonts w:hint="eastAsia" w:ascii="宋体" w:hAnsi="宋体" w:cs="宋体"/>
                      <w:i/>
                      <w:iCs/>
                      <w:color w:val="000000"/>
                      <w:kern w:val="0"/>
                      <w:szCs w:val="21"/>
                      <w:u w:val="single"/>
                    </w:rPr>
                    <w:t>扩散</w:t>
                  </w:r>
                </w:p>
              </w:tc>
              <w:tc>
                <w:tcPr>
                  <w:tcW w:w="885" w:type="dxa"/>
                  <w:vAlign w:val="center"/>
                </w:tcPr>
                <w:p>
                  <w:pPr>
                    <w:pStyle w:val="16"/>
                    <w:spacing w:after="0" w:line="0" w:lineRule="atLeast"/>
                    <w:jc w:val="center"/>
                    <w:rPr>
                      <w:rFonts w:hAnsi="宋体" w:cs="宋体"/>
                      <w:i/>
                      <w:iCs/>
                      <w:szCs w:val="21"/>
                      <w:u w:val="single"/>
                    </w:rPr>
                  </w:pPr>
                </w:p>
              </w:tc>
              <w:tc>
                <w:tcPr>
                  <w:tcW w:w="1003" w:type="dxa"/>
                  <w:vAlign w:val="center"/>
                </w:tcPr>
                <w:p>
                  <w:pPr>
                    <w:pStyle w:val="16"/>
                    <w:spacing w:after="0" w:line="0" w:lineRule="atLeast"/>
                    <w:jc w:val="center"/>
                    <w:rPr>
                      <w:rFonts w:hAnsi="宋体" w:cs="宋体"/>
                      <w:i/>
                      <w:iCs/>
                      <w:szCs w:val="21"/>
                      <w:u w:val="single"/>
                    </w:rPr>
                  </w:pPr>
                  <w:r>
                    <w:rPr>
                      <w:rFonts w:hint="eastAsia" w:hAnsi="宋体" w:cs="宋体"/>
                      <w:i/>
                      <w:iCs/>
                      <w:szCs w:val="21"/>
                      <w:u w:val="single"/>
                    </w:rPr>
                    <w:t>/</w:t>
                  </w:r>
                </w:p>
              </w:tc>
            </w:tr>
          </w:tbl>
          <w:p>
            <w:pPr>
              <w:widowControl/>
              <w:spacing w:line="360" w:lineRule="auto"/>
              <w:ind w:left="420" w:leftChars="200"/>
              <w:rPr>
                <w:rFonts w:ascii="宋体" w:hAnsi="宋体" w:cs="宋体"/>
                <w:i/>
                <w:iCs/>
                <w:sz w:val="24"/>
                <w:u w:val="single"/>
              </w:rPr>
            </w:pPr>
            <w:r>
              <w:rPr>
                <w:rFonts w:hint="eastAsia"/>
                <w:i/>
                <w:iCs/>
                <w:u w:val="single"/>
              </w:rPr>
              <w:t>（4）</w:t>
            </w:r>
            <w:r>
              <w:rPr>
                <w:rFonts w:hint="eastAsia" w:ascii="宋体" w:hAnsi="宋体" w:cs="宋体"/>
                <w:i/>
                <w:iCs/>
                <w:color w:val="000000"/>
                <w:kern w:val="0"/>
                <w:sz w:val="24"/>
                <w:u w:val="single"/>
              </w:rPr>
              <w:t>环境风险分析</w:t>
            </w:r>
          </w:p>
          <w:p>
            <w:pPr>
              <w:widowControl/>
              <w:spacing w:line="360" w:lineRule="auto"/>
              <w:ind w:firstLine="480" w:firstLineChars="200"/>
              <w:rPr>
                <w:rFonts w:ascii="宋体" w:hAnsi="宋体" w:cs="宋体"/>
                <w:i/>
                <w:iCs/>
                <w:color w:val="000000"/>
                <w:kern w:val="0"/>
                <w:sz w:val="24"/>
                <w:u w:val="single"/>
              </w:rPr>
            </w:pPr>
            <w:r>
              <w:rPr>
                <w:rFonts w:ascii="宋体" w:hAnsi="宋体" w:cs="宋体"/>
                <w:i/>
                <w:iCs/>
                <w:color w:val="000000"/>
                <w:kern w:val="0"/>
                <w:sz w:val="24"/>
                <w:u w:val="single"/>
              </w:rPr>
              <w:t>①</w:t>
            </w:r>
            <w:r>
              <w:rPr>
                <w:rFonts w:hint="eastAsia" w:ascii="宋体" w:hAnsi="宋体" w:cs="宋体"/>
                <w:i/>
                <w:iCs/>
                <w:color w:val="000000"/>
                <w:kern w:val="0"/>
                <w:sz w:val="24"/>
                <w:u w:val="single"/>
              </w:rPr>
              <w:t xml:space="preserve">对大气造成的环境影响 </w:t>
            </w:r>
          </w:p>
          <w:p>
            <w:pPr>
              <w:widowControl/>
              <w:spacing w:line="360" w:lineRule="auto"/>
              <w:ind w:firstLine="480" w:firstLineChars="200"/>
              <w:rPr>
                <w:rFonts w:ascii="宋体" w:hAnsi="宋体" w:cs="宋体"/>
                <w:i/>
                <w:iCs/>
                <w:color w:val="000000"/>
                <w:kern w:val="0"/>
                <w:sz w:val="24"/>
                <w:u w:val="single"/>
              </w:rPr>
            </w:pPr>
            <w:r>
              <w:rPr>
                <w:rFonts w:hint="eastAsia" w:ascii="宋体" w:hAnsi="宋体" w:cs="宋体"/>
                <w:i/>
                <w:iCs/>
                <w:color w:val="000000"/>
                <w:kern w:val="0"/>
                <w:sz w:val="24"/>
                <w:u w:val="single"/>
              </w:rPr>
              <w:t>本项目废矿物油与含矿物油废物（汽油、柴油、发动机机油等）泄露遇明火可能引发火灾、爆炸，产生的伴生/次生污染物将对大气环境造成不利影响；当活性炭处理装置、布袋除尘器处理装置失效时，非甲烷总烃、硫酸雾或粉尘排放浓度超标，也会对大气环境造成不利影响。</w:t>
            </w:r>
          </w:p>
          <w:p>
            <w:pPr>
              <w:widowControl/>
              <w:spacing w:line="360" w:lineRule="auto"/>
              <w:ind w:firstLine="480" w:firstLineChars="200"/>
              <w:rPr>
                <w:rFonts w:ascii="宋体" w:hAnsi="宋体" w:cs="宋体"/>
                <w:i/>
                <w:iCs/>
                <w:color w:val="000000"/>
                <w:kern w:val="0"/>
                <w:sz w:val="24"/>
                <w:u w:val="single"/>
              </w:rPr>
            </w:pPr>
            <w:r>
              <w:rPr>
                <w:rFonts w:ascii="宋体" w:hAnsi="宋体" w:cs="宋体"/>
                <w:i/>
                <w:iCs/>
                <w:color w:val="000000"/>
                <w:kern w:val="0"/>
                <w:sz w:val="24"/>
                <w:u w:val="single"/>
              </w:rPr>
              <w:t>②</w:t>
            </w:r>
            <w:r>
              <w:rPr>
                <w:rFonts w:hint="eastAsia" w:ascii="宋体" w:hAnsi="宋体" w:cs="宋体"/>
                <w:i/>
                <w:iCs/>
                <w:color w:val="000000"/>
                <w:kern w:val="0"/>
                <w:sz w:val="24"/>
                <w:u w:val="single"/>
              </w:rPr>
              <w:t xml:space="preserve">对地表水造成的环境影响 </w:t>
            </w:r>
          </w:p>
          <w:p>
            <w:pPr>
              <w:widowControl/>
              <w:spacing w:line="360" w:lineRule="auto"/>
              <w:ind w:firstLine="480" w:firstLineChars="200"/>
              <w:rPr>
                <w:rFonts w:ascii="宋体" w:hAnsi="宋体" w:cs="宋体"/>
                <w:i/>
                <w:iCs/>
                <w:color w:val="000000"/>
                <w:kern w:val="0"/>
                <w:sz w:val="24"/>
                <w:u w:val="single"/>
              </w:rPr>
            </w:pPr>
            <w:r>
              <w:rPr>
                <w:rFonts w:hint="eastAsia" w:ascii="宋体" w:hAnsi="宋体" w:cs="宋体"/>
                <w:i/>
                <w:iCs/>
                <w:color w:val="000000"/>
                <w:kern w:val="0"/>
                <w:sz w:val="24"/>
                <w:u w:val="single"/>
              </w:rPr>
              <w:t>本项目含油废水和初期雨水未能有效收集时，初期污染雨水暂存至污水收集池，事故废水暂存于事故应急池，不会外排进入地表水体。油类物质、电瓶废酸液泄漏可能导致对地下水、土壤环境造成污染。</w:t>
            </w:r>
          </w:p>
          <w:p>
            <w:pPr>
              <w:widowControl/>
              <w:spacing w:line="360" w:lineRule="auto"/>
              <w:ind w:firstLine="480" w:firstLineChars="200"/>
              <w:rPr>
                <w:rFonts w:ascii="宋体" w:hAnsi="宋体" w:cs="宋体"/>
                <w:i/>
                <w:iCs/>
                <w:color w:val="000000"/>
                <w:kern w:val="0"/>
                <w:sz w:val="24"/>
                <w:u w:val="single"/>
              </w:rPr>
            </w:pPr>
            <w:r>
              <w:rPr>
                <w:rFonts w:ascii="宋体" w:hAnsi="宋体" w:cs="宋体"/>
                <w:i/>
                <w:iCs/>
                <w:color w:val="000000"/>
                <w:kern w:val="0"/>
                <w:sz w:val="24"/>
                <w:u w:val="single"/>
              </w:rPr>
              <w:t>③</w:t>
            </w:r>
            <w:r>
              <w:rPr>
                <w:rFonts w:hint="eastAsia" w:ascii="宋体" w:hAnsi="宋体" w:cs="宋体"/>
                <w:i/>
                <w:iCs/>
                <w:color w:val="000000"/>
                <w:kern w:val="0"/>
                <w:sz w:val="24"/>
                <w:u w:val="single"/>
              </w:rPr>
              <w:t xml:space="preserve">对地下水、土壤造成的环境影响 </w:t>
            </w:r>
          </w:p>
          <w:p>
            <w:pPr>
              <w:widowControl/>
              <w:spacing w:line="360" w:lineRule="auto"/>
              <w:ind w:firstLine="480" w:firstLineChars="200"/>
              <w:rPr>
                <w:rFonts w:ascii="宋体" w:hAnsi="宋体" w:cs="宋体"/>
                <w:i/>
                <w:iCs/>
                <w:sz w:val="24"/>
                <w:u w:val="single"/>
              </w:rPr>
            </w:pPr>
            <w:r>
              <w:rPr>
                <w:rFonts w:hint="eastAsia" w:ascii="宋体" w:hAnsi="宋体" w:cs="宋体"/>
                <w:i/>
                <w:iCs/>
                <w:color w:val="000000"/>
                <w:kern w:val="0"/>
                <w:sz w:val="24"/>
                <w:u w:val="single"/>
              </w:rPr>
              <w:t xml:space="preserve">厂区按照《报废机动车拆解企业污染控制技术规范》(HJ348-2022)和厂区 </w:t>
            </w:r>
          </w:p>
          <w:p>
            <w:pPr>
              <w:widowControl/>
              <w:spacing w:line="360" w:lineRule="auto"/>
              <w:rPr>
                <w:rFonts w:ascii="宋体" w:hAnsi="宋体" w:cs="宋体"/>
                <w:i/>
                <w:iCs/>
                <w:sz w:val="24"/>
                <w:u w:val="single"/>
              </w:rPr>
            </w:pPr>
            <w:r>
              <w:rPr>
                <w:rFonts w:hint="eastAsia" w:ascii="宋体" w:hAnsi="宋体" w:cs="宋体"/>
                <w:i/>
                <w:iCs/>
                <w:color w:val="000000"/>
                <w:kern w:val="0"/>
                <w:sz w:val="24"/>
                <w:u w:val="single"/>
              </w:rPr>
              <w:t xml:space="preserve">防渗要求进行设计和建造，正常情况下，不会对地下水、土壤产生影响。当渗漏 </w:t>
            </w:r>
          </w:p>
          <w:p>
            <w:pPr>
              <w:widowControl/>
              <w:spacing w:line="360" w:lineRule="auto"/>
              <w:rPr>
                <w:rFonts w:ascii="宋体" w:hAnsi="宋体" w:cs="宋体"/>
                <w:i/>
                <w:iCs/>
                <w:sz w:val="24"/>
                <w:u w:val="single"/>
              </w:rPr>
            </w:pPr>
            <w:r>
              <w:rPr>
                <w:rFonts w:hint="eastAsia" w:ascii="宋体" w:hAnsi="宋体" w:cs="宋体"/>
                <w:i/>
                <w:iCs/>
                <w:color w:val="000000"/>
                <w:kern w:val="0"/>
                <w:sz w:val="24"/>
                <w:u w:val="single"/>
              </w:rPr>
              <w:t xml:space="preserve">液发生泄漏遇防渗层出现破损时，才有可能通过渗透、吸收等途径进入地下水、 </w:t>
            </w:r>
          </w:p>
          <w:p>
            <w:pPr>
              <w:widowControl/>
              <w:spacing w:line="360" w:lineRule="auto"/>
              <w:rPr>
                <w:rFonts w:ascii="宋体" w:hAnsi="宋体" w:cs="宋体"/>
                <w:i/>
                <w:iCs/>
                <w:sz w:val="24"/>
                <w:u w:val="single"/>
              </w:rPr>
            </w:pPr>
            <w:r>
              <w:rPr>
                <w:rFonts w:hint="eastAsia" w:ascii="宋体" w:hAnsi="宋体" w:cs="宋体"/>
                <w:i/>
                <w:iCs/>
                <w:color w:val="000000"/>
                <w:kern w:val="0"/>
                <w:sz w:val="24"/>
                <w:u w:val="single"/>
              </w:rPr>
              <w:t>土壤，造成地下水、土壤环境的不利影响。</w:t>
            </w:r>
          </w:p>
          <w:p>
            <w:pPr>
              <w:spacing w:line="360" w:lineRule="auto"/>
              <w:ind w:firstLine="480" w:firstLineChars="200"/>
              <w:rPr>
                <w:i/>
                <w:iCs/>
                <w:sz w:val="24"/>
                <w:u w:val="single"/>
              </w:rPr>
            </w:pPr>
            <w:r>
              <w:rPr>
                <w:rFonts w:hint="eastAsia"/>
                <w:i/>
                <w:iCs/>
                <w:sz w:val="24"/>
                <w:u w:val="single"/>
              </w:rPr>
              <w:t>（5</w:t>
            </w:r>
            <w:r>
              <w:rPr>
                <w:i/>
                <w:iCs/>
                <w:sz w:val="24"/>
                <w:u w:val="single"/>
              </w:rPr>
              <w:t>）风险防范措施及应急预案</w:t>
            </w:r>
          </w:p>
          <w:p>
            <w:pPr>
              <w:widowControl/>
              <w:spacing w:line="360" w:lineRule="auto"/>
              <w:ind w:firstLine="480" w:firstLineChars="200"/>
              <w:jc w:val="left"/>
              <w:rPr>
                <w:rFonts w:ascii="宋体" w:hAnsi="宋体" w:cs="宋体"/>
                <w:i/>
                <w:iCs/>
                <w:sz w:val="24"/>
                <w:u w:val="single"/>
              </w:rPr>
            </w:pPr>
            <w:r>
              <w:rPr>
                <w:rFonts w:hint="eastAsia" w:ascii="宋体" w:hAnsi="宋体" w:cs="宋体"/>
                <w:i/>
                <w:iCs/>
                <w:kern w:val="0"/>
                <w:sz w:val="24"/>
                <w:u w:val="single"/>
              </w:rPr>
              <w:t>由于环境风险具有突发性和短暂性及危害较大等特点，必须采取相应有效预防措施加以防范，加强控制和管理，杜绝、减轻和避免环境风险。为了防止风险事故对周边环境造成影响，应严格按照相关要求进行设计与施工，同时项目还应加强安全管理。</w:t>
            </w:r>
          </w:p>
          <w:p>
            <w:pPr>
              <w:widowControl/>
              <w:spacing w:line="360" w:lineRule="auto"/>
              <w:ind w:firstLine="480" w:firstLineChars="200"/>
              <w:jc w:val="left"/>
              <w:rPr>
                <w:rFonts w:ascii="宋体" w:hAnsi="宋体" w:cs="宋体"/>
                <w:i/>
                <w:iCs/>
                <w:sz w:val="24"/>
                <w:u w:val="single"/>
              </w:rPr>
            </w:pPr>
            <w:r>
              <w:rPr>
                <w:rFonts w:hint="eastAsia" w:ascii="宋体" w:hAnsi="宋体" w:cs="宋体"/>
                <w:i/>
                <w:iCs/>
                <w:kern w:val="0"/>
                <w:sz w:val="24"/>
                <w:u w:val="single"/>
              </w:rPr>
              <w:t xml:space="preserve">①废油液发生泄漏，火灾、爆炸等引发的伴生/次生污染物排放 </w:t>
            </w:r>
          </w:p>
          <w:p>
            <w:pPr>
              <w:widowControl/>
              <w:spacing w:line="360" w:lineRule="auto"/>
              <w:ind w:firstLine="480" w:firstLineChars="200"/>
              <w:jc w:val="left"/>
              <w:rPr>
                <w:rFonts w:ascii="宋体" w:hAnsi="宋体" w:cs="宋体"/>
                <w:i/>
                <w:iCs/>
                <w:sz w:val="24"/>
                <w:u w:val="single"/>
              </w:rPr>
            </w:pPr>
            <w:r>
              <w:rPr>
                <w:rFonts w:hint="eastAsia" w:ascii="宋体" w:hAnsi="宋体" w:cs="宋体"/>
                <w:i/>
                <w:iCs/>
                <w:kern w:val="0"/>
                <w:sz w:val="24"/>
                <w:u w:val="single"/>
              </w:rPr>
              <w:t xml:space="preserve">A、泄漏应急处理措施 </w:t>
            </w:r>
          </w:p>
          <w:p>
            <w:pPr>
              <w:widowControl/>
              <w:spacing w:line="360" w:lineRule="auto"/>
              <w:ind w:firstLine="480" w:firstLineChars="200"/>
              <w:jc w:val="left"/>
              <w:rPr>
                <w:rFonts w:ascii="宋体" w:hAnsi="宋体" w:cs="宋体"/>
                <w:i/>
                <w:iCs/>
                <w:kern w:val="0"/>
                <w:sz w:val="24"/>
                <w:u w:val="single"/>
              </w:rPr>
            </w:pPr>
            <w:r>
              <w:rPr>
                <w:rFonts w:hint="eastAsia" w:ascii="宋体" w:hAnsi="宋体" w:cs="宋体"/>
                <w:i/>
                <w:iCs/>
                <w:kern w:val="0"/>
                <w:sz w:val="24"/>
                <w:u w:val="single"/>
              </w:rPr>
              <w:t>泄漏物质封堵：</w:t>
            </w:r>
            <w:r>
              <w:rPr>
                <w:rFonts w:ascii="宋体" w:hAnsi="宋体" w:cs="宋体"/>
                <w:i/>
                <w:iCs/>
                <w:kern w:val="0"/>
                <w:sz w:val="24"/>
                <w:u w:val="single"/>
              </w:rPr>
              <w:t>厂区危废贮存库、拆解作业区常备防渗沙袋、吸油毡、塑料封堵膜、便携式导流软管、应急耐油收集桶；一旦发生储油桶、废液容器破损泄漏，第一时间在泄漏点下游布设封堵沙袋，限制液体扩散范围，同步启动导流收集，最大限度缩小污染影响范围。废铅酸蓄电池电解液、废防冻液、制动液发生泄漏时，参照上述封堵模式分区收容，不同废液严禁混合收集，分类装入对应密闭容器处置。</w:t>
            </w:r>
          </w:p>
          <w:p>
            <w:pPr>
              <w:widowControl/>
              <w:spacing w:line="360" w:lineRule="auto"/>
              <w:ind w:firstLine="480" w:firstLineChars="200"/>
              <w:jc w:val="left"/>
              <w:rPr>
                <w:rFonts w:ascii="宋体" w:hAnsi="宋体" w:cs="宋体"/>
                <w:i/>
                <w:iCs/>
                <w:sz w:val="24"/>
                <w:u w:val="single"/>
              </w:rPr>
            </w:pPr>
            <w:r>
              <w:rPr>
                <w:rFonts w:hint="eastAsia" w:ascii="宋体" w:hAnsi="宋体" w:cs="宋体"/>
                <w:i/>
                <w:iCs/>
                <w:kern w:val="0"/>
                <w:sz w:val="24"/>
                <w:u w:val="single"/>
              </w:rPr>
              <w:t xml:space="preserve">应急处理：迅速撤离泄漏污染区人员至安全区，并进行隔离，严格限制出入，切断火源。建议应急处理人员戴自给正压式呼吸器，穿防静电工作服。尽可能切断泄漏源，防止流入下水道等限制空间。 </w:t>
            </w:r>
          </w:p>
          <w:p>
            <w:pPr>
              <w:widowControl/>
              <w:spacing w:line="360" w:lineRule="auto"/>
              <w:ind w:firstLine="480" w:firstLineChars="200"/>
              <w:jc w:val="left"/>
              <w:rPr>
                <w:rFonts w:ascii="宋体" w:hAnsi="宋体" w:cs="宋体"/>
                <w:i/>
                <w:iCs/>
                <w:kern w:val="0"/>
                <w:sz w:val="24"/>
                <w:u w:val="single"/>
              </w:rPr>
            </w:pPr>
            <w:r>
              <w:rPr>
                <w:rFonts w:hint="eastAsia" w:ascii="宋体" w:hAnsi="宋体" w:cs="宋体"/>
                <w:i/>
                <w:iCs/>
                <w:kern w:val="0"/>
                <w:sz w:val="24"/>
                <w:u w:val="single"/>
              </w:rPr>
              <w:t>小量泄漏：</w:t>
            </w:r>
            <w:r>
              <w:rPr>
                <w:rFonts w:ascii="宋体" w:hAnsi="宋体" w:cs="宋体"/>
                <w:i/>
                <w:iCs/>
                <w:kern w:val="0"/>
                <w:sz w:val="24"/>
                <w:u w:val="single"/>
              </w:rPr>
              <w:t>使用砂土、蛭石、吸油毡、围油栏等惰性 / 吸油材料吸附收容泄漏油液；严禁就地焚烧吸附沾染油品的物料，所有吸附收集后的含油物资密闭收集，按危险废物委托处置。</w:t>
            </w:r>
          </w:p>
          <w:p>
            <w:pPr>
              <w:widowControl/>
              <w:spacing w:line="360" w:lineRule="auto"/>
              <w:ind w:firstLine="480" w:firstLineChars="200"/>
              <w:jc w:val="left"/>
              <w:rPr>
                <w:rFonts w:ascii="宋体" w:hAnsi="宋体" w:cs="宋体"/>
                <w:i/>
                <w:iCs/>
                <w:kern w:val="0"/>
                <w:sz w:val="24"/>
                <w:u w:val="single"/>
              </w:rPr>
            </w:pPr>
            <w:r>
              <w:rPr>
                <w:rFonts w:hint="eastAsia" w:ascii="宋体" w:hAnsi="宋体" w:cs="宋体"/>
                <w:i/>
                <w:iCs/>
                <w:kern w:val="0"/>
                <w:sz w:val="24"/>
                <w:u w:val="single"/>
              </w:rPr>
              <w:t>大量泄漏：</w:t>
            </w:r>
            <w:r>
              <w:rPr>
                <w:rFonts w:ascii="宋体" w:hAnsi="宋体" w:cs="宋体"/>
                <w:i/>
                <w:iCs/>
                <w:kern w:val="0"/>
                <w:sz w:val="24"/>
                <w:u w:val="single"/>
              </w:rPr>
              <w:t>立即使用防渗沙袋构筑多级临时封堵围堤，阻断物料漫流；采用泡沫覆盖液面抑制油气挥发，降低蒸气灾害。充分利用危废库、拆解区永久性防渗围堰、导流沟，将泄漏废液导流汇入厂区 40m³ 应急收集池暂存。收容的泄漏油液使用密闭耐油桶收集回收；被污染砂土、吸附材料全部密闭封装，作为危险废物处置。若渗漏已经造成地面土壤污染，应对污染土壤进行挖掘换填，杜绝持续性土壤、地下水污染。</w:t>
            </w:r>
          </w:p>
          <w:p>
            <w:pPr>
              <w:widowControl/>
              <w:spacing w:line="360" w:lineRule="auto"/>
              <w:ind w:firstLine="480" w:firstLineChars="200"/>
              <w:jc w:val="left"/>
              <w:rPr>
                <w:rFonts w:ascii="宋体" w:hAnsi="宋体" w:cs="宋体"/>
                <w:i/>
                <w:iCs/>
                <w:sz w:val="24"/>
                <w:u w:val="single"/>
              </w:rPr>
            </w:pPr>
            <w:bookmarkStart w:id="11" w:name="OLE_LINK9"/>
            <w:r>
              <w:rPr>
                <w:rFonts w:hint="eastAsia" w:ascii="宋体" w:hAnsi="宋体" w:cs="宋体"/>
                <w:i/>
                <w:iCs/>
                <w:kern w:val="0"/>
                <w:sz w:val="24"/>
                <w:u w:val="single"/>
              </w:rPr>
              <w:t xml:space="preserve">B、火灾应急处理措施 </w:t>
            </w:r>
          </w:p>
          <w:p>
            <w:pPr>
              <w:widowControl/>
              <w:spacing w:line="360" w:lineRule="auto"/>
              <w:ind w:firstLine="480" w:firstLineChars="200"/>
              <w:jc w:val="left"/>
              <w:rPr>
                <w:rFonts w:ascii="宋体" w:hAnsi="宋体" w:cs="宋体"/>
                <w:i/>
                <w:iCs/>
                <w:kern w:val="0"/>
                <w:sz w:val="24"/>
                <w:u w:val="single"/>
              </w:rPr>
            </w:pPr>
            <w:r>
              <w:rPr>
                <w:rFonts w:ascii="宋体" w:hAnsi="宋体" w:cs="宋体"/>
                <w:i/>
                <w:iCs/>
                <w:kern w:val="0"/>
                <w:sz w:val="24"/>
                <w:u w:val="single"/>
              </w:rPr>
              <w:t>厂区一旦发生火灾，现场人员第一时间拨打火警电话报警；同时迅速切断区域内油料输送、液体危废容器阀门，隔离可燃危险物料，疏散无关人员并设置警戒区域。针对油品、有机废液等可燃液体初起火灾，在岗人员遵循就近原则优先采用干粉灭火器、泡沫灭火器开展灭火；严禁使用直流水冲击燃烧液面，防止可燃液体流淌形成次生流淌火。</w:t>
            </w:r>
          </w:p>
          <w:p>
            <w:pPr>
              <w:widowControl/>
              <w:spacing w:line="360" w:lineRule="auto"/>
              <w:ind w:firstLine="480" w:firstLineChars="200"/>
              <w:jc w:val="left"/>
              <w:rPr>
                <w:rFonts w:ascii="宋体" w:hAnsi="宋体" w:cs="宋体"/>
                <w:i/>
                <w:iCs/>
                <w:kern w:val="0"/>
                <w:sz w:val="24"/>
                <w:u w:val="single"/>
              </w:rPr>
            </w:pPr>
            <w:r>
              <w:rPr>
                <w:rFonts w:ascii="宋体" w:hAnsi="宋体" w:cs="宋体"/>
                <w:i/>
                <w:iCs/>
                <w:kern w:val="0"/>
                <w:sz w:val="24"/>
                <w:u w:val="single"/>
              </w:rPr>
              <w:t>火灾扑救产生消防洗消废水时，立即利用防渗围堰、导流沟、防渗沙袋构筑临时封堵设施，将消防废水全部截流导入厂区事故应急收集池内贮存，严禁消防废水漫流、直接排入雨水管网或外环境。</w:t>
            </w:r>
          </w:p>
          <w:p>
            <w:pPr>
              <w:widowControl/>
              <w:spacing w:line="360" w:lineRule="auto"/>
              <w:ind w:firstLine="480" w:firstLineChars="200"/>
              <w:jc w:val="left"/>
              <w:rPr>
                <w:rFonts w:ascii="宋体" w:hAnsi="宋体" w:cs="宋体"/>
                <w:i/>
                <w:iCs/>
                <w:kern w:val="0"/>
                <w:sz w:val="24"/>
                <w:u w:val="single"/>
              </w:rPr>
            </w:pPr>
            <w:r>
              <w:rPr>
                <w:rFonts w:ascii="宋体" w:hAnsi="宋体" w:cs="宋体"/>
                <w:i/>
                <w:iCs/>
                <w:kern w:val="0"/>
                <w:sz w:val="24"/>
                <w:u w:val="single"/>
              </w:rPr>
              <w:t>事故应急池内收集的消防洗消废水沾染油料、化学品，属于危险废物，事故结束后委托具备资质单位处置。</w:t>
            </w:r>
          </w:p>
          <w:p>
            <w:pPr>
              <w:widowControl/>
              <w:spacing w:line="360" w:lineRule="auto"/>
              <w:ind w:firstLine="480" w:firstLineChars="200"/>
              <w:jc w:val="left"/>
              <w:rPr>
                <w:rFonts w:ascii="宋体" w:hAnsi="宋体" w:cs="宋体"/>
                <w:i/>
                <w:iCs/>
                <w:kern w:val="0"/>
                <w:sz w:val="24"/>
                <w:u w:val="single"/>
              </w:rPr>
            </w:pPr>
            <w:r>
              <w:rPr>
                <w:rFonts w:ascii="宋体" w:hAnsi="宋体" w:cs="宋体"/>
                <w:i/>
                <w:iCs/>
                <w:kern w:val="0"/>
                <w:sz w:val="24"/>
                <w:u w:val="single"/>
              </w:rPr>
              <w:t>若火情无法控制、消防废水存在溢出外泄风险时，现场负责人须第一时间向属地政府、生态环境主管部门报告，请求应急支援，全程配合相关部门开展后续应急处置、环境监测工作。</w:t>
            </w:r>
            <w:bookmarkEnd w:id="11"/>
          </w:p>
          <w:p>
            <w:pPr>
              <w:widowControl/>
              <w:spacing w:line="360" w:lineRule="auto"/>
              <w:ind w:firstLine="480" w:firstLineChars="200"/>
              <w:jc w:val="left"/>
              <w:rPr>
                <w:rFonts w:ascii="宋体" w:hAnsi="宋体" w:cs="宋体"/>
                <w:i/>
                <w:iCs/>
                <w:sz w:val="24"/>
                <w:u w:val="single"/>
              </w:rPr>
            </w:pPr>
            <w:r>
              <w:rPr>
                <w:rFonts w:hint="eastAsia" w:ascii="宋体" w:hAnsi="宋体" w:cs="宋体"/>
                <w:i/>
                <w:iCs/>
                <w:color w:val="000000"/>
                <w:kern w:val="0"/>
                <w:sz w:val="24"/>
                <w:u w:val="single"/>
              </w:rPr>
              <w:t xml:space="preserve">C、风险防范措施 </w:t>
            </w:r>
          </w:p>
          <w:p>
            <w:pPr>
              <w:widowControl/>
              <w:spacing w:line="360" w:lineRule="auto"/>
              <w:ind w:firstLine="480" w:firstLineChars="200"/>
              <w:jc w:val="left"/>
              <w:rPr>
                <w:rFonts w:ascii="宋体" w:hAnsi="宋体" w:cs="宋体"/>
                <w:i/>
                <w:iCs/>
                <w:sz w:val="24"/>
                <w:u w:val="single"/>
              </w:rPr>
            </w:pPr>
            <w:r>
              <w:rPr>
                <w:rFonts w:hint="eastAsia" w:ascii="宋体" w:hAnsi="宋体" w:cs="宋体"/>
                <w:i/>
                <w:iCs/>
                <w:color w:val="000000"/>
                <w:kern w:val="0"/>
                <w:sz w:val="24"/>
                <w:u w:val="single"/>
              </w:rPr>
              <w:t xml:space="preserve">1）规范作业，保证储存容器的完好。危废存放在架子上，贮存的危险废物不直接接触地面。设置液体导流沟，并设置液体收集桶对泄漏物料进行收集； </w:t>
            </w:r>
          </w:p>
          <w:p>
            <w:pPr>
              <w:widowControl/>
              <w:spacing w:line="360" w:lineRule="auto"/>
              <w:ind w:firstLine="480" w:firstLineChars="200"/>
              <w:jc w:val="left"/>
              <w:rPr>
                <w:rFonts w:ascii="宋体" w:hAnsi="宋体" w:cs="宋体"/>
                <w:i/>
                <w:iCs/>
                <w:sz w:val="24"/>
                <w:u w:val="single"/>
              </w:rPr>
            </w:pPr>
            <w:r>
              <w:rPr>
                <w:rFonts w:hint="eastAsia" w:ascii="宋体" w:hAnsi="宋体" w:cs="宋体"/>
                <w:i/>
                <w:iCs/>
                <w:color w:val="000000"/>
                <w:kern w:val="0"/>
                <w:sz w:val="24"/>
                <w:u w:val="single"/>
              </w:rPr>
              <w:t xml:space="preserve">2）作业区具有防渗地面和收集设施，地面符合GB50037的防油渗地面要求；企业内道路采取硬化措施，如出现破损及时维修； </w:t>
            </w:r>
          </w:p>
          <w:p>
            <w:pPr>
              <w:widowControl/>
              <w:spacing w:line="360" w:lineRule="auto"/>
              <w:ind w:firstLine="480" w:firstLineChars="200"/>
              <w:jc w:val="left"/>
              <w:rPr>
                <w:rFonts w:ascii="宋体" w:hAnsi="宋体" w:cs="宋体"/>
                <w:i/>
                <w:iCs/>
                <w:sz w:val="24"/>
                <w:u w:val="single"/>
              </w:rPr>
            </w:pPr>
            <w:r>
              <w:rPr>
                <w:rFonts w:hint="eastAsia" w:ascii="宋体" w:hAnsi="宋体" w:cs="宋体"/>
                <w:i/>
                <w:iCs/>
                <w:color w:val="000000"/>
                <w:kern w:val="0"/>
                <w:sz w:val="24"/>
                <w:u w:val="single"/>
              </w:rPr>
              <w:t xml:space="preserve">3）废液贮存区在总图布置上设计足够的防火距离，标识禁火等指示牌； </w:t>
            </w:r>
          </w:p>
          <w:p>
            <w:pPr>
              <w:widowControl/>
              <w:spacing w:line="360" w:lineRule="auto"/>
              <w:ind w:firstLine="480" w:firstLineChars="200"/>
              <w:jc w:val="left"/>
              <w:rPr>
                <w:rFonts w:ascii="宋体" w:hAnsi="宋体" w:cs="宋体"/>
                <w:i/>
                <w:iCs/>
                <w:sz w:val="24"/>
                <w:u w:val="single"/>
              </w:rPr>
            </w:pPr>
            <w:r>
              <w:rPr>
                <w:rFonts w:hint="eastAsia" w:ascii="宋体" w:hAnsi="宋体" w:cs="宋体"/>
                <w:i/>
                <w:iCs/>
                <w:color w:val="000000"/>
                <w:kern w:val="0"/>
                <w:sz w:val="24"/>
                <w:u w:val="single"/>
              </w:rPr>
              <w:t xml:space="preserve">4）配备相应的堵漏材料(沙袋、吸油毡等)、灭火器等应急物资； </w:t>
            </w:r>
          </w:p>
          <w:p>
            <w:pPr>
              <w:widowControl/>
              <w:spacing w:line="360" w:lineRule="auto"/>
              <w:ind w:firstLine="480" w:firstLineChars="200"/>
              <w:jc w:val="left"/>
              <w:rPr>
                <w:rFonts w:ascii="宋体" w:hAnsi="宋体" w:cs="宋体"/>
                <w:i/>
                <w:iCs/>
                <w:sz w:val="24"/>
                <w:u w:val="single"/>
              </w:rPr>
            </w:pPr>
            <w:r>
              <w:rPr>
                <w:rFonts w:hint="eastAsia" w:ascii="宋体" w:hAnsi="宋体" w:cs="宋体"/>
                <w:i/>
                <w:iCs/>
                <w:color w:val="000000"/>
                <w:kern w:val="0"/>
                <w:sz w:val="24"/>
                <w:u w:val="single"/>
              </w:rPr>
              <w:t xml:space="preserve">5）雨污水排放口设置截止阀，事故状态下，及时切断，防止事故废水流入外环境。 </w:t>
            </w:r>
          </w:p>
          <w:p>
            <w:pPr>
              <w:widowControl/>
              <w:spacing w:line="360" w:lineRule="auto"/>
              <w:ind w:firstLine="480" w:firstLineChars="200"/>
              <w:jc w:val="left"/>
              <w:rPr>
                <w:rFonts w:ascii="宋体" w:hAnsi="宋体" w:cs="宋体"/>
                <w:i/>
                <w:iCs/>
                <w:sz w:val="24"/>
                <w:u w:val="single"/>
              </w:rPr>
            </w:pPr>
            <w:r>
              <w:rPr>
                <w:rFonts w:hint="eastAsia" w:ascii="宋体" w:hAnsi="宋体" w:cs="宋体"/>
                <w:i/>
                <w:iCs/>
                <w:color w:val="000000"/>
                <w:kern w:val="0"/>
                <w:sz w:val="24"/>
                <w:u w:val="single"/>
              </w:rPr>
              <w:t xml:space="preserve">②硫酸(废铅酸蓄电池内)泄漏风险防范措施及应急要求 </w:t>
            </w:r>
          </w:p>
          <w:p>
            <w:pPr>
              <w:widowControl/>
              <w:spacing w:line="360" w:lineRule="auto"/>
              <w:ind w:firstLine="480" w:firstLineChars="200"/>
              <w:jc w:val="left"/>
              <w:rPr>
                <w:rFonts w:ascii="宋体" w:hAnsi="宋体" w:cs="宋体"/>
                <w:i/>
                <w:iCs/>
                <w:sz w:val="24"/>
                <w:u w:val="single"/>
              </w:rPr>
            </w:pPr>
            <w:r>
              <w:rPr>
                <w:rFonts w:hint="eastAsia" w:ascii="宋体" w:hAnsi="宋体" w:cs="宋体"/>
                <w:i/>
                <w:iCs/>
                <w:color w:val="000000"/>
                <w:kern w:val="0"/>
                <w:sz w:val="24"/>
                <w:u w:val="single"/>
              </w:rPr>
              <w:t xml:space="preserve">A、泄漏应急处理措施 </w:t>
            </w:r>
          </w:p>
          <w:p>
            <w:pPr>
              <w:widowControl/>
              <w:spacing w:line="360" w:lineRule="auto"/>
              <w:ind w:firstLine="480" w:firstLineChars="200"/>
              <w:jc w:val="left"/>
              <w:rPr>
                <w:rFonts w:ascii="宋体" w:hAnsi="宋体" w:cs="宋体"/>
                <w:i/>
                <w:iCs/>
                <w:sz w:val="24"/>
                <w:u w:val="single"/>
              </w:rPr>
            </w:pPr>
            <w:r>
              <w:rPr>
                <w:rFonts w:hint="eastAsia" w:ascii="宋体" w:hAnsi="宋体" w:cs="宋体"/>
                <w:i/>
                <w:iCs/>
                <w:color w:val="000000"/>
                <w:kern w:val="0"/>
                <w:sz w:val="24"/>
                <w:u w:val="single"/>
              </w:rPr>
              <w:t xml:space="preserve">应急处理：迅速撤离泄漏污染区人员至安全区，并进行隔离，严格限制出入，切断火源。建议应急处理人员戴自给正压式呼吸器，穿防酸碱工作服，不要直接接触泄漏物。尽可能切断泄漏源，防止流入下水道等限制空间。 </w:t>
            </w:r>
          </w:p>
          <w:p>
            <w:pPr>
              <w:widowControl/>
              <w:spacing w:line="360" w:lineRule="auto"/>
              <w:ind w:firstLine="480" w:firstLineChars="200"/>
              <w:jc w:val="left"/>
              <w:rPr>
                <w:rFonts w:ascii="宋体" w:hAnsi="宋体" w:cs="宋体"/>
                <w:i/>
                <w:iCs/>
                <w:sz w:val="24"/>
                <w:u w:val="single"/>
              </w:rPr>
            </w:pPr>
            <w:r>
              <w:rPr>
                <w:rFonts w:hint="eastAsia" w:ascii="宋体" w:hAnsi="宋体" w:cs="宋体"/>
                <w:i/>
                <w:iCs/>
                <w:color w:val="000000"/>
                <w:kern w:val="0"/>
                <w:sz w:val="24"/>
                <w:u w:val="single"/>
              </w:rPr>
              <w:t xml:space="preserve">小量泄漏：用砂土、干燥石灰或苏打灰混合。也可以用大量水冲洗，洗水放入废水系统或收集在应急池中委托处置。 </w:t>
            </w:r>
          </w:p>
          <w:p>
            <w:pPr>
              <w:widowControl/>
              <w:spacing w:line="360" w:lineRule="auto"/>
              <w:ind w:firstLine="480" w:firstLineChars="200"/>
              <w:jc w:val="left"/>
              <w:rPr>
                <w:rFonts w:ascii="宋体" w:hAnsi="宋体" w:cs="宋体"/>
                <w:i/>
                <w:iCs/>
                <w:color w:val="000000"/>
                <w:kern w:val="0"/>
                <w:sz w:val="24"/>
                <w:u w:val="single"/>
              </w:rPr>
            </w:pPr>
            <w:r>
              <w:rPr>
                <w:rFonts w:hint="eastAsia" w:ascii="宋体" w:hAnsi="宋体" w:cs="宋体"/>
                <w:i/>
                <w:iCs/>
                <w:color w:val="000000"/>
                <w:kern w:val="0"/>
                <w:sz w:val="24"/>
                <w:u w:val="single"/>
              </w:rPr>
              <w:t xml:space="preserve">大量泄漏：构筑围堰收容。用泡沫覆盖，降低蒸气灾害。用防爆泵转移至槽车或专用收集器内，交由有资质单位处置。 </w:t>
            </w:r>
          </w:p>
          <w:p>
            <w:pPr>
              <w:widowControl/>
              <w:spacing w:line="360" w:lineRule="auto"/>
              <w:ind w:firstLine="480" w:firstLineChars="200"/>
              <w:jc w:val="left"/>
              <w:rPr>
                <w:rFonts w:ascii="宋体" w:hAnsi="宋体" w:cs="宋体"/>
                <w:i/>
                <w:iCs/>
                <w:color w:val="000000"/>
                <w:kern w:val="0"/>
                <w:sz w:val="24"/>
                <w:u w:val="single"/>
              </w:rPr>
            </w:pPr>
            <w:r>
              <w:rPr>
                <w:rFonts w:hint="eastAsia" w:ascii="宋体" w:hAnsi="宋体" w:cs="宋体"/>
                <w:i/>
                <w:iCs/>
                <w:color w:val="000000"/>
                <w:kern w:val="0"/>
                <w:sz w:val="24"/>
                <w:u w:val="single"/>
              </w:rPr>
              <w:t>本项目废水</w:t>
            </w:r>
            <w:r>
              <w:rPr>
                <w:rFonts w:ascii="宋体" w:hAnsi="宋体" w:cs="宋体"/>
                <w:i/>
                <w:iCs/>
                <w:color w:val="000000"/>
                <w:kern w:val="0"/>
                <w:sz w:val="24"/>
                <w:u w:val="single"/>
              </w:rPr>
              <w:t>风险源主要为</w:t>
            </w:r>
            <w:r>
              <w:rPr>
                <w:rFonts w:hint="eastAsia" w:ascii="宋体" w:hAnsi="宋体" w:cs="宋体"/>
                <w:i/>
                <w:iCs/>
                <w:color w:val="000000"/>
                <w:kern w:val="0"/>
                <w:sz w:val="24"/>
                <w:u w:val="single"/>
              </w:rPr>
              <w:t>拆解车间内</w:t>
            </w:r>
            <w:r>
              <w:rPr>
                <w:rFonts w:ascii="宋体" w:hAnsi="宋体" w:cs="宋体"/>
                <w:i/>
                <w:iCs/>
                <w:color w:val="000000"/>
                <w:kern w:val="0"/>
                <w:sz w:val="24"/>
                <w:u w:val="single"/>
              </w:rPr>
              <w:t>废机油、柴油、铅酸蓄电池电解液泄漏、火灾次生消防废水。</w:t>
            </w:r>
            <w:r>
              <w:rPr>
                <w:rFonts w:hint="eastAsia" w:ascii="宋体" w:hAnsi="宋体" w:cs="宋体"/>
                <w:i/>
                <w:iCs/>
                <w:color w:val="000000"/>
                <w:kern w:val="0"/>
                <w:sz w:val="24"/>
                <w:u w:val="single"/>
              </w:rPr>
              <w:t>项目不进行露天作业。参照</w:t>
            </w:r>
            <w:r>
              <w:rPr>
                <w:rFonts w:ascii="宋体" w:hAnsi="宋体" w:cs="宋体"/>
                <w:i/>
                <w:iCs/>
                <w:color w:val="000000"/>
                <w:kern w:val="0"/>
                <w:sz w:val="24"/>
                <w:u w:val="single"/>
              </w:rPr>
              <w:t>HJ 169-2018《建设项目环境风险评价技术导则》、GB50483-2019《化工建设项目环境保护设计规范》、HJ 348-2022《报废机动车拆解企业污染控制技术规范》</w:t>
            </w:r>
            <w:r>
              <w:rPr>
                <w:rFonts w:hint="eastAsia" w:ascii="宋体" w:hAnsi="宋体" w:cs="宋体"/>
                <w:i/>
                <w:iCs/>
                <w:color w:val="000000"/>
                <w:kern w:val="0"/>
                <w:sz w:val="24"/>
                <w:u w:val="single"/>
              </w:rPr>
              <w:t>要求设置一座事故应急池。危废暂存间内油液类危废存放区设置托盘，危废暂存间设置高度不低于15cm的围堰，事故状态下泄漏油液、蓄电池稀硫酸废液、火灾产生的污染消防废水导入事故应急池，杜绝事故废水外流污染地表水、土壤及地下水。参照</w:t>
            </w:r>
            <w:r>
              <w:rPr>
                <w:rFonts w:ascii="宋体" w:hAnsi="宋体" w:cs="宋体"/>
                <w:i/>
                <w:iCs/>
                <w:color w:val="000000"/>
                <w:kern w:val="0"/>
                <w:sz w:val="24"/>
                <w:u w:val="single"/>
              </w:rPr>
              <w:t>GB50483</w:t>
            </w:r>
            <w:r>
              <w:rPr>
                <w:rFonts w:hint="eastAsia" w:ascii="宋体" w:hAnsi="宋体" w:cs="宋体"/>
                <w:i/>
                <w:iCs/>
                <w:color w:val="000000"/>
                <w:kern w:val="0"/>
                <w:sz w:val="24"/>
                <w:u w:val="single"/>
              </w:rPr>
              <w:t>对应急池有效容积进行核算：</w:t>
            </w:r>
          </w:p>
          <w:p>
            <w:pPr>
              <w:spacing w:before="120" w:after="120" w:line="288" w:lineRule="auto"/>
              <w:ind w:left="380" w:leftChars="181" w:firstLine="840" w:firstLineChars="400"/>
              <w:rPr>
                <w:rFonts w:ascii="宋体" w:hAnsi="宋体" w:cs="Arial"/>
                <w:i/>
                <w:iCs/>
                <w:sz w:val="22"/>
                <w:u w:val="single"/>
              </w:rPr>
            </w:pPr>
            <w:r>
              <w:rPr>
                <w:rFonts w:ascii="宋体" w:hAnsi="宋体" w:cs="Arial"/>
                <w:i/>
                <w:iCs/>
                <w:sz w:val="22"/>
                <w:u w:val="single"/>
              </w:rPr>
              <w:t>：最大可信事故泄漏液态物料体积（）；取单次最大泄漏油量 / 蓄电池电解液容积；</w:t>
            </w:r>
            <w:r>
              <w:rPr>
                <w:rFonts w:hint="eastAsia" w:ascii="宋体" w:hAnsi="宋体" w:cs="Arial"/>
                <w:i/>
                <w:iCs/>
                <w:sz w:val="22"/>
                <w:u w:val="single"/>
              </w:rPr>
              <w:t>取油液最大存储量1m</w:t>
            </w:r>
            <w:r>
              <w:rPr>
                <w:rFonts w:hint="eastAsia" w:ascii="宋体" w:hAnsi="宋体" w:cs="Arial"/>
                <w:i/>
                <w:iCs/>
                <w:sz w:val="22"/>
                <w:u w:val="single"/>
                <w:vertAlign w:val="superscript"/>
              </w:rPr>
              <w:t>3</w:t>
            </w:r>
            <w:r>
              <w:rPr>
                <w:rFonts w:hint="eastAsia" w:ascii="宋体" w:hAnsi="宋体" w:cs="Arial"/>
                <w:i/>
                <w:iCs/>
                <w:sz w:val="22"/>
                <w:u w:val="single"/>
              </w:rPr>
              <w:t>。</w:t>
            </w:r>
          </w:p>
          <w:p>
            <w:pPr>
              <w:spacing w:before="120" w:after="120" w:line="288" w:lineRule="auto"/>
              <w:ind w:left="380" w:leftChars="181"/>
              <w:rPr>
                <w:rFonts w:ascii="宋体" w:hAnsi="宋体" w:cs="Arial"/>
                <w:i/>
                <w:iCs/>
                <w:sz w:val="22"/>
                <w:u w:val="single"/>
              </w:rPr>
            </w:pPr>
            <w:r>
              <w:rPr>
                <w:rFonts w:ascii="宋体" w:hAnsi="宋体" w:cs="Arial"/>
                <w:i/>
                <w:iCs/>
                <w:sz w:val="22"/>
                <w:u w:val="single"/>
              </w:rPr>
              <w:t>：消防废水量（）；厂区无消火栓，使用</w:t>
            </w:r>
            <w:r>
              <w:rPr>
                <w:rFonts w:hint="eastAsia" w:ascii="宋体" w:hAnsi="宋体" w:cs="Arial"/>
                <w:i/>
                <w:iCs/>
                <w:sz w:val="22"/>
                <w:u w:val="single"/>
              </w:rPr>
              <w:t>干粉</w:t>
            </w:r>
            <w:r>
              <w:rPr>
                <w:rFonts w:ascii="宋体" w:hAnsi="宋体" w:cs="Arial"/>
                <w:i/>
                <w:iCs/>
                <w:sz w:val="22"/>
                <w:u w:val="single"/>
              </w:rPr>
              <w:t>灭火器不产生消防废水，取外来消防车辆产生消防废水，单次灭火产生水量</w:t>
            </w:r>
            <w:r>
              <w:rPr>
                <w:rFonts w:hint="eastAsia" w:ascii="宋体" w:hAnsi="宋体" w:cs="Arial"/>
                <w:i/>
                <w:iCs/>
                <w:sz w:val="22"/>
                <w:u w:val="single"/>
              </w:rPr>
              <w:t>15</w:t>
            </w:r>
            <w:r>
              <w:rPr>
                <w:rFonts w:ascii="宋体" w:hAnsi="宋体" w:cs="Arial"/>
                <w:i/>
                <w:iCs/>
                <w:sz w:val="22"/>
                <w:u w:val="single"/>
              </w:rPr>
              <w:t>m</w:t>
            </w:r>
            <w:r>
              <w:rPr>
                <w:rFonts w:hint="eastAsia" w:ascii="宋体" w:hAnsi="宋体" w:cs="Arial"/>
                <w:i/>
                <w:iCs/>
                <w:sz w:val="22"/>
                <w:u w:val="single"/>
                <w:vertAlign w:val="superscript"/>
              </w:rPr>
              <w:t>3</w:t>
            </w:r>
            <w:r>
              <w:rPr>
                <w:rFonts w:hint="eastAsia" w:ascii="宋体" w:hAnsi="宋体" w:cs="Arial"/>
                <w:i/>
                <w:iCs/>
                <w:sz w:val="22"/>
                <w:u w:val="single"/>
              </w:rPr>
              <w:t>/</w:t>
            </w:r>
            <w:r>
              <w:rPr>
                <w:rFonts w:ascii="宋体" w:hAnsi="宋体" w:cs="Arial"/>
                <w:i/>
                <w:iCs/>
                <w:sz w:val="22"/>
                <w:u w:val="single"/>
              </w:rPr>
              <w:t>次。</w:t>
            </w:r>
          </w:p>
          <w:p>
            <w:pPr>
              <w:spacing w:before="120" w:after="120" w:line="288" w:lineRule="auto"/>
              <w:ind w:left="380" w:leftChars="181"/>
              <w:rPr>
                <w:rFonts w:ascii="宋体" w:hAnsi="宋体" w:cs="Arial"/>
                <w:i/>
                <w:iCs/>
                <w:sz w:val="22"/>
                <w:u w:val="single"/>
              </w:rPr>
            </w:pPr>
            <w:r>
              <w:rPr>
                <w:rFonts w:ascii="宋体" w:hAnsi="宋体" w:cs="Arial"/>
                <w:i/>
                <w:iCs/>
                <w:sz w:val="22"/>
                <w:u w:val="single"/>
              </w:rPr>
              <w:t>：围堰、</w:t>
            </w:r>
            <w:r>
              <w:rPr>
                <w:rFonts w:hint="eastAsia" w:ascii="宋体" w:hAnsi="宋体" w:cs="Arial"/>
                <w:i/>
                <w:iCs/>
                <w:sz w:val="22"/>
                <w:u w:val="single"/>
              </w:rPr>
              <w:t>托盘</w:t>
            </w:r>
            <w:r>
              <w:rPr>
                <w:rFonts w:ascii="宋体" w:hAnsi="宋体" w:cs="Arial"/>
                <w:i/>
                <w:iCs/>
                <w:sz w:val="22"/>
                <w:u w:val="single"/>
              </w:rPr>
              <w:t>污沟可临时容纳液体容积（）；危废间围堰有效容纳容积为</w:t>
            </w:r>
            <w:r>
              <w:rPr>
                <w:rFonts w:hint="eastAsia" w:ascii="宋体" w:hAnsi="宋体" w:cs="Arial"/>
                <w:i/>
                <w:iCs/>
                <w:sz w:val="22"/>
                <w:u w:val="single"/>
              </w:rPr>
              <w:t>7.5</w:t>
            </w:r>
            <w:r>
              <w:rPr>
                <w:rFonts w:ascii="宋体" w:hAnsi="宋体" w:cs="Arial"/>
                <w:i/>
                <w:iCs/>
                <w:sz w:val="22"/>
                <w:u w:val="single"/>
              </w:rPr>
              <w:t>m</w:t>
            </w:r>
            <w:r>
              <w:rPr>
                <w:rFonts w:hint="eastAsia" w:ascii="宋体" w:hAnsi="宋体" w:cs="Arial"/>
                <w:i/>
                <w:iCs/>
                <w:sz w:val="22"/>
                <w:u w:val="single"/>
                <w:vertAlign w:val="superscript"/>
              </w:rPr>
              <w:t>3</w:t>
            </w:r>
            <w:r>
              <w:rPr>
                <w:rFonts w:ascii="宋体" w:hAnsi="宋体" w:cs="Arial"/>
                <w:i/>
                <w:iCs/>
                <w:sz w:val="22"/>
                <w:u w:val="single"/>
              </w:rPr>
              <w:t>。</w:t>
            </w:r>
          </w:p>
          <w:p>
            <w:pPr>
              <w:spacing w:before="120" w:after="120" w:line="288" w:lineRule="auto"/>
              <w:ind w:left="380" w:leftChars="181"/>
              <w:rPr>
                <w:rFonts w:ascii="宋体" w:hAnsi="宋体"/>
                <w:i/>
                <w:iCs/>
                <w:u w:val="single"/>
              </w:rPr>
            </w:pPr>
            <w:r>
              <w:rPr>
                <w:rFonts w:ascii="宋体" w:hAnsi="宋体" w:cs="Arial"/>
                <w:i/>
                <w:iCs/>
                <w:sz w:val="22"/>
                <w:u w:val="single"/>
              </w:rPr>
              <w:t>：事故时持续产生生产废水；本项目无连续生产废水，；</w:t>
            </w:r>
            <w:r>
              <w:rPr>
                <w:rFonts w:ascii="宋体" w:hAnsi="宋体" w:cs="Arial"/>
                <w:i/>
                <w:iCs/>
                <w:sz w:val="22"/>
                <w:u w:val="single"/>
              </w:rPr>
              <w:br/>
            </w:r>
            <w:r>
              <w:rPr>
                <w:rFonts w:ascii="宋体" w:hAnsi="宋体" w:cs="Arial"/>
                <w:i/>
                <w:iCs/>
                <w:sz w:val="22"/>
                <w:u w:val="single"/>
              </w:rPr>
              <w:t>：事故同步降雨汇入雨水量；车间内拆解区域封闭厂房，无露天汇水，。</w:t>
            </w:r>
          </w:p>
          <w:p>
            <w:pPr>
              <w:widowControl/>
              <w:spacing w:line="360" w:lineRule="auto"/>
              <w:ind w:firstLine="480" w:firstLineChars="200"/>
              <w:jc w:val="left"/>
              <w:rPr>
                <w:rFonts w:ascii="宋体" w:hAnsi="宋体" w:cs="宋体"/>
                <w:i/>
                <w:iCs/>
                <w:u w:val="single"/>
                <w:vertAlign w:val="superscript"/>
              </w:rPr>
            </w:pPr>
            <w:r>
              <w:rPr>
                <w:rFonts w:hint="eastAsia" w:ascii="宋体" w:hAnsi="宋体" w:cs="宋体"/>
                <w:i/>
                <w:iCs/>
                <w:sz w:val="24"/>
                <w:u w:val="single"/>
              </w:rPr>
              <w:t>经计算</w:t>
            </w:r>
            <w:r>
              <w:rPr>
                <w:rFonts w:hint="eastAsia" w:ascii="宋体" w:hAnsi="宋体" w:cs="宋体"/>
                <w:i/>
                <w:iCs/>
                <w:u w:val="single"/>
              </w:rPr>
              <w:t>=22.5m</w:t>
            </w:r>
            <w:r>
              <w:rPr>
                <w:rFonts w:hint="eastAsia" w:ascii="宋体" w:hAnsi="宋体" w:cs="宋体"/>
                <w:i/>
                <w:iCs/>
                <w:u w:val="single"/>
                <w:vertAlign w:val="superscript"/>
              </w:rPr>
              <w:t>3</w:t>
            </w:r>
          </w:p>
          <w:p>
            <w:pPr>
              <w:widowControl/>
              <w:spacing w:line="360" w:lineRule="auto"/>
              <w:ind w:firstLine="480" w:firstLineChars="200"/>
              <w:rPr>
                <w:rFonts w:ascii="宋体" w:hAnsi="宋体" w:cs="宋体"/>
                <w:i/>
                <w:iCs/>
                <w:sz w:val="24"/>
                <w:szCs w:val="32"/>
                <w:u w:val="single"/>
              </w:rPr>
            </w:pPr>
            <w:r>
              <w:rPr>
                <w:rFonts w:ascii="宋体" w:hAnsi="宋体" w:cs="宋体"/>
                <w:i/>
                <w:iCs/>
                <w:sz w:val="24"/>
                <w:szCs w:val="32"/>
                <w:u w:val="single"/>
              </w:rPr>
              <w:t>本项目拆解、废油分装、危废贮存单元最大液态泄漏物料量、车间消防冷却灭火用水量叠加核算，理论所需有效容积 22.5m³。综合考虑车间围堰占用有效容积、管道汇流损耗、泄漏量波动、消防瞬时水量峰值等不确定工况，同时兼顾厂区农机进厂卸车临时露天停留、零部件露天堆场潜在泄漏风险，工程设计预留安全冗余系数 1.33，确定应急池设计有效容积 30m³。本项目严格执行污污分流、分池专用要求，事故应急池与初期雨水收集池独立建设、管网互不连通，非事故状态下应急池保持空置，严禁收纳初期雨水、生产冲洗废水。</w:t>
            </w:r>
            <w:r>
              <w:rPr>
                <w:rFonts w:hint="eastAsia" w:ascii="宋体" w:hAnsi="宋体" w:cs="宋体"/>
                <w:i/>
                <w:iCs/>
                <w:sz w:val="24"/>
                <w:szCs w:val="32"/>
                <w:u w:val="single"/>
              </w:rPr>
              <w:t>事故应急池的设计容积</w:t>
            </w:r>
            <w:r>
              <w:rPr>
                <w:rFonts w:ascii="宋体" w:hAnsi="宋体" w:cs="宋体"/>
                <w:i/>
                <w:iCs/>
                <w:sz w:val="24"/>
                <w:szCs w:val="32"/>
                <w:u w:val="single"/>
              </w:rPr>
              <w:t>符合风险防控保守设计原则，可以保障事故废水全部截留、杜绝外流。</w:t>
            </w:r>
            <w:r>
              <w:rPr>
                <w:rFonts w:hint="eastAsia" w:ascii="宋体" w:hAnsi="宋体" w:cs="宋体"/>
                <w:i/>
                <w:iCs/>
                <w:sz w:val="24"/>
                <w:szCs w:val="32"/>
                <w:u w:val="single"/>
              </w:rPr>
              <w:t>应急池在车间内设置。与初期雨水收集池不共用。应急池收集的事故废水，送柳河县污水处理厂处理。</w:t>
            </w:r>
          </w:p>
          <w:p>
            <w:pPr>
              <w:widowControl/>
              <w:spacing w:line="360" w:lineRule="auto"/>
              <w:ind w:firstLine="480" w:firstLineChars="200"/>
              <w:rPr>
                <w:rFonts w:ascii="宋体" w:hAnsi="宋体" w:cs="宋体"/>
                <w:i/>
                <w:iCs/>
                <w:sz w:val="24"/>
                <w:u w:val="single"/>
              </w:rPr>
            </w:pPr>
            <w:r>
              <w:rPr>
                <w:rFonts w:hint="eastAsia" w:ascii="宋体" w:hAnsi="宋体" w:cs="宋体"/>
                <w:i/>
                <w:iCs/>
                <w:color w:val="000000"/>
                <w:kern w:val="0"/>
                <w:sz w:val="24"/>
                <w:u w:val="single"/>
              </w:rPr>
              <w:t xml:space="preserve">B、风险防范措施 </w:t>
            </w:r>
          </w:p>
          <w:p>
            <w:pPr>
              <w:widowControl/>
              <w:spacing w:line="360" w:lineRule="auto"/>
              <w:ind w:firstLine="480" w:firstLineChars="200"/>
              <w:jc w:val="left"/>
              <w:rPr>
                <w:rFonts w:ascii="宋体" w:hAnsi="宋体" w:cs="宋体"/>
                <w:i/>
                <w:iCs/>
                <w:color w:val="000000"/>
                <w:kern w:val="0"/>
                <w:sz w:val="24"/>
                <w:u w:val="single"/>
              </w:rPr>
            </w:pPr>
            <w:r>
              <w:rPr>
                <w:rFonts w:hint="eastAsia" w:ascii="宋体" w:hAnsi="宋体" w:cs="宋体"/>
                <w:i/>
                <w:iCs/>
                <w:color w:val="000000"/>
                <w:kern w:val="0"/>
                <w:sz w:val="24"/>
                <w:u w:val="single"/>
              </w:rPr>
              <w:t>1）对于破损的铅蓄电池，采用独立耐腐蚀容器装存后 ，在危险废物贮存区。危废存放在架子上或托盘上，贮存的危险废物不直接接触地面。设置液体导流沟，并设置液体收集桶对泄漏物料进行收集；</w:t>
            </w:r>
          </w:p>
          <w:p>
            <w:pPr>
              <w:widowControl/>
              <w:spacing w:line="360" w:lineRule="auto"/>
              <w:ind w:firstLine="480" w:firstLineChars="200"/>
              <w:jc w:val="left"/>
              <w:rPr>
                <w:rFonts w:ascii="宋体" w:hAnsi="宋体" w:cs="宋体"/>
                <w:i/>
                <w:iCs/>
                <w:sz w:val="24"/>
                <w:u w:val="single"/>
              </w:rPr>
            </w:pPr>
            <w:r>
              <w:rPr>
                <w:rFonts w:hint="eastAsia" w:ascii="宋体" w:hAnsi="宋体" w:cs="宋体"/>
                <w:i/>
                <w:iCs/>
                <w:color w:val="000000"/>
                <w:kern w:val="0"/>
                <w:sz w:val="24"/>
                <w:u w:val="single"/>
              </w:rPr>
              <w:t xml:space="preserve">2）铅酸蓄电池的拆卸、贮存区的地面做防酸、防腐、防渗及硬化处理，加强人员操作培训，规范作业； </w:t>
            </w:r>
          </w:p>
          <w:p>
            <w:pPr>
              <w:widowControl/>
              <w:spacing w:line="360" w:lineRule="auto"/>
              <w:ind w:firstLine="480" w:firstLineChars="200"/>
              <w:jc w:val="left"/>
              <w:rPr>
                <w:rFonts w:ascii="宋体" w:hAnsi="宋体" w:cs="宋体"/>
                <w:i/>
                <w:iCs/>
                <w:sz w:val="24"/>
                <w:u w:val="single"/>
              </w:rPr>
            </w:pPr>
            <w:r>
              <w:rPr>
                <w:rFonts w:hint="eastAsia" w:ascii="宋体" w:hAnsi="宋体" w:cs="宋体"/>
                <w:i/>
                <w:iCs/>
                <w:color w:val="000000"/>
                <w:kern w:val="0"/>
                <w:sz w:val="24"/>
                <w:u w:val="single"/>
              </w:rPr>
              <w:t xml:space="preserve">3）配备相应的堵漏材料(砂袋、吸油毡等)、灭火器等应急物资； </w:t>
            </w:r>
          </w:p>
          <w:p>
            <w:pPr>
              <w:widowControl/>
              <w:spacing w:line="360" w:lineRule="auto"/>
              <w:ind w:firstLine="480" w:firstLineChars="200"/>
              <w:jc w:val="left"/>
              <w:rPr>
                <w:rFonts w:ascii="宋体" w:hAnsi="宋体" w:cs="宋体"/>
                <w:i/>
                <w:iCs/>
                <w:sz w:val="24"/>
                <w:u w:val="single"/>
              </w:rPr>
            </w:pPr>
            <w:r>
              <w:rPr>
                <w:rFonts w:hint="eastAsia" w:ascii="宋体" w:hAnsi="宋体" w:cs="宋体"/>
                <w:i/>
                <w:iCs/>
                <w:color w:val="000000"/>
                <w:kern w:val="0"/>
                <w:sz w:val="24"/>
                <w:u w:val="single"/>
              </w:rPr>
              <w:t xml:space="preserve">4）雨污水排放口设置截止阀，事故状态下，及时切断，防止事故废水流入外环境。 </w:t>
            </w:r>
          </w:p>
          <w:p>
            <w:pPr>
              <w:widowControl/>
              <w:spacing w:line="360" w:lineRule="auto"/>
              <w:ind w:firstLine="480" w:firstLineChars="200"/>
              <w:jc w:val="left"/>
              <w:rPr>
                <w:rFonts w:ascii="宋体" w:hAnsi="宋体" w:cs="宋体"/>
                <w:i/>
                <w:iCs/>
                <w:color w:val="000000"/>
                <w:kern w:val="0"/>
                <w:sz w:val="24"/>
                <w:u w:val="single"/>
              </w:rPr>
            </w:pPr>
            <w:r>
              <w:rPr>
                <w:rFonts w:ascii="宋体" w:hAnsi="宋体" w:cs="宋体"/>
                <w:i/>
                <w:iCs/>
                <w:color w:val="000000"/>
                <w:kern w:val="0"/>
                <w:sz w:val="24"/>
                <w:u w:val="single"/>
              </w:rPr>
              <w:t>③</w:t>
            </w:r>
            <w:r>
              <w:rPr>
                <w:rFonts w:hint="eastAsia" w:ascii="宋体" w:hAnsi="宋体" w:cs="宋体"/>
                <w:i/>
                <w:iCs/>
                <w:color w:val="000000"/>
                <w:kern w:val="0"/>
                <w:sz w:val="24"/>
                <w:u w:val="single"/>
              </w:rPr>
              <w:t xml:space="preserve">废水事故排放风险防范措施及应急要求 </w:t>
            </w:r>
          </w:p>
          <w:p>
            <w:pPr>
              <w:widowControl/>
              <w:spacing w:line="360" w:lineRule="auto"/>
              <w:ind w:firstLine="480" w:firstLineChars="200"/>
              <w:jc w:val="left"/>
              <w:rPr>
                <w:rFonts w:ascii="宋体" w:hAnsi="宋体" w:cs="宋体"/>
                <w:i/>
                <w:iCs/>
                <w:sz w:val="24"/>
                <w:u w:val="single"/>
              </w:rPr>
            </w:pPr>
            <w:r>
              <w:rPr>
                <w:rFonts w:hint="eastAsia" w:ascii="宋体" w:hAnsi="宋体" w:cs="宋体"/>
                <w:i/>
                <w:iCs/>
                <w:color w:val="000000"/>
                <w:kern w:val="0"/>
                <w:sz w:val="24"/>
                <w:u w:val="single"/>
              </w:rPr>
              <w:t xml:space="preserve">A、事故排放应急处理措施 </w:t>
            </w:r>
          </w:p>
          <w:p>
            <w:pPr>
              <w:widowControl/>
              <w:spacing w:line="360" w:lineRule="auto"/>
              <w:ind w:firstLine="480" w:firstLineChars="200"/>
              <w:jc w:val="left"/>
              <w:rPr>
                <w:rFonts w:ascii="宋体" w:hAnsi="宋体" w:cs="宋体"/>
                <w:i/>
                <w:iCs/>
                <w:sz w:val="24"/>
                <w:u w:val="single"/>
              </w:rPr>
            </w:pPr>
            <w:r>
              <w:rPr>
                <w:rFonts w:hint="eastAsia" w:ascii="宋体" w:hAnsi="宋体" w:cs="宋体"/>
                <w:i/>
                <w:iCs/>
                <w:color w:val="000000"/>
                <w:kern w:val="0"/>
                <w:sz w:val="24"/>
                <w:u w:val="single"/>
              </w:rPr>
              <w:t xml:space="preserve">厂内废水泄漏主要可能因池体和管道破裂而引起，发现泄漏时应立即使用沙袋等进行堵塞、围挡，防止泄漏废水排入外环境，并立即组织检修。 </w:t>
            </w:r>
          </w:p>
          <w:p>
            <w:pPr>
              <w:widowControl/>
              <w:spacing w:line="360" w:lineRule="auto"/>
              <w:ind w:firstLine="480" w:firstLineChars="200"/>
              <w:jc w:val="left"/>
              <w:rPr>
                <w:rFonts w:ascii="宋体" w:hAnsi="宋体" w:cs="宋体"/>
                <w:i/>
                <w:iCs/>
                <w:sz w:val="24"/>
                <w:u w:val="single"/>
              </w:rPr>
            </w:pPr>
            <w:r>
              <w:rPr>
                <w:rFonts w:hint="eastAsia" w:ascii="宋体" w:hAnsi="宋体" w:cs="宋体"/>
                <w:i/>
                <w:iCs/>
                <w:color w:val="000000"/>
                <w:kern w:val="0"/>
                <w:sz w:val="24"/>
                <w:u w:val="single"/>
              </w:rPr>
              <w:t xml:space="preserve">B风险防范措施 </w:t>
            </w:r>
          </w:p>
          <w:p>
            <w:pPr>
              <w:widowControl/>
              <w:spacing w:line="360" w:lineRule="auto"/>
              <w:ind w:firstLine="480" w:firstLineChars="200"/>
              <w:jc w:val="left"/>
              <w:rPr>
                <w:rFonts w:ascii="宋体" w:hAnsi="宋体" w:cs="宋体"/>
                <w:i/>
                <w:iCs/>
                <w:sz w:val="24"/>
                <w:u w:val="single"/>
              </w:rPr>
            </w:pPr>
            <w:r>
              <w:rPr>
                <w:rFonts w:hint="eastAsia" w:ascii="宋体" w:hAnsi="宋体" w:cs="宋体"/>
                <w:i/>
                <w:iCs/>
                <w:color w:val="000000"/>
                <w:kern w:val="0"/>
                <w:sz w:val="24"/>
                <w:u w:val="single"/>
              </w:rPr>
              <w:t xml:space="preserve">1）废水处理设施及其管道、阀门应采取防腐防渗设计，并定期对废水处理设施、管道、阀门进行定期检查； </w:t>
            </w:r>
          </w:p>
          <w:p>
            <w:pPr>
              <w:widowControl/>
              <w:spacing w:line="360" w:lineRule="auto"/>
              <w:ind w:firstLine="480" w:firstLineChars="200"/>
              <w:jc w:val="left"/>
              <w:rPr>
                <w:rFonts w:ascii="宋体" w:hAnsi="宋体" w:cs="宋体"/>
                <w:i/>
                <w:iCs/>
                <w:sz w:val="24"/>
                <w:u w:val="single"/>
              </w:rPr>
            </w:pPr>
            <w:r>
              <w:rPr>
                <w:rFonts w:hint="eastAsia" w:ascii="宋体" w:hAnsi="宋体" w:cs="宋体"/>
                <w:i/>
                <w:iCs/>
                <w:color w:val="000000"/>
                <w:kern w:val="0"/>
                <w:sz w:val="24"/>
                <w:u w:val="single"/>
              </w:rPr>
              <w:t xml:space="preserve">2）事故状态下废水全部排入事故应急池，防止事故废水流入外环境； </w:t>
            </w:r>
          </w:p>
          <w:p>
            <w:pPr>
              <w:widowControl/>
              <w:spacing w:line="360" w:lineRule="auto"/>
              <w:ind w:firstLine="480" w:firstLineChars="200"/>
              <w:jc w:val="left"/>
              <w:rPr>
                <w:rFonts w:ascii="宋体" w:hAnsi="宋体" w:cs="宋体"/>
                <w:i/>
                <w:iCs/>
                <w:sz w:val="24"/>
                <w:u w:val="single"/>
              </w:rPr>
            </w:pPr>
            <w:r>
              <w:rPr>
                <w:rFonts w:hint="eastAsia" w:ascii="宋体" w:hAnsi="宋体" w:cs="宋体"/>
                <w:i/>
                <w:iCs/>
                <w:color w:val="000000"/>
                <w:kern w:val="0"/>
                <w:sz w:val="24"/>
                <w:u w:val="single"/>
              </w:rPr>
              <w:t xml:space="preserve">3）配备相应的堵漏材料(沙袋、吸油毡等)、废水处理设施易损部件等应急物资。 </w:t>
            </w:r>
          </w:p>
          <w:p>
            <w:pPr>
              <w:widowControl/>
              <w:spacing w:line="360" w:lineRule="auto"/>
              <w:ind w:firstLine="480" w:firstLineChars="200"/>
              <w:jc w:val="left"/>
              <w:rPr>
                <w:rFonts w:ascii="宋体" w:hAnsi="宋体" w:cs="宋体"/>
                <w:i/>
                <w:iCs/>
                <w:sz w:val="24"/>
                <w:u w:val="single"/>
              </w:rPr>
            </w:pPr>
            <w:r>
              <w:rPr>
                <w:rFonts w:hint="eastAsia" w:ascii="宋体" w:hAnsi="宋体" w:cs="宋体"/>
                <w:i/>
                <w:iCs/>
                <w:kern w:val="0"/>
                <w:sz w:val="24"/>
                <w:u w:val="single"/>
              </w:rPr>
              <w:t xml:space="preserve">④废气事故排放风险防范措施及应急要求 </w:t>
            </w:r>
          </w:p>
          <w:p>
            <w:pPr>
              <w:widowControl/>
              <w:spacing w:line="360" w:lineRule="auto"/>
              <w:ind w:firstLine="480" w:firstLineChars="200"/>
              <w:jc w:val="left"/>
              <w:rPr>
                <w:rFonts w:ascii="宋体" w:hAnsi="宋体" w:cs="宋体"/>
                <w:i/>
                <w:iCs/>
                <w:sz w:val="24"/>
                <w:u w:val="single"/>
              </w:rPr>
            </w:pPr>
            <w:r>
              <w:rPr>
                <w:rFonts w:hint="eastAsia" w:ascii="宋体" w:hAnsi="宋体" w:cs="宋体"/>
                <w:i/>
                <w:iCs/>
                <w:kern w:val="0"/>
                <w:sz w:val="24"/>
                <w:u w:val="single"/>
              </w:rPr>
              <w:t xml:space="preserve">A、事故排放应急处理措施 </w:t>
            </w:r>
          </w:p>
          <w:p>
            <w:pPr>
              <w:widowControl/>
              <w:spacing w:line="360" w:lineRule="auto"/>
              <w:ind w:firstLine="480" w:firstLineChars="200"/>
              <w:jc w:val="left"/>
              <w:rPr>
                <w:rFonts w:ascii="宋体" w:hAnsi="宋体" w:cs="宋体"/>
                <w:i/>
                <w:iCs/>
                <w:sz w:val="24"/>
                <w:u w:val="single"/>
              </w:rPr>
            </w:pPr>
            <w:r>
              <w:rPr>
                <w:rFonts w:hint="eastAsia" w:ascii="宋体" w:hAnsi="宋体" w:cs="宋体"/>
                <w:i/>
                <w:iCs/>
                <w:kern w:val="0"/>
                <w:sz w:val="24"/>
                <w:u w:val="single"/>
              </w:rPr>
              <w:t xml:space="preserve">迅速组织运行和检修人员对活性炭处理装置或布袋除尘器进行检查，尽快查明原因，通过抢修或更换设备等措施尽快恢复系统正常运行；若短时间设备不能恢复正常运行，应根据非甲烷总烃或粉尘排放情况采取停机、加强通风或喷雾等合理措施进行处理。 </w:t>
            </w:r>
          </w:p>
          <w:p>
            <w:pPr>
              <w:widowControl/>
              <w:spacing w:line="360" w:lineRule="auto"/>
              <w:ind w:firstLine="480" w:firstLineChars="200"/>
              <w:jc w:val="left"/>
              <w:rPr>
                <w:rFonts w:ascii="宋体" w:hAnsi="宋体" w:cs="宋体"/>
                <w:i/>
                <w:iCs/>
                <w:sz w:val="24"/>
                <w:u w:val="single"/>
              </w:rPr>
            </w:pPr>
            <w:r>
              <w:rPr>
                <w:rFonts w:hint="eastAsia" w:ascii="宋体" w:hAnsi="宋体" w:cs="宋体"/>
                <w:i/>
                <w:iCs/>
                <w:kern w:val="0"/>
                <w:sz w:val="24"/>
                <w:u w:val="single"/>
              </w:rPr>
              <w:t>B、风险防范措施</w:t>
            </w:r>
          </w:p>
          <w:p>
            <w:pPr>
              <w:widowControl/>
              <w:spacing w:line="360" w:lineRule="auto"/>
              <w:ind w:firstLine="480" w:firstLineChars="200"/>
              <w:jc w:val="left"/>
              <w:rPr>
                <w:rFonts w:ascii="宋体" w:hAnsi="宋体" w:cs="宋体"/>
                <w:i/>
                <w:iCs/>
                <w:sz w:val="24"/>
                <w:u w:val="single"/>
              </w:rPr>
            </w:pPr>
            <w:r>
              <w:rPr>
                <w:rFonts w:hint="eastAsia" w:ascii="宋体" w:hAnsi="宋体" w:cs="宋体"/>
                <w:i/>
                <w:iCs/>
                <w:kern w:val="0"/>
                <w:sz w:val="24"/>
                <w:u w:val="single"/>
              </w:rPr>
              <w:t xml:space="preserve">1）加强人员巡检； </w:t>
            </w:r>
          </w:p>
          <w:p>
            <w:pPr>
              <w:widowControl/>
              <w:spacing w:line="360" w:lineRule="auto"/>
              <w:ind w:firstLine="480" w:firstLineChars="200"/>
              <w:jc w:val="left"/>
              <w:rPr>
                <w:rFonts w:ascii="宋体" w:hAnsi="宋体" w:cs="宋体"/>
                <w:i/>
                <w:iCs/>
                <w:sz w:val="24"/>
                <w:u w:val="single"/>
              </w:rPr>
            </w:pPr>
            <w:r>
              <w:rPr>
                <w:rFonts w:hint="eastAsia" w:ascii="宋体" w:hAnsi="宋体" w:cs="宋体"/>
                <w:i/>
                <w:iCs/>
                <w:kern w:val="0"/>
                <w:sz w:val="24"/>
                <w:u w:val="single"/>
              </w:rPr>
              <w:t>2）加强设备定期检查和维护。</w:t>
            </w:r>
          </w:p>
          <w:p>
            <w:pPr>
              <w:spacing w:line="360" w:lineRule="auto"/>
              <w:ind w:firstLine="480" w:firstLineChars="200"/>
              <w:rPr>
                <w:i/>
                <w:iCs/>
                <w:kern w:val="0"/>
                <w:sz w:val="24"/>
                <w:u w:val="single"/>
              </w:rPr>
            </w:pPr>
            <w:r>
              <w:rPr>
                <w:rFonts w:hint="eastAsia" w:ascii="宋体" w:hAnsi="宋体" w:cs="宋体"/>
                <w:i/>
                <w:iCs/>
                <w:kern w:val="0"/>
                <w:sz w:val="24"/>
                <w:u w:val="single"/>
              </w:rPr>
              <w:t>⑤</w:t>
            </w:r>
            <w:r>
              <w:rPr>
                <w:i/>
                <w:iCs/>
                <w:kern w:val="0"/>
                <w:sz w:val="24"/>
                <w:u w:val="single"/>
              </w:rPr>
              <w:t>生产过程中的防范措施</w:t>
            </w:r>
          </w:p>
          <w:p>
            <w:pPr>
              <w:spacing w:line="360" w:lineRule="auto"/>
              <w:ind w:firstLine="480" w:firstLineChars="200"/>
              <w:rPr>
                <w:i/>
                <w:iCs/>
                <w:kern w:val="0"/>
                <w:sz w:val="24"/>
                <w:u w:val="single"/>
              </w:rPr>
            </w:pPr>
            <w:r>
              <w:rPr>
                <w:i/>
                <w:iCs/>
                <w:kern w:val="0"/>
                <w:sz w:val="24"/>
                <w:u w:val="single"/>
              </w:rPr>
              <w:t>报废农机拆解车间、拆解区、报废农机贮存与拆解部件贮存区、危险废物暂存库等要严格防渗措施。</w:t>
            </w:r>
          </w:p>
          <w:p>
            <w:pPr>
              <w:spacing w:line="360" w:lineRule="auto"/>
              <w:ind w:firstLine="480" w:firstLineChars="200"/>
              <w:rPr>
                <w:i/>
                <w:iCs/>
                <w:kern w:val="0"/>
                <w:sz w:val="24"/>
                <w:u w:val="single"/>
              </w:rPr>
            </w:pPr>
            <w:r>
              <w:rPr>
                <w:i/>
                <w:iCs/>
                <w:kern w:val="0"/>
                <w:sz w:val="24"/>
                <w:u w:val="single"/>
              </w:rPr>
              <w:t>拆解过程产生的危险废物由专门的存储设施，存放于指定地点，并采取防风防雨措施。存放液体和含有液体的危险废物，如废油液需采用专用的密闭容器，防止渗漏。仓库场地附近不得有明火或热源，配置相应的应急救援和处理设施，如灭火器。</w:t>
            </w:r>
          </w:p>
          <w:p>
            <w:pPr>
              <w:spacing w:line="360" w:lineRule="auto"/>
              <w:ind w:firstLine="480" w:firstLineChars="200"/>
              <w:rPr>
                <w:i/>
                <w:iCs/>
                <w:kern w:val="0"/>
                <w:sz w:val="24"/>
                <w:u w:val="single"/>
              </w:rPr>
            </w:pPr>
            <w:r>
              <w:rPr>
                <w:i/>
                <w:iCs/>
                <w:kern w:val="0"/>
                <w:sz w:val="24"/>
                <w:u w:val="single"/>
              </w:rPr>
              <w:t>不同类别的废弃物及其拆解产物应当分区贮存，各分区应在显著位置设置标识，标明贮存物的名称、贮存时间、注意事项等。</w:t>
            </w:r>
          </w:p>
          <w:p>
            <w:pPr>
              <w:spacing w:line="360" w:lineRule="auto"/>
              <w:ind w:firstLine="480" w:firstLineChars="200"/>
              <w:rPr>
                <w:i/>
                <w:iCs/>
                <w:kern w:val="0"/>
                <w:sz w:val="24"/>
                <w:u w:val="single"/>
              </w:rPr>
            </w:pPr>
            <w:r>
              <w:rPr>
                <w:rFonts w:hint="eastAsia" w:ascii="宋体" w:hAnsi="宋体" w:cs="宋体"/>
                <w:i/>
                <w:iCs/>
                <w:kern w:val="0"/>
                <w:sz w:val="24"/>
                <w:u w:val="single"/>
              </w:rPr>
              <w:t>⑥</w:t>
            </w:r>
            <w:r>
              <w:rPr>
                <w:i/>
                <w:iCs/>
                <w:kern w:val="0"/>
                <w:sz w:val="24"/>
                <w:u w:val="single"/>
              </w:rPr>
              <w:t>规范危废存储、转运</w:t>
            </w:r>
          </w:p>
          <w:p>
            <w:pPr>
              <w:spacing w:line="360" w:lineRule="auto"/>
              <w:ind w:firstLine="480" w:firstLineChars="200"/>
              <w:rPr>
                <w:rFonts w:ascii="宋体" w:hAnsi="宋体" w:cs="宋体"/>
                <w:i/>
                <w:iCs/>
                <w:kern w:val="0"/>
                <w:sz w:val="24"/>
                <w:u w:val="single"/>
              </w:rPr>
            </w:pPr>
            <w:r>
              <w:rPr>
                <w:i/>
                <w:iCs/>
                <w:kern w:val="0"/>
                <w:sz w:val="24"/>
                <w:u w:val="single"/>
              </w:rPr>
              <w:t>危险废物应由具有《危险废物经营许可证》并可以处置该类废物的单位进行处理处置，并严格执行危险废物转移联单制度，在危险废物转移前3日内报告移出地环境保护行政主管部门，并同时将预期到达时间报告环</w:t>
            </w:r>
            <w:r>
              <w:rPr>
                <w:rFonts w:hint="eastAsia" w:ascii="宋体" w:hAnsi="宋体" w:cs="宋体"/>
                <w:i/>
                <w:iCs/>
                <w:kern w:val="0"/>
                <w:sz w:val="24"/>
                <w:u w:val="single"/>
              </w:rPr>
              <w:t>境保护行政主管部门。严禁将各类废物转移给没有相应处理资质及能力的单位。</w:t>
            </w:r>
          </w:p>
          <w:p>
            <w:pPr>
              <w:spacing w:line="360" w:lineRule="auto"/>
              <w:ind w:firstLine="480" w:firstLineChars="200"/>
              <w:rPr>
                <w:rFonts w:ascii="宋体" w:hAnsi="宋体" w:cs="宋体"/>
                <w:i/>
                <w:iCs/>
                <w:kern w:val="0"/>
                <w:sz w:val="24"/>
                <w:u w:val="single"/>
              </w:rPr>
            </w:pPr>
            <w:r>
              <w:rPr>
                <w:rFonts w:hint="eastAsia" w:ascii="宋体" w:hAnsi="宋体" w:cs="宋体"/>
                <w:i/>
                <w:iCs/>
                <w:kern w:val="0"/>
                <w:sz w:val="24"/>
                <w:u w:val="single"/>
              </w:rPr>
              <w:t>危险废物贮藏间外要贴有危险废物三角标识；液体危险废物容积密封有盖；固体危险废物包装完整、不渗漏；气体危险废弃物要容器密封、安全阀良好；危险废液暂时存放采取防渗漏和防外滤措施；拆解车辆过程中产生的废油液要全部存储于指定的区域的废油桶中，不得倒入厂内、外空地，草地及地下管网的检查井中，洒漏在地面废油由责任部门（相关方由相关负责部门监督）用抹布清除；擦机器、设备及擦油产生的含油抹布，需放置在各部门指定的垃圾桶内，由环卫部门集中清运；废弃或暂时不用的空油桶送至危废贮存库集中存放，避免油污污染地面及雨水冲刷后污染地下水。</w:t>
            </w:r>
          </w:p>
          <w:p>
            <w:pPr>
              <w:spacing w:line="360" w:lineRule="auto"/>
              <w:ind w:firstLine="480" w:firstLineChars="200"/>
              <w:rPr>
                <w:rFonts w:ascii="宋体" w:hAnsi="宋体" w:cs="宋体"/>
                <w:i/>
                <w:iCs/>
                <w:kern w:val="0"/>
                <w:sz w:val="24"/>
                <w:u w:val="single"/>
              </w:rPr>
            </w:pPr>
            <w:r>
              <w:rPr>
                <w:rFonts w:hint="eastAsia" w:ascii="宋体" w:hAnsi="宋体" w:cs="宋体"/>
                <w:i/>
                <w:iCs/>
                <w:kern w:val="0"/>
                <w:sz w:val="24"/>
                <w:u w:val="single"/>
              </w:rPr>
              <w:t>⑦加强管理，增强风险意识</w:t>
            </w:r>
          </w:p>
          <w:p>
            <w:pPr>
              <w:spacing w:line="360" w:lineRule="auto"/>
              <w:ind w:firstLine="480" w:firstLineChars="200"/>
              <w:rPr>
                <w:rFonts w:ascii="宋体" w:hAnsi="宋体" w:cs="宋体"/>
                <w:i/>
                <w:iCs/>
                <w:kern w:val="0"/>
                <w:sz w:val="24"/>
                <w:u w:val="single"/>
              </w:rPr>
            </w:pPr>
            <w:r>
              <w:rPr>
                <w:rFonts w:hint="eastAsia" w:ascii="宋体" w:hAnsi="宋体" w:cs="宋体"/>
                <w:i/>
                <w:iCs/>
                <w:kern w:val="0"/>
                <w:sz w:val="24"/>
                <w:u w:val="single"/>
              </w:rPr>
              <w:t>强化安全生产管理，必须制订岗位责任制，将责任落实到部门和个人严格遵守操作规程，严格遵守《化学危险品管理条例》及国家、地方关于易燃、易爆、有毒有害物料的储运使用安全规定。</w:t>
            </w:r>
          </w:p>
          <w:p>
            <w:pPr>
              <w:spacing w:line="360" w:lineRule="auto"/>
              <w:ind w:firstLine="480" w:firstLineChars="200"/>
              <w:rPr>
                <w:rFonts w:ascii="宋体" w:hAnsi="宋体" w:cs="宋体"/>
                <w:i/>
                <w:iCs/>
                <w:kern w:val="0"/>
                <w:sz w:val="24"/>
                <w:u w:val="single"/>
              </w:rPr>
            </w:pPr>
            <w:r>
              <w:rPr>
                <w:rFonts w:hint="eastAsia" w:ascii="宋体" w:hAnsi="宋体" w:cs="宋体"/>
                <w:i/>
                <w:iCs/>
                <w:kern w:val="0"/>
                <w:sz w:val="24"/>
                <w:u w:val="single"/>
              </w:rPr>
              <w:t>强化安全生产及环境保护意识的教育，提高职工的素质。公司管理人员、技术人员、运输人员必须接受有关危险化学品的法律法规、规章和安全知识、专业技术、职业卫生防护和应急知识的培训，并经考核合格，方可上岗作业；加强设备的维修、保养，加强容器、管道的安全监控，按规定进行定期检验；加强危险目标的保卫工作，防止破坏事故发生。</w:t>
            </w:r>
          </w:p>
          <w:p>
            <w:pPr>
              <w:spacing w:line="360" w:lineRule="auto"/>
              <w:ind w:firstLine="480" w:firstLineChars="200"/>
              <w:rPr>
                <w:rFonts w:ascii="宋体" w:hAnsi="宋体" w:cs="宋体"/>
                <w:i/>
                <w:iCs/>
                <w:kern w:val="0"/>
                <w:sz w:val="24"/>
                <w:u w:val="single"/>
              </w:rPr>
            </w:pPr>
            <w:r>
              <w:rPr>
                <w:rFonts w:hint="eastAsia" w:ascii="宋体" w:hAnsi="宋体" w:cs="宋体"/>
                <w:i/>
                <w:iCs/>
                <w:kern w:val="0"/>
                <w:sz w:val="24"/>
                <w:u w:val="single"/>
              </w:rPr>
              <w:t>建立健全环保及安全管理部门，该部门应加强监督检查，按规定监测厂内外空气及水体中的有毒有害物质，及时发现，立即处理，避免污染。</w:t>
            </w:r>
          </w:p>
          <w:p>
            <w:pPr>
              <w:spacing w:line="360" w:lineRule="auto"/>
              <w:ind w:firstLine="480" w:firstLineChars="200"/>
              <w:rPr>
                <w:rFonts w:ascii="宋体" w:hAnsi="宋体" w:cs="宋体"/>
                <w:i/>
                <w:iCs/>
                <w:kern w:val="0"/>
                <w:sz w:val="24"/>
                <w:u w:val="single"/>
              </w:rPr>
            </w:pPr>
            <w:r>
              <w:rPr>
                <w:rFonts w:hint="eastAsia" w:ascii="宋体" w:hAnsi="宋体" w:cs="宋体"/>
                <w:i/>
                <w:iCs/>
                <w:kern w:val="0"/>
                <w:sz w:val="24"/>
                <w:u w:val="single"/>
              </w:rPr>
              <w:t>⑧严格废油液及其他有毒有害物质的储运、使用</w:t>
            </w:r>
          </w:p>
          <w:p>
            <w:pPr>
              <w:spacing w:line="360" w:lineRule="auto"/>
              <w:ind w:firstLine="480" w:firstLineChars="200"/>
              <w:rPr>
                <w:rFonts w:ascii="宋体" w:hAnsi="宋体" w:cs="宋体"/>
                <w:i/>
                <w:iCs/>
                <w:kern w:val="0"/>
                <w:sz w:val="24"/>
                <w:u w:val="single"/>
              </w:rPr>
            </w:pPr>
            <w:r>
              <w:rPr>
                <w:rFonts w:hint="eastAsia" w:ascii="宋体" w:hAnsi="宋体" w:cs="宋体"/>
                <w:i/>
                <w:iCs/>
                <w:kern w:val="0"/>
                <w:sz w:val="24"/>
                <w:u w:val="single"/>
              </w:rPr>
              <w:t>废油液的运输时要有遮阳设施，防止暴晒，车上应备有必要的应急处理器材和防护用品，随车人员应会正确使用。运输时要避免在雷雨天进行，避免在附近发生火灾和液化石油气泄漏的地方经过。</w:t>
            </w:r>
          </w:p>
          <w:p>
            <w:pPr>
              <w:spacing w:line="360" w:lineRule="auto"/>
              <w:ind w:firstLine="480" w:firstLineChars="200"/>
              <w:rPr>
                <w:rFonts w:ascii="宋体" w:hAnsi="宋体" w:cs="宋体"/>
                <w:i/>
                <w:iCs/>
                <w:kern w:val="0"/>
                <w:sz w:val="24"/>
                <w:u w:val="single"/>
              </w:rPr>
            </w:pPr>
            <w:r>
              <w:rPr>
                <w:rFonts w:hint="eastAsia" w:ascii="宋体" w:hAnsi="宋体" w:cs="宋体"/>
                <w:i/>
                <w:iCs/>
                <w:kern w:val="0"/>
                <w:sz w:val="24"/>
                <w:u w:val="single"/>
              </w:rPr>
              <w:t>废油液必须与爆炸物品、氧化剂、易燃物品、自燃物品、腐蚀性物品隔离贮存，满瓶与空瓶应分开整齐放置，并有明显标记，应保持直立放置，且应有防止倾倒的措施，不准放在橡胶等绝缘体上，以防静电引起事故。</w:t>
            </w:r>
          </w:p>
          <w:p>
            <w:pPr>
              <w:spacing w:line="360" w:lineRule="auto"/>
              <w:ind w:firstLine="480" w:firstLineChars="200"/>
              <w:rPr>
                <w:i/>
                <w:iCs/>
                <w:kern w:val="0"/>
                <w:sz w:val="24"/>
                <w:u w:val="single"/>
              </w:rPr>
            </w:pPr>
            <w:r>
              <w:rPr>
                <w:rFonts w:hint="eastAsia"/>
                <w:i/>
                <w:iCs/>
                <w:kern w:val="0"/>
                <w:sz w:val="24"/>
                <w:u w:val="single"/>
              </w:rPr>
              <w:t>⑨</w:t>
            </w:r>
            <w:r>
              <w:rPr>
                <w:i/>
                <w:iCs/>
                <w:kern w:val="0"/>
                <w:sz w:val="24"/>
                <w:u w:val="single"/>
              </w:rPr>
              <w:t xml:space="preserve">其他风险防范措施 </w:t>
            </w:r>
          </w:p>
          <w:p>
            <w:pPr>
              <w:spacing w:line="360" w:lineRule="auto"/>
              <w:ind w:firstLine="480" w:firstLineChars="200"/>
              <w:rPr>
                <w:i/>
                <w:iCs/>
                <w:kern w:val="0"/>
                <w:sz w:val="24"/>
                <w:u w:val="single"/>
              </w:rPr>
            </w:pPr>
            <w:r>
              <w:rPr>
                <w:i/>
                <w:iCs/>
                <w:kern w:val="0"/>
                <w:sz w:val="24"/>
                <w:u w:val="single"/>
              </w:rPr>
              <w:t>厂房要加强通风，</w:t>
            </w:r>
            <w:r>
              <w:rPr>
                <w:rFonts w:hint="eastAsia"/>
                <w:i/>
                <w:iCs/>
                <w:kern w:val="0"/>
                <w:sz w:val="24"/>
                <w:u w:val="single"/>
              </w:rPr>
              <w:t>电气设备必须</w:t>
            </w:r>
            <w:r>
              <w:rPr>
                <w:i/>
                <w:iCs/>
                <w:kern w:val="0"/>
                <w:sz w:val="24"/>
                <w:u w:val="single"/>
              </w:rPr>
              <w:t>选用防腐、防爆型，电源绝缘良好，防止产生静电火花，接地牢固，防止产生静电。废油液不得直接外排，必须委托处置。厂房要严格遵守国家有关防火防爆的安全规定，各生产装置区及建筑物间考虑足够的安全防火距离，并布置相应的消防通道、消防水池以及足够的消防器材等装置，并要有专人负责管理。</w:t>
            </w:r>
          </w:p>
          <w:p>
            <w:pPr>
              <w:spacing w:line="360" w:lineRule="auto"/>
              <w:ind w:firstLine="480" w:firstLineChars="200"/>
              <w:rPr>
                <w:i/>
                <w:iCs/>
                <w:kern w:val="0"/>
                <w:sz w:val="24"/>
                <w:u w:val="single"/>
              </w:rPr>
            </w:pPr>
            <w:r>
              <w:rPr>
                <w:i/>
                <w:iCs/>
                <w:kern w:val="0"/>
                <w:sz w:val="24"/>
                <w:u w:val="single"/>
              </w:rPr>
              <w:t xml:space="preserve">在风险事故发生后，对诱发风险事故的原因进行总结，并根据可能引起风险事故发生的诱导因素重点进行防范。发生危险化学品污染事故和生态破坏事件时，积极配合环保部门对所造成的污染进行处理，经评价确认环境已得到恢复后方能继续生产，污染严重和污染持续时间长的， 必须进行环境风险后评估。 </w:t>
            </w:r>
          </w:p>
          <w:p>
            <w:pPr>
              <w:spacing w:line="360" w:lineRule="auto"/>
              <w:ind w:firstLine="480" w:firstLineChars="200"/>
              <w:rPr>
                <w:i/>
                <w:iCs/>
                <w:kern w:val="0"/>
                <w:sz w:val="24"/>
                <w:u w:val="single"/>
              </w:rPr>
            </w:pPr>
            <w:r>
              <w:rPr>
                <w:i/>
                <w:iCs/>
                <w:kern w:val="0"/>
                <w:sz w:val="24"/>
                <w:u w:val="single"/>
              </w:rPr>
              <w:t>项目采用液压剪切工艺拆解报废农机，该工艺相比火焰切割、等离子切割不会产生持续性大量明火火花。但受报废农机锈蚀钢板、焊缝、夹带砂石杂质影响，剪切作业时金属撕扯、硬质物料撞击摩擦仍有可能产生高温炽热金属碎屑（零星火花），具备点火能力。若农机预处理不到位，残存燃油、液压油挥发形成可燃蒸气，高温碎屑可引发起火，极端条件下密闭空间产生闪爆风险。因此严格执行 NY/T 2900-2022 要求，落实 “先预处理、后剪切” 硬性工序，是风险管控核心。</w:t>
            </w:r>
            <w:r>
              <w:rPr>
                <w:rFonts w:hint="eastAsia"/>
                <w:i/>
                <w:iCs/>
                <w:kern w:val="0"/>
                <w:sz w:val="24"/>
                <w:u w:val="single"/>
              </w:rPr>
              <w:t>为了防范剪切拆解过程中火花和爆炸安全事故，结合</w:t>
            </w:r>
            <w:r>
              <w:rPr>
                <w:i/>
                <w:iCs/>
                <w:kern w:val="0"/>
                <w:sz w:val="24"/>
                <w:u w:val="single"/>
              </w:rPr>
              <w:t>NY/T 2900-2022</w:t>
            </w:r>
            <w:r>
              <w:rPr>
                <w:rFonts w:hint="eastAsia"/>
                <w:i/>
                <w:iCs/>
                <w:kern w:val="0"/>
                <w:sz w:val="24"/>
                <w:u w:val="single"/>
              </w:rPr>
              <w:t>提出相关防火、防爆、抑火配套措施如下：</w:t>
            </w:r>
          </w:p>
          <w:p>
            <w:pPr>
              <w:spacing w:line="360" w:lineRule="auto"/>
              <w:ind w:firstLine="480" w:firstLineChars="200"/>
              <w:rPr>
                <w:i/>
                <w:iCs/>
                <w:kern w:val="0"/>
                <w:sz w:val="24"/>
                <w:u w:val="single"/>
              </w:rPr>
            </w:pPr>
            <w:r>
              <w:rPr>
                <w:i/>
                <w:iCs/>
                <w:kern w:val="0"/>
                <w:sz w:val="24"/>
                <w:u w:val="single"/>
              </w:rPr>
              <w:t xml:space="preserve">所有报废农机进入剪切工位严禁带油、带蓄电池直接剪切。农机进场后转运至预处理工位，采用专用抽油设备彻底抽排燃油、润滑油、液压油、齿轮油，废液密闭收集至专用储罐； </w:t>
            </w:r>
          </w:p>
          <w:p>
            <w:pPr>
              <w:spacing w:line="360" w:lineRule="auto"/>
              <w:ind w:firstLine="480" w:firstLineChars="200"/>
              <w:rPr>
                <w:i/>
                <w:iCs/>
                <w:kern w:val="0"/>
                <w:sz w:val="24"/>
                <w:u w:val="single"/>
              </w:rPr>
            </w:pPr>
            <w:r>
              <w:rPr>
                <w:i/>
                <w:iCs/>
                <w:kern w:val="0"/>
                <w:sz w:val="24"/>
                <w:u w:val="single"/>
              </w:rPr>
              <w:t xml:space="preserve">完整拆除塑料燃油箱、金属油箱、液压管路、滤清器；油箱清空无油残留后方可转运至剪切区； </w:t>
            </w:r>
          </w:p>
          <w:p>
            <w:pPr>
              <w:spacing w:line="360" w:lineRule="auto"/>
              <w:ind w:firstLine="480" w:firstLineChars="200"/>
              <w:rPr>
                <w:i/>
                <w:iCs/>
                <w:kern w:val="0"/>
                <w:sz w:val="24"/>
                <w:u w:val="single"/>
              </w:rPr>
            </w:pPr>
            <w:r>
              <w:rPr>
                <w:i/>
                <w:iCs/>
                <w:kern w:val="0"/>
                <w:sz w:val="24"/>
                <w:u w:val="single"/>
              </w:rPr>
              <w:t xml:space="preserve">全部拆除铅酸蓄电池，转移至危废暂存间隔离存放；发现壳体破损漏液蓄电池单独密闭隔离，禁止进入剪切作业区域； </w:t>
            </w:r>
          </w:p>
          <w:p>
            <w:pPr>
              <w:spacing w:line="360" w:lineRule="auto"/>
              <w:ind w:firstLine="480" w:firstLineChars="200"/>
              <w:rPr>
                <w:i/>
                <w:iCs/>
                <w:kern w:val="0"/>
                <w:sz w:val="24"/>
                <w:u w:val="single"/>
              </w:rPr>
            </w:pPr>
            <w:r>
              <w:rPr>
                <w:i/>
                <w:iCs/>
                <w:kern w:val="0"/>
                <w:sz w:val="24"/>
                <w:u w:val="single"/>
              </w:rPr>
              <w:t>对收割机、拖拉机密闭腔体（变速箱、液压仓）进行开盖通风，驱散积聚可燃蒸气</w:t>
            </w:r>
            <w:r>
              <w:rPr>
                <w:rFonts w:hint="eastAsia"/>
                <w:i/>
                <w:iCs/>
                <w:kern w:val="0"/>
                <w:sz w:val="24"/>
                <w:u w:val="single"/>
              </w:rPr>
              <w:t>；</w:t>
            </w:r>
          </w:p>
          <w:p>
            <w:pPr>
              <w:spacing w:line="360" w:lineRule="auto"/>
              <w:ind w:firstLine="480" w:firstLineChars="200"/>
              <w:rPr>
                <w:i/>
                <w:iCs/>
                <w:kern w:val="0"/>
                <w:sz w:val="24"/>
                <w:u w:val="single"/>
              </w:rPr>
            </w:pPr>
            <w:r>
              <w:rPr>
                <w:i/>
                <w:iCs/>
                <w:kern w:val="0"/>
                <w:sz w:val="24"/>
                <w:u w:val="single"/>
              </w:rPr>
              <w:t>剪切拆解车间设置强制机械通风系统，持续置换车间内油气；剪切工位上方设置局部集气装置，收集油料挥发废气；定期使用便携式可燃气体检测仪监测工位浓度，超标立即停止作业、强制通风</w:t>
            </w:r>
            <w:r>
              <w:rPr>
                <w:rFonts w:hint="eastAsia"/>
                <w:i/>
                <w:iCs/>
                <w:kern w:val="0"/>
                <w:sz w:val="24"/>
                <w:u w:val="single"/>
              </w:rPr>
              <w:t>；</w:t>
            </w:r>
          </w:p>
          <w:p>
            <w:pPr>
              <w:spacing w:line="360" w:lineRule="auto"/>
              <w:ind w:firstLine="480" w:firstLineChars="200"/>
              <w:rPr>
                <w:i/>
                <w:iCs/>
                <w:kern w:val="0"/>
                <w:sz w:val="24"/>
                <w:u w:val="single"/>
              </w:rPr>
            </w:pPr>
            <w:r>
              <w:rPr>
                <w:i/>
                <w:iCs/>
                <w:kern w:val="0"/>
                <w:sz w:val="24"/>
                <w:u w:val="single"/>
              </w:rPr>
              <w:t xml:space="preserve">剪切作业区多点配置 ABC 干粉灭火器、灭火毯；区域配套消防沙池； </w:t>
            </w:r>
          </w:p>
          <w:p>
            <w:pPr>
              <w:spacing w:line="360" w:lineRule="auto"/>
              <w:ind w:firstLine="480" w:firstLineChars="200"/>
              <w:rPr>
                <w:i/>
                <w:iCs/>
                <w:kern w:val="0"/>
                <w:sz w:val="24"/>
                <w:u w:val="single"/>
              </w:rPr>
            </w:pPr>
            <w:r>
              <w:rPr>
                <w:i/>
                <w:iCs/>
                <w:kern w:val="0"/>
                <w:sz w:val="24"/>
                <w:u w:val="single"/>
              </w:rPr>
              <w:t xml:space="preserve">车间设置室内消防栓、应急照明、火灾声光报警器； </w:t>
            </w:r>
          </w:p>
          <w:p>
            <w:pPr>
              <w:spacing w:line="360" w:lineRule="auto"/>
              <w:ind w:firstLine="480" w:firstLineChars="200"/>
              <w:rPr>
                <w:i/>
                <w:iCs/>
                <w:kern w:val="0"/>
                <w:sz w:val="24"/>
                <w:u w:val="single"/>
              </w:rPr>
            </w:pPr>
            <w:r>
              <w:rPr>
                <w:i/>
                <w:iCs/>
                <w:kern w:val="0"/>
                <w:sz w:val="24"/>
                <w:u w:val="single"/>
              </w:rPr>
              <w:t>地面采取防渗硬化，设置导流沟、小型应急收集池，一旦油料泄漏及时收容，防止流淌</w:t>
            </w:r>
            <w:r>
              <w:rPr>
                <w:rFonts w:hint="eastAsia"/>
                <w:i/>
                <w:iCs/>
                <w:kern w:val="0"/>
                <w:sz w:val="24"/>
                <w:u w:val="single"/>
              </w:rPr>
              <w:t>或</w:t>
            </w:r>
            <w:r>
              <w:rPr>
                <w:i/>
                <w:iCs/>
                <w:kern w:val="0"/>
                <w:sz w:val="24"/>
                <w:u w:val="single"/>
              </w:rPr>
              <w:t>扩散；</w:t>
            </w:r>
          </w:p>
          <w:p>
            <w:pPr>
              <w:spacing w:line="360" w:lineRule="auto"/>
              <w:ind w:firstLine="480" w:firstLineChars="200"/>
              <w:rPr>
                <w:i/>
                <w:iCs/>
                <w:kern w:val="0"/>
                <w:sz w:val="24"/>
                <w:u w:val="single"/>
              </w:rPr>
            </w:pPr>
            <w:r>
              <w:rPr>
                <w:i/>
                <w:iCs/>
                <w:kern w:val="0"/>
                <w:sz w:val="24"/>
                <w:u w:val="single"/>
              </w:rPr>
              <w:t xml:space="preserve">剪切作业区域全域禁烟禁火，设置永久性禁火警示标识；所有电气设备选用防尘型，线缆规范敷设，杜绝线路短路打火； </w:t>
            </w:r>
          </w:p>
          <w:p>
            <w:pPr>
              <w:spacing w:line="360" w:lineRule="auto"/>
              <w:rPr>
                <w:i/>
                <w:iCs/>
                <w:kern w:val="0"/>
                <w:sz w:val="24"/>
                <w:u w:val="single"/>
              </w:rPr>
            </w:pPr>
            <w:r>
              <w:rPr>
                <w:i/>
                <w:iCs/>
                <w:kern w:val="0"/>
                <w:sz w:val="24"/>
                <w:u w:val="single"/>
              </w:rPr>
              <w:t xml:space="preserve"> </w:t>
            </w:r>
            <w:r>
              <w:rPr>
                <w:rFonts w:hint="eastAsia"/>
                <w:i/>
                <w:iCs/>
                <w:kern w:val="0"/>
                <w:sz w:val="24"/>
                <w:u w:val="single"/>
              </w:rPr>
              <w:t xml:space="preserve">  </w:t>
            </w:r>
            <w:r>
              <w:rPr>
                <w:i/>
                <w:iCs/>
                <w:kern w:val="0"/>
                <w:sz w:val="24"/>
                <w:u w:val="single"/>
              </w:rPr>
              <w:t>剪切作业前清理机具周边油污、塑料碎屑、橡胶件等易燃杂物；剪切过</w:t>
            </w:r>
            <w:r>
              <w:rPr>
                <w:rFonts w:hint="eastAsia"/>
                <w:i/>
                <w:iCs/>
                <w:kern w:val="0"/>
                <w:sz w:val="24"/>
                <w:u w:val="single"/>
              </w:rPr>
              <w:t>程中</w:t>
            </w:r>
            <w:r>
              <w:rPr>
                <w:i/>
                <w:iCs/>
                <w:kern w:val="0"/>
                <w:sz w:val="24"/>
                <w:u w:val="single"/>
              </w:rPr>
              <w:t>安排专人监护，一旦出现火花引燃杂物立即处置。</w:t>
            </w:r>
          </w:p>
          <w:p>
            <w:pPr>
              <w:spacing w:line="360" w:lineRule="auto"/>
              <w:ind w:firstLine="480" w:firstLineChars="200"/>
              <w:rPr>
                <w:i/>
                <w:iCs/>
                <w:kern w:val="0"/>
                <w:sz w:val="24"/>
                <w:u w:val="single"/>
              </w:rPr>
            </w:pPr>
            <w:r>
              <w:rPr>
                <w:i/>
                <w:iCs/>
                <w:kern w:val="0"/>
                <w:sz w:val="24"/>
                <w:u w:val="single"/>
              </w:rPr>
              <w:t>剪切产生的含油金属碎屑、沾染油污抹布分类收集，作为危险废物密闭存放，及时转运，防止积热自燃。</w:t>
            </w:r>
          </w:p>
          <w:p>
            <w:pPr>
              <w:spacing w:line="360" w:lineRule="auto"/>
              <w:ind w:firstLine="480" w:firstLineChars="200"/>
              <w:rPr>
                <w:rFonts w:ascii="宋体" w:hAnsi="宋体" w:cs="宋体"/>
                <w:i/>
                <w:iCs/>
                <w:kern w:val="0"/>
                <w:sz w:val="24"/>
                <w:u w:val="single"/>
              </w:rPr>
            </w:pPr>
            <w:r>
              <w:rPr>
                <w:rFonts w:hint="eastAsia" w:ascii="宋体" w:hAnsi="宋体" w:cs="宋体"/>
                <w:i/>
                <w:iCs/>
                <w:kern w:val="0"/>
                <w:sz w:val="24"/>
                <w:u w:val="single"/>
              </w:rPr>
              <w:t>本</w:t>
            </w:r>
            <w:r>
              <w:rPr>
                <w:rFonts w:ascii="宋体" w:hAnsi="宋体" w:cs="宋体"/>
                <w:i/>
                <w:iCs/>
                <w:kern w:val="0"/>
                <w:sz w:val="24"/>
                <w:u w:val="single"/>
              </w:rPr>
              <w:t xml:space="preserve">环评主要针对项目可能出现的环境风险提出应急措施，建设单位应根据项目建设情况编制突发环境事件应急预案，组建环境事件应急组织机构，明确各应急小组的职责，合理规定本项目突发环境事件的预防、预警机制，制定应急处置措施及处置方法。同时，建设单位编制的突发事件环境风险应急预案应与周边企业、生态环境局之间建立应急联动机制。 </w:t>
            </w:r>
          </w:p>
          <w:p>
            <w:pPr>
              <w:widowControl/>
              <w:ind w:firstLine="482" w:firstLineChars="200"/>
              <w:jc w:val="left"/>
              <w:rPr>
                <w:i/>
                <w:iCs/>
                <w:u w:val="single"/>
              </w:rPr>
            </w:pPr>
            <w:r>
              <w:rPr>
                <w:rFonts w:hint="eastAsia" w:ascii="宋体" w:hAnsi="宋体" w:cs="宋体"/>
                <w:b/>
                <w:bCs/>
                <w:i/>
                <w:iCs/>
                <w:kern w:val="0"/>
                <w:sz w:val="24"/>
                <w:u w:val="single"/>
              </w:rPr>
              <w:t>（6）环境风险评价结论</w:t>
            </w:r>
          </w:p>
          <w:p>
            <w:pPr>
              <w:widowControl/>
              <w:spacing w:line="360" w:lineRule="auto"/>
              <w:ind w:firstLine="480" w:firstLineChars="200"/>
              <w:jc w:val="left"/>
              <w:rPr>
                <w:rFonts w:ascii="宋体" w:hAnsi="宋体" w:cs="宋体"/>
                <w:i/>
                <w:iCs/>
                <w:kern w:val="0"/>
                <w:sz w:val="24"/>
                <w:u w:val="single"/>
              </w:rPr>
            </w:pPr>
            <w:r>
              <w:rPr>
                <w:rFonts w:hint="eastAsia" w:ascii="宋体" w:hAnsi="宋体" w:cs="宋体"/>
                <w:i/>
                <w:iCs/>
                <w:kern w:val="0"/>
                <w:sz w:val="24"/>
                <w:u w:val="single"/>
              </w:rPr>
              <w:t>该建设项目存在一定潜在事故风险，只要建设单位加强风险管理，在项目建设、实施过程中认真落实各种风险防范措施，通过相应的技术手段降低风险发生概率，并在风险事故发生后，及时采取风险防范措施及应急预案，可以使风险事故对环境的危害得到有效控制，将事故风险控制在可以接受的范围内，因此，该项目事故风险水平是可以接受的。</w:t>
            </w:r>
          </w:p>
          <w:p>
            <w:pPr>
              <w:pStyle w:val="2"/>
              <w:spacing w:line="240" w:lineRule="auto"/>
              <w:jc w:val="center"/>
              <w:rPr>
                <w:rFonts w:ascii="宋体" w:hAnsi="宋体" w:cs="宋体"/>
                <w:b/>
                <w:bCs/>
                <w:i/>
                <w:iCs/>
                <w:kern w:val="0"/>
                <w:sz w:val="24"/>
                <w:u w:val="single"/>
              </w:rPr>
            </w:pPr>
            <w:r>
              <w:rPr>
                <w:rFonts w:hint="eastAsia" w:ascii="宋体" w:hAnsi="宋体" w:cs="宋体"/>
                <w:b/>
                <w:bCs/>
                <w:i/>
                <w:iCs/>
                <w:kern w:val="0"/>
                <w:sz w:val="24"/>
                <w:u w:val="single"/>
              </w:rPr>
              <w:t>表4-21  建设项目环境风险简单分析内容表</w:t>
            </w:r>
          </w:p>
          <w:tbl>
            <w:tblPr>
              <w:tblW w:w="8399" w:type="dxa"/>
              <w:jc w:val="center"/>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fixed"/>
              <w:tblCellMar>
                <w:left w:w="28" w:type="dxa"/>
                <w:right w:w="28" w:type="dxa"/>
              </w:tblCellMar>
            </w:tblPr>
            <w:tblGrid>
              <w:gridCol w:w="1899"/>
              <w:gridCol w:w="981"/>
              <w:gridCol w:w="2106"/>
              <w:gridCol w:w="952"/>
              <w:gridCol w:w="610"/>
              <w:gridCol w:w="1851"/>
            </w:tblGrid>
            <w:tr>
              <w:trPr>
                <w:trHeight w:val="320" w:hRule="atLeast"/>
                <w:jc w:val="center"/>
              </w:trPr>
              <w:tc>
                <w:tcPr>
                  <w:tcW w:w="1899" w:type="dxa"/>
                  <w:tcBorders>
                    <w:tl2br w:val="nil"/>
                    <w:tr2bl w:val="nil"/>
                  </w:tcBorders>
                  <w:vAlign w:val="center"/>
                </w:tcPr>
                <w:p>
                  <w:pPr>
                    <w:pStyle w:val="32"/>
                    <w:tabs>
                      <w:tab w:val="right" w:leader="dot" w:pos="8607"/>
                      <w:tab w:val="right" w:leader="dot" w:pos="8891"/>
                    </w:tabs>
                    <w:rPr>
                      <w:i/>
                      <w:iCs/>
                      <w:szCs w:val="21"/>
                      <w:u w:val="single"/>
                    </w:rPr>
                  </w:pPr>
                  <w:r>
                    <w:rPr>
                      <w:i/>
                      <w:iCs/>
                      <w:szCs w:val="21"/>
                      <w:u w:val="single"/>
                    </w:rPr>
                    <w:t>建设项目名称</w:t>
                  </w:r>
                </w:p>
              </w:tc>
              <w:tc>
                <w:tcPr>
                  <w:tcW w:w="6500" w:type="dxa"/>
                  <w:gridSpan w:val="5"/>
                  <w:tcBorders>
                    <w:tl2br w:val="nil"/>
                    <w:tr2bl w:val="nil"/>
                  </w:tcBorders>
                  <w:vAlign w:val="center"/>
                </w:tcPr>
                <w:p>
                  <w:pPr>
                    <w:pStyle w:val="32"/>
                    <w:tabs>
                      <w:tab w:val="right" w:leader="dot" w:pos="8607"/>
                      <w:tab w:val="right" w:leader="dot" w:pos="8891"/>
                    </w:tabs>
                    <w:rPr>
                      <w:i/>
                      <w:iCs/>
                      <w:szCs w:val="21"/>
                      <w:u w:val="single"/>
                    </w:rPr>
                  </w:pPr>
                  <w:r>
                    <w:rPr>
                      <w:rFonts w:hint="eastAsia"/>
                      <w:i/>
                      <w:iCs/>
                      <w:szCs w:val="21"/>
                      <w:u w:val="single"/>
                    </w:rPr>
                    <w:t>柳河县众诚报废农业机械拆解有限公司</w:t>
                  </w:r>
                </w:p>
              </w:tc>
            </w:tr>
            <w:tr>
              <w:trPr>
                <w:trHeight w:val="926" w:hRule="atLeast"/>
                <w:jc w:val="center"/>
              </w:trPr>
              <w:tc>
                <w:tcPr>
                  <w:tcW w:w="1899" w:type="dxa"/>
                  <w:tcBorders>
                    <w:tl2br w:val="nil"/>
                    <w:tr2bl w:val="nil"/>
                  </w:tcBorders>
                  <w:vAlign w:val="center"/>
                </w:tcPr>
                <w:p>
                  <w:pPr>
                    <w:pStyle w:val="32"/>
                    <w:tabs>
                      <w:tab w:val="right" w:leader="dot" w:pos="8607"/>
                      <w:tab w:val="right" w:leader="dot" w:pos="8891"/>
                    </w:tabs>
                    <w:rPr>
                      <w:i/>
                      <w:iCs/>
                      <w:szCs w:val="21"/>
                      <w:u w:val="single"/>
                    </w:rPr>
                  </w:pPr>
                  <w:r>
                    <w:rPr>
                      <w:i/>
                      <w:iCs/>
                      <w:szCs w:val="21"/>
                      <w:u w:val="single"/>
                    </w:rPr>
                    <w:t>建设地点</w:t>
                  </w:r>
                </w:p>
              </w:tc>
              <w:tc>
                <w:tcPr>
                  <w:tcW w:w="981" w:type="dxa"/>
                  <w:tcBorders>
                    <w:tl2br w:val="nil"/>
                    <w:tr2bl w:val="nil"/>
                  </w:tcBorders>
                  <w:vAlign w:val="center"/>
                </w:tcPr>
                <w:p>
                  <w:pPr>
                    <w:pStyle w:val="32"/>
                    <w:tabs>
                      <w:tab w:val="right" w:leader="dot" w:pos="8607"/>
                      <w:tab w:val="right" w:leader="dot" w:pos="8891"/>
                    </w:tabs>
                    <w:rPr>
                      <w:i/>
                      <w:iCs/>
                      <w:szCs w:val="21"/>
                      <w:u w:val="single"/>
                    </w:rPr>
                  </w:pPr>
                  <w:r>
                    <w:rPr>
                      <w:i/>
                      <w:iCs/>
                      <w:szCs w:val="21"/>
                      <w:u w:val="single"/>
                    </w:rPr>
                    <w:t>（</w:t>
                  </w:r>
                  <w:r>
                    <w:rPr>
                      <w:rFonts w:hint="eastAsia"/>
                      <w:i/>
                      <w:iCs/>
                      <w:szCs w:val="21"/>
                      <w:u w:val="single"/>
                    </w:rPr>
                    <w:t>吉林</w:t>
                  </w:r>
                  <w:r>
                    <w:rPr>
                      <w:i/>
                      <w:iCs/>
                      <w:szCs w:val="21"/>
                      <w:u w:val="single"/>
                    </w:rPr>
                    <w:t>）省</w:t>
                  </w:r>
                </w:p>
              </w:tc>
              <w:tc>
                <w:tcPr>
                  <w:tcW w:w="2106" w:type="dxa"/>
                  <w:tcBorders>
                    <w:tl2br w:val="nil"/>
                    <w:tr2bl w:val="nil"/>
                  </w:tcBorders>
                  <w:vAlign w:val="center"/>
                </w:tcPr>
                <w:p>
                  <w:pPr>
                    <w:pStyle w:val="32"/>
                    <w:tabs>
                      <w:tab w:val="right" w:leader="dot" w:pos="8607"/>
                      <w:tab w:val="right" w:leader="dot" w:pos="8891"/>
                    </w:tabs>
                    <w:rPr>
                      <w:i/>
                      <w:iCs/>
                      <w:szCs w:val="21"/>
                      <w:u w:val="single"/>
                    </w:rPr>
                  </w:pPr>
                  <w:r>
                    <w:rPr>
                      <w:i/>
                      <w:iCs/>
                      <w:szCs w:val="21"/>
                      <w:u w:val="single"/>
                    </w:rPr>
                    <w:t>（</w:t>
                  </w:r>
                  <w:r>
                    <w:rPr>
                      <w:rFonts w:hint="eastAsia"/>
                      <w:i/>
                      <w:iCs/>
                      <w:szCs w:val="21"/>
                      <w:u w:val="single"/>
                    </w:rPr>
                    <w:t>通化</w:t>
                  </w:r>
                  <w:r>
                    <w:rPr>
                      <w:i/>
                      <w:iCs/>
                      <w:szCs w:val="21"/>
                      <w:u w:val="single"/>
                    </w:rPr>
                    <w:t>）市</w:t>
                  </w:r>
                </w:p>
              </w:tc>
              <w:tc>
                <w:tcPr>
                  <w:tcW w:w="952" w:type="dxa"/>
                  <w:tcBorders>
                    <w:tl2br w:val="nil"/>
                    <w:tr2bl w:val="nil"/>
                  </w:tcBorders>
                  <w:vAlign w:val="center"/>
                </w:tcPr>
                <w:p>
                  <w:pPr>
                    <w:pStyle w:val="32"/>
                    <w:tabs>
                      <w:tab w:val="right" w:leader="dot" w:pos="8607"/>
                      <w:tab w:val="right" w:leader="dot" w:pos="8891"/>
                    </w:tabs>
                    <w:rPr>
                      <w:i/>
                      <w:iCs/>
                      <w:szCs w:val="21"/>
                      <w:u w:val="single"/>
                    </w:rPr>
                  </w:pPr>
                  <w:r>
                    <w:rPr>
                      <w:rFonts w:hint="eastAsia"/>
                      <w:i/>
                      <w:iCs/>
                      <w:szCs w:val="21"/>
                      <w:u w:val="single"/>
                    </w:rPr>
                    <w:t>（/）区</w:t>
                  </w:r>
                </w:p>
              </w:tc>
              <w:tc>
                <w:tcPr>
                  <w:tcW w:w="610" w:type="dxa"/>
                  <w:tcBorders>
                    <w:tl2br w:val="nil"/>
                    <w:tr2bl w:val="nil"/>
                  </w:tcBorders>
                  <w:vAlign w:val="center"/>
                </w:tcPr>
                <w:p>
                  <w:pPr>
                    <w:pStyle w:val="32"/>
                    <w:tabs>
                      <w:tab w:val="right" w:leader="dot" w:pos="8607"/>
                      <w:tab w:val="right" w:leader="dot" w:pos="8891"/>
                    </w:tabs>
                    <w:rPr>
                      <w:i/>
                      <w:iCs/>
                      <w:szCs w:val="21"/>
                      <w:u w:val="single"/>
                    </w:rPr>
                  </w:pPr>
                  <w:r>
                    <w:rPr>
                      <w:rFonts w:hint="eastAsia"/>
                      <w:i/>
                      <w:iCs/>
                      <w:szCs w:val="21"/>
                      <w:u w:val="single"/>
                    </w:rPr>
                    <w:t>（柳河）县</w:t>
                  </w:r>
                </w:p>
              </w:tc>
              <w:tc>
                <w:tcPr>
                  <w:tcW w:w="1851" w:type="dxa"/>
                  <w:tcBorders>
                    <w:tl2br w:val="nil"/>
                    <w:tr2bl w:val="nil"/>
                  </w:tcBorders>
                  <w:vAlign w:val="center"/>
                </w:tcPr>
                <w:p>
                  <w:pPr>
                    <w:pStyle w:val="32"/>
                    <w:tabs>
                      <w:tab w:val="right" w:leader="dot" w:pos="8607"/>
                      <w:tab w:val="right" w:leader="dot" w:pos="8891"/>
                    </w:tabs>
                    <w:rPr>
                      <w:i/>
                      <w:iCs/>
                      <w:szCs w:val="21"/>
                      <w:u w:val="single"/>
                    </w:rPr>
                  </w:pPr>
                  <w:r>
                    <w:rPr>
                      <w:rFonts w:hint="eastAsia"/>
                      <w:i/>
                      <w:iCs/>
                      <w:szCs w:val="21"/>
                      <w:u w:val="single"/>
                    </w:rPr>
                    <w:t>吉林省通化市柳河县柳河镇河北村</w:t>
                  </w:r>
                </w:p>
              </w:tc>
            </w:tr>
            <w:tr>
              <w:trPr>
                <w:trHeight w:val="316" w:hRule="atLeast"/>
                <w:jc w:val="center"/>
              </w:trPr>
              <w:tc>
                <w:tcPr>
                  <w:tcW w:w="1899" w:type="dxa"/>
                  <w:tcBorders>
                    <w:tl2br w:val="nil"/>
                    <w:tr2bl w:val="nil"/>
                  </w:tcBorders>
                  <w:vAlign w:val="center"/>
                </w:tcPr>
                <w:p>
                  <w:pPr>
                    <w:pStyle w:val="32"/>
                    <w:tabs>
                      <w:tab w:val="right" w:leader="dot" w:pos="8607"/>
                      <w:tab w:val="right" w:leader="dot" w:pos="8891"/>
                    </w:tabs>
                    <w:rPr>
                      <w:i/>
                      <w:iCs/>
                      <w:szCs w:val="21"/>
                      <w:u w:val="single"/>
                    </w:rPr>
                  </w:pPr>
                  <w:r>
                    <w:rPr>
                      <w:i/>
                      <w:iCs/>
                      <w:szCs w:val="21"/>
                      <w:u w:val="single"/>
                    </w:rPr>
                    <w:t>地理坐标</w:t>
                  </w:r>
                </w:p>
              </w:tc>
              <w:tc>
                <w:tcPr>
                  <w:tcW w:w="981" w:type="dxa"/>
                  <w:tcBorders>
                    <w:tl2br w:val="nil"/>
                    <w:tr2bl w:val="nil"/>
                  </w:tcBorders>
                  <w:vAlign w:val="center"/>
                </w:tcPr>
                <w:p>
                  <w:pPr>
                    <w:pStyle w:val="32"/>
                    <w:tabs>
                      <w:tab w:val="right" w:leader="dot" w:pos="8607"/>
                      <w:tab w:val="right" w:leader="dot" w:pos="8891"/>
                    </w:tabs>
                    <w:rPr>
                      <w:i/>
                      <w:iCs/>
                      <w:szCs w:val="21"/>
                      <w:u w:val="single"/>
                    </w:rPr>
                  </w:pPr>
                  <w:r>
                    <w:rPr>
                      <w:rFonts w:hint="eastAsia"/>
                      <w:i/>
                      <w:iCs/>
                      <w:szCs w:val="21"/>
                      <w:u w:val="single"/>
                    </w:rPr>
                    <w:t>经度</w:t>
                  </w:r>
                </w:p>
              </w:tc>
              <w:tc>
                <w:tcPr>
                  <w:tcW w:w="2106" w:type="dxa"/>
                  <w:tcBorders>
                    <w:tl2br w:val="nil"/>
                    <w:tr2bl w:val="nil"/>
                  </w:tcBorders>
                  <w:vAlign w:val="center"/>
                </w:tcPr>
                <w:p>
                  <w:pPr>
                    <w:pStyle w:val="32"/>
                    <w:tabs>
                      <w:tab w:val="right" w:leader="dot" w:pos="8607"/>
                      <w:tab w:val="right" w:leader="dot" w:pos="8891"/>
                    </w:tabs>
                    <w:rPr>
                      <w:i/>
                      <w:iCs/>
                      <w:szCs w:val="21"/>
                      <w:u w:val="single"/>
                    </w:rPr>
                  </w:pPr>
                  <w:r>
                    <w:rPr>
                      <w:rFonts w:hint="eastAsia"/>
                      <w:i/>
                      <w:iCs/>
                      <w:szCs w:val="21"/>
                      <w:u w:val="single"/>
                    </w:rPr>
                    <w:t>125.699548656</w:t>
                  </w:r>
                </w:p>
              </w:tc>
              <w:tc>
                <w:tcPr>
                  <w:tcW w:w="952" w:type="dxa"/>
                  <w:tcBorders>
                    <w:tl2br w:val="nil"/>
                    <w:tr2bl w:val="nil"/>
                  </w:tcBorders>
                  <w:vAlign w:val="center"/>
                </w:tcPr>
                <w:p>
                  <w:pPr>
                    <w:pStyle w:val="32"/>
                    <w:tabs>
                      <w:tab w:val="right" w:leader="dot" w:pos="8607"/>
                      <w:tab w:val="right" w:leader="dot" w:pos="8891"/>
                    </w:tabs>
                    <w:rPr>
                      <w:i/>
                      <w:iCs/>
                      <w:szCs w:val="21"/>
                      <w:u w:val="single"/>
                    </w:rPr>
                  </w:pPr>
                  <w:r>
                    <w:rPr>
                      <w:i/>
                      <w:iCs/>
                      <w:szCs w:val="21"/>
                      <w:u w:val="single"/>
                    </w:rPr>
                    <w:t>纬度</w:t>
                  </w:r>
                </w:p>
              </w:tc>
              <w:tc>
                <w:tcPr>
                  <w:tcW w:w="2461" w:type="dxa"/>
                  <w:gridSpan w:val="2"/>
                  <w:tcBorders>
                    <w:tl2br w:val="nil"/>
                    <w:tr2bl w:val="nil"/>
                  </w:tcBorders>
                  <w:vAlign w:val="center"/>
                </w:tcPr>
                <w:p>
                  <w:pPr>
                    <w:pStyle w:val="32"/>
                    <w:tabs>
                      <w:tab w:val="right" w:leader="dot" w:pos="8607"/>
                      <w:tab w:val="right" w:leader="dot" w:pos="8891"/>
                    </w:tabs>
                    <w:rPr>
                      <w:i/>
                      <w:iCs/>
                      <w:szCs w:val="21"/>
                      <w:u w:val="single"/>
                    </w:rPr>
                  </w:pPr>
                  <w:r>
                    <w:rPr>
                      <w:rFonts w:hint="eastAsia"/>
                      <w:i/>
                      <w:iCs/>
                      <w:szCs w:val="21"/>
                      <w:u w:val="single"/>
                    </w:rPr>
                    <w:t>42.272858633</w:t>
                  </w:r>
                </w:p>
              </w:tc>
            </w:tr>
            <w:tr>
              <w:trPr>
                <w:trHeight w:val="316" w:hRule="atLeast"/>
                <w:jc w:val="center"/>
              </w:trPr>
              <w:tc>
                <w:tcPr>
                  <w:tcW w:w="1899" w:type="dxa"/>
                  <w:tcBorders>
                    <w:tl2br w:val="nil"/>
                    <w:tr2bl w:val="nil"/>
                  </w:tcBorders>
                  <w:vAlign w:val="center"/>
                </w:tcPr>
                <w:p>
                  <w:pPr>
                    <w:pStyle w:val="32"/>
                    <w:tabs>
                      <w:tab w:val="right" w:leader="dot" w:pos="8607"/>
                      <w:tab w:val="right" w:leader="dot" w:pos="8891"/>
                    </w:tabs>
                    <w:rPr>
                      <w:i/>
                      <w:iCs/>
                      <w:szCs w:val="21"/>
                      <w:u w:val="single"/>
                    </w:rPr>
                  </w:pPr>
                  <w:r>
                    <w:rPr>
                      <w:i/>
                      <w:iCs/>
                      <w:szCs w:val="21"/>
                      <w:u w:val="single"/>
                    </w:rPr>
                    <w:t>主要危险物质及分布</w:t>
                  </w:r>
                </w:p>
              </w:tc>
              <w:tc>
                <w:tcPr>
                  <w:tcW w:w="6500" w:type="dxa"/>
                  <w:gridSpan w:val="5"/>
                  <w:tcBorders>
                    <w:tl2br w:val="nil"/>
                    <w:tr2bl w:val="nil"/>
                  </w:tcBorders>
                  <w:vAlign w:val="center"/>
                </w:tcPr>
                <w:p>
                  <w:pPr>
                    <w:pStyle w:val="32"/>
                    <w:tabs>
                      <w:tab w:val="right" w:leader="dot" w:pos="8607"/>
                      <w:tab w:val="right" w:leader="dot" w:pos="8891"/>
                    </w:tabs>
                    <w:rPr>
                      <w:i/>
                      <w:iCs/>
                      <w:szCs w:val="21"/>
                      <w:u w:val="single"/>
                    </w:rPr>
                  </w:pPr>
                  <w:r>
                    <w:rPr>
                      <w:rFonts w:hint="eastAsia"/>
                      <w:i/>
                      <w:iCs/>
                      <w:szCs w:val="21"/>
                      <w:u w:val="single"/>
                    </w:rPr>
                    <w:t>危险物质：废油液、硫酸。分布：危险废物贮存库</w:t>
                  </w:r>
                </w:p>
              </w:tc>
            </w:tr>
            <w:tr>
              <w:trPr>
                <w:trHeight w:val="3979" w:hRule="atLeast"/>
                <w:jc w:val="center"/>
              </w:trPr>
              <w:tc>
                <w:tcPr>
                  <w:tcW w:w="1899" w:type="dxa"/>
                  <w:tcBorders>
                    <w:tl2br w:val="nil"/>
                    <w:tr2bl w:val="nil"/>
                  </w:tcBorders>
                  <w:vAlign w:val="center"/>
                </w:tcPr>
                <w:p>
                  <w:pPr>
                    <w:pStyle w:val="32"/>
                    <w:tabs>
                      <w:tab w:val="right" w:leader="dot" w:pos="8607"/>
                      <w:tab w:val="right" w:leader="dot" w:pos="8891"/>
                    </w:tabs>
                    <w:rPr>
                      <w:i/>
                      <w:iCs/>
                      <w:szCs w:val="21"/>
                      <w:u w:val="single"/>
                    </w:rPr>
                  </w:pPr>
                  <w:r>
                    <w:rPr>
                      <w:i/>
                      <w:iCs/>
                      <w:szCs w:val="21"/>
                      <w:u w:val="single"/>
                    </w:rPr>
                    <w:t>环境影响途径及危害后果（大气、地表水、地下水等）</w:t>
                  </w:r>
                </w:p>
              </w:tc>
              <w:tc>
                <w:tcPr>
                  <w:tcW w:w="6500" w:type="dxa"/>
                  <w:gridSpan w:val="5"/>
                  <w:tcBorders>
                    <w:tl2br w:val="nil"/>
                    <w:tr2bl w:val="nil"/>
                  </w:tcBorders>
                  <w:vAlign w:val="center"/>
                </w:tcPr>
                <w:p>
                  <w:pPr>
                    <w:widowControl/>
                    <w:jc w:val="left"/>
                    <w:rPr>
                      <w:i/>
                      <w:iCs/>
                      <w:szCs w:val="21"/>
                      <w:u w:val="single"/>
                    </w:rPr>
                  </w:pPr>
                  <w:r>
                    <w:rPr>
                      <w:rFonts w:hint="eastAsia" w:ascii="宋体" w:hAnsi="宋体" w:cs="宋体"/>
                      <w:i/>
                      <w:iCs/>
                      <w:color w:val="000000"/>
                      <w:kern w:val="0"/>
                      <w:szCs w:val="21"/>
                      <w:u w:val="single"/>
                    </w:rPr>
                    <w:t xml:space="preserve">对大气造成的环境影响： </w:t>
                  </w:r>
                </w:p>
                <w:p>
                  <w:pPr>
                    <w:widowControl/>
                    <w:jc w:val="left"/>
                    <w:rPr>
                      <w:i/>
                      <w:iCs/>
                      <w:szCs w:val="21"/>
                      <w:u w:val="single"/>
                    </w:rPr>
                  </w:pPr>
                  <w:r>
                    <w:rPr>
                      <w:rFonts w:hint="eastAsia" w:ascii="宋体" w:hAnsi="宋体" w:cs="宋体"/>
                      <w:i/>
                      <w:iCs/>
                      <w:color w:val="000000"/>
                      <w:kern w:val="0"/>
                      <w:szCs w:val="21"/>
                      <w:u w:val="single"/>
                    </w:rPr>
                    <w:t>本项目废矿物油与含矿物油废物（汽油、柴油、发动机机油等）泄漏遇明火可能引发火灾、爆炸，产生的伴生</w:t>
                  </w:r>
                  <w:r>
                    <w:rPr>
                      <w:i/>
                      <w:iCs/>
                      <w:color w:val="000000"/>
                      <w:kern w:val="0"/>
                      <w:szCs w:val="21"/>
                      <w:u w:val="single"/>
                    </w:rPr>
                    <w:t>/</w:t>
                  </w:r>
                  <w:r>
                    <w:rPr>
                      <w:rFonts w:hint="eastAsia" w:ascii="宋体" w:hAnsi="宋体" w:cs="宋体"/>
                      <w:i/>
                      <w:iCs/>
                      <w:color w:val="000000"/>
                      <w:kern w:val="0"/>
                      <w:szCs w:val="21"/>
                      <w:u w:val="single"/>
                    </w:rPr>
                    <w:t xml:space="preserve">次生污染物将对大气环境造成不利影响；当活性炭处理装置、布袋除尘器处理装置失效时，非甲烷总烃、粉尘排放浓度超标，也会对大气环境造成不利影响。 </w:t>
                  </w:r>
                </w:p>
                <w:p>
                  <w:pPr>
                    <w:widowControl/>
                    <w:jc w:val="left"/>
                    <w:rPr>
                      <w:i/>
                      <w:iCs/>
                      <w:szCs w:val="21"/>
                      <w:u w:val="single"/>
                    </w:rPr>
                  </w:pPr>
                  <w:r>
                    <w:rPr>
                      <w:rFonts w:hint="eastAsia" w:ascii="宋体" w:hAnsi="宋体" w:cs="宋体"/>
                      <w:i/>
                      <w:iCs/>
                      <w:color w:val="000000"/>
                      <w:kern w:val="0"/>
                      <w:szCs w:val="21"/>
                      <w:u w:val="single"/>
                    </w:rPr>
                    <w:t xml:space="preserve">对地表水造成的环境影响： </w:t>
                  </w:r>
                </w:p>
                <w:p>
                  <w:pPr>
                    <w:widowControl/>
                    <w:jc w:val="left"/>
                    <w:rPr>
                      <w:i/>
                      <w:iCs/>
                      <w:szCs w:val="21"/>
                      <w:u w:val="single"/>
                    </w:rPr>
                  </w:pPr>
                  <w:r>
                    <w:rPr>
                      <w:rFonts w:hint="eastAsia" w:ascii="宋体" w:hAnsi="宋体" w:cs="宋体"/>
                      <w:i/>
                      <w:iCs/>
                      <w:color w:val="000000"/>
                      <w:kern w:val="0"/>
                      <w:szCs w:val="21"/>
                      <w:u w:val="single"/>
                    </w:rPr>
                    <w:t xml:space="preserve">本项目初期雨水、事故废水全部排入事故应急池，不会直接排入外环境，但存在池体和管线泄漏对地下水、土壤造成的环境影响： </w:t>
                  </w:r>
                </w:p>
                <w:p>
                  <w:pPr>
                    <w:widowControl/>
                    <w:jc w:val="left"/>
                    <w:rPr>
                      <w:i/>
                      <w:iCs/>
                      <w:szCs w:val="21"/>
                      <w:u w:val="single"/>
                    </w:rPr>
                  </w:pPr>
                  <w:r>
                    <w:rPr>
                      <w:rFonts w:hint="eastAsia" w:ascii="宋体" w:hAnsi="宋体" w:cs="宋体"/>
                      <w:i/>
                      <w:iCs/>
                      <w:color w:val="000000"/>
                      <w:kern w:val="0"/>
                      <w:szCs w:val="21"/>
                      <w:u w:val="single"/>
                    </w:rPr>
                    <w:t>厂区按照《报废机动车拆解企业污染控制技术规范》(HJ348-2022)和厂区防渗要求进行设计和建造，正常情况下，不会对地下水、土壤产生影响。当渗漏液发生泄漏遇防渗层出现破损时，才有可能通过渗透、吸收等途径进入地下水、土壤，造成地下水、土壤环境的不利影响。</w:t>
                  </w:r>
                </w:p>
              </w:tc>
            </w:tr>
            <w:tr>
              <w:trPr>
                <w:trHeight w:val="8863" w:hRule="atLeast"/>
                <w:jc w:val="center"/>
              </w:trPr>
              <w:tc>
                <w:tcPr>
                  <w:tcW w:w="1899" w:type="dxa"/>
                  <w:tcBorders>
                    <w:tl2br w:val="nil"/>
                    <w:tr2bl w:val="nil"/>
                  </w:tcBorders>
                  <w:vAlign w:val="center"/>
                </w:tcPr>
                <w:p>
                  <w:pPr>
                    <w:pStyle w:val="32"/>
                    <w:tabs>
                      <w:tab w:val="right" w:leader="dot" w:pos="8607"/>
                      <w:tab w:val="right" w:leader="dot" w:pos="8891"/>
                    </w:tabs>
                    <w:rPr>
                      <w:i/>
                      <w:iCs/>
                      <w:szCs w:val="21"/>
                      <w:u w:val="single"/>
                    </w:rPr>
                  </w:pPr>
                  <w:r>
                    <w:rPr>
                      <w:i/>
                      <w:iCs/>
                      <w:szCs w:val="21"/>
                      <w:u w:val="single"/>
                    </w:rPr>
                    <w:t>风险防范措施要求</w:t>
                  </w:r>
                </w:p>
              </w:tc>
              <w:tc>
                <w:tcPr>
                  <w:tcW w:w="6500" w:type="dxa"/>
                  <w:gridSpan w:val="5"/>
                  <w:tcBorders>
                    <w:tl2br w:val="nil"/>
                    <w:tr2bl w:val="nil"/>
                  </w:tcBorders>
                  <w:vAlign w:val="center"/>
                </w:tcPr>
                <w:p>
                  <w:pPr>
                    <w:widowControl/>
                    <w:jc w:val="left"/>
                    <w:rPr>
                      <w:i/>
                      <w:iCs/>
                      <w:szCs w:val="21"/>
                      <w:u w:val="single"/>
                    </w:rPr>
                  </w:pPr>
                  <w:r>
                    <w:rPr>
                      <w:rFonts w:hint="eastAsia" w:ascii="宋体" w:hAnsi="宋体" w:cs="宋体"/>
                      <w:i/>
                      <w:iCs/>
                      <w:color w:val="000000"/>
                      <w:kern w:val="0"/>
                      <w:szCs w:val="21"/>
                      <w:u w:val="single"/>
                    </w:rPr>
                    <w:t>废液发生泄漏，火灾、爆炸等引发的伴生</w:t>
                  </w:r>
                  <w:r>
                    <w:rPr>
                      <w:i/>
                      <w:iCs/>
                      <w:color w:val="000000"/>
                      <w:kern w:val="0"/>
                      <w:szCs w:val="21"/>
                      <w:u w:val="single"/>
                    </w:rPr>
                    <w:t>/</w:t>
                  </w:r>
                  <w:r>
                    <w:rPr>
                      <w:rFonts w:hint="eastAsia" w:ascii="宋体" w:hAnsi="宋体" w:cs="宋体"/>
                      <w:i/>
                      <w:iCs/>
                      <w:color w:val="000000"/>
                      <w:kern w:val="0"/>
                      <w:szCs w:val="21"/>
                      <w:u w:val="single"/>
                    </w:rPr>
                    <w:t>次生污染物排放：</w:t>
                  </w:r>
                </w:p>
                <w:p>
                  <w:pPr>
                    <w:widowControl/>
                    <w:ind w:firstLine="420" w:firstLineChars="200"/>
                    <w:jc w:val="left"/>
                    <w:rPr>
                      <w:rFonts w:ascii="宋体" w:hAnsi="宋体" w:cs="宋体"/>
                      <w:i/>
                      <w:iCs/>
                      <w:szCs w:val="21"/>
                      <w:u w:val="single"/>
                    </w:rPr>
                  </w:pPr>
                  <w:r>
                    <w:rPr>
                      <w:rFonts w:hint="eastAsia" w:ascii="宋体" w:hAnsi="宋体" w:cs="宋体"/>
                      <w:i/>
                      <w:iCs/>
                      <w:color w:val="000000"/>
                      <w:kern w:val="0"/>
                      <w:szCs w:val="21"/>
                      <w:u w:val="single"/>
                    </w:rPr>
                    <w:t xml:space="preserve">1）规范作业，保证储存容器的完好。危废存放在架子上，贮存的危险废物不直接接触地面。设置液体导流沟，并设置液体收集桶对泄漏物料进行收集； </w:t>
                  </w:r>
                </w:p>
                <w:p>
                  <w:pPr>
                    <w:widowControl/>
                    <w:ind w:firstLine="420" w:firstLineChars="200"/>
                    <w:jc w:val="left"/>
                    <w:rPr>
                      <w:rFonts w:ascii="宋体" w:hAnsi="宋体" w:cs="宋体"/>
                      <w:i/>
                      <w:iCs/>
                      <w:szCs w:val="21"/>
                      <w:u w:val="single"/>
                    </w:rPr>
                  </w:pPr>
                  <w:r>
                    <w:rPr>
                      <w:rFonts w:hint="eastAsia" w:ascii="宋体" w:hAnsi="宋体" w:cs="宋体"/>
                      <w:i/>
                      <w:iCs/>
                      <w:color w:val="000000"/>
                      <w:kern w:val="0"/>
                      <w:szCs w:val="21"/>
                      <w:u w:val="single"/>
                    </w:rPr>
                    <w:t xml:space="preserve">2）作业区具有防渗地面和收集设施，地面符合GB50037的防油渗地面要求；企业内道路采取硬化措施，如出现破损及时维修； </w:t>
                  </w:r>
                </w:p>
                <w:p>
                  <w:pPr>
                    <w:widowControl/>
                    <w:ind w:firstLine="420" w:firstLineChars="200"/>
                    <w:jc w:val="left"/>
                    <w:rPr>
                      <w:rFonts w:ascii="宋体" w:hAnsi="宋体" w:cs="宋体"/>
                      <w:i/>
                      <w:iCs/>
                      <w:szCs w:val="21"/>
                      <w:u w:val="single"/>
                    </w:rPr>
                  </w:pPr>
                  <w:r>
                    <w:rPr>
                      <w:rFonts w:hint="eastAsia" w:ascii="宋体" w:hAnsi="宋体" w:cs="宋体"/>
                      <w:i/>
                      <w:iCs/>
                      <w:color w:val="000000"/>
                      <w:kern w:val="0"/>
                      <w:szCs w:val="21"/>
                      <w:u w:val="single"/>
                    </w:rPr>
                    <w:t xml:space="preserve">3）废液贮存区在总图布置上设计足够的防火距离，标识禁火等指示牌； </w:t>
                  </w:r>
                </w:p>
                <w:p>
                  <w:pPr>
                    <w:widowControl/>
                    <w:ind w:firstLine="420" w:firstLineChars="200"/>
                    <w:jc w:val="left"/>
                    <w:rPr>
                      <w:rFonts w:ascii="宋体" w:hAnsi="宋体" w:cs="宋体"/>
                      <w:i/>
                      <w:iCs/>
                      <w:szCs w:val="21"/>
                      <w:u w:val="single"/>
                    </w:rPr>
                  </w:pPr>
                  <w:r>
                    <w:rPr>
                      <w:rFonts w:hint="eastAsia" w:ascii="宋体" w:hAnsi="宋体" w:cs="宋体"/>
                      <w:i/>
                      <w:iCs/>
                      <w:color w:val="000000"/>
                      <w:kern w:val="0"/>
                      <w:szCs w:val="21"/>
                      <w:u w:val="single"/>
                    </w:rPr>
                    <w:t xml:space="preserve">4）配备相应的堵漏材料(沙袋、吸油毡等)、灭火器等应急物资； </w:t>
                  </w:r>
                </w:p>
                <w:p>
                  <w:pPr>
                    <w:widowControl/>
                    <w:ind w:firstLine="420" w:firstLineChars="200"/>
                    <w:jc w:val="left"/>
                    <w:rPr>
                      <w:rFonts w:ascii="宋体" w:hAnsi="宋体" w:cs="宋体"/>
                      <w:i/>
                      <w:iCs/>
                      <w:szCs w:val="21"/>
                      <w:u w:val="single"/>
                    </w:rPr>
                  </w:pPr>
                  <w:r>
                    <w:rPr>
                      <w:rFonts w:hint="eastAsia" w:ascii="宋体" w:hAnsi="宋体" w:cs="宋体"/>
                      <w:i/>
                      <w:iCs/>
                      <w:color w:val="000000"/>
                      <w:kern w:val="0"/>
                      <w:szCs w:val="21"/>
                      <w:u w:val="single"/>
                    </w:rPr>
                    <w:t xml:space="preserve">5）事故状态下的废水排入应急池，防止事故废水流入外环境。 </w:t>
                  </w:r>
                </w:p>
                <w:p>
                  <w:pPr>
                    <w:widowControl/>
                    <w:jc w:val="left"/>
                    <w:rPr>
                      <w:rFonts w:ascii="宋体" w:hAnsi="宋体" w:cs="宋体"/>
                      <w:i/>
                      <w:iCs/>
                      <w:szCs w:val="21"/>
                      <w:u w:val="single"/>
                    </w:rPr>
                  </w:pPr>
                  <w:r>
                    <w:rPr>
                      <w:rFonts w:hint="eastAsia" w:ascii="宋体" w:hAnsi="宋体" w:cs="宋体"/>
                      <w:i/>
                      <w:iCs/>
                      <w:color w:val="000000"/>
                      <w:kern w:val="0"/>
                      <w:szCs w:val="21"/>
                      <w:u w:val="single"/>
                    </w:rPr>
                    <w:t xml:space="preserve">硫酸(废铅酸蓄电池内)泄漏风险防范措施及应急要求 </w:t>
                  </w:r>
                </w:p>
                <w:p>
                  <w:pPr>
                    <w:widowControl/>
                    <w:ind w:firstLine="420" w:firstLineChars="200"/>
                    <w:jc w:val="left"/>
                    <w:rPr>
                      <w:rFonts w:ascii="宋体" w:hAnsi="宋体" w:cs="宋体"/>
                      <w:i/>
                      <w:iCs/>
                      <w:color w:val="000000"/>
                      <w:kern w:val="0"/>
                      <w:szCs w:val="21"/>
                      <w:u w:val="single"/>
                    </w:rPr>
                  </w:pPr>
                  <w:r>
                    <w:rPr>
                      <w:rFonts w:hint="eastAsia" w:ascii="宋体" w:hAnsi="宋体" w:cs="宋体"/>
                      <w:i/>
                      <w:iCs/>
                      <w:color w:val="000000"/>
                      <w:kern w:val="0"/>
                      <w:szCs w:val="21"/>
                      <w:u w:val="single"/>
                    </w:rPr>
                    <w:t>1）对于破损的铅蓄电池，采用独立耐腐蚀容器装存后 ，在危险废物贮存区。</w:t>
                  </w:r>
                </w:p>
                <w:p>
                  <w:pPr>
                    <w:widowControl/>
                    <w:ind w:firstLine="420" w:firstLineChars="200"/>
                    <w:jc w:val="left"/>
                    <w:rPr>
                      <w:rFonts w:ascii="宋体" w:hAnsi="宋体" w:cs="宋体"/>
                      <w:i/>
                      <w:iCs/>
                      <w:color w:val="000000"/>
                      <w:kern w:val="0"/>
                      <w:szCs w:val="21"/>
                      <w:u w:val="single"/>
                    </w:rPr>
                  </w:pPr>
                  <w:r>
                    <w:rPr>
                      <w:rFonts w:hint="eastAsia" w:ascii="宋体" w:hAnsi="宋体" w:cs="宋体"/>
                      <w:i/>
                      <w:iCs/>
                      <w:color w:val="000000"/>
                      <w:kern w:val="0"/>
                      <w:szCs w:val="21"/>
                      <w:u w:val="single"/>
                    </w:rPr>
                    <w:t>危废存放在架子上或托盘上，贮存的危险废物不直接接触地面。设置液体导流沟，并设置液体收集桶对泄漏物料进行收集；</w:t>
                  </w:r>
                </w:p>
                <w:p>
                  <w:pPr>
                    <w:widowControl/>
                    <w:ind w:firstLine="420" w:firstLineChars="200"/>
                    <w:jc w:val="left"/>
                    <w:rPr>
                      <w:rFonts w:ascii="宋体" w:hAnsi="宋体" w:cs="宋体"/>
                      <w:i/>
                      <w:iCs/>
                      <w:szCs w:val="21"/>
                      <w:u w:val="single"/>
                    </w:rPr>
                  </w:pPr>
                  <w:r>
                    <w:rPr>
                      <w:rFonts w:hint="eastAsia" w:ascii="宋体" w:hAnsi="宋体" w:cs="宋体"/>
                      <w:i/>
                      <w:iCs/>
                      <w:color w:val="000000"/>
                      <w:kern w:val="0"/>
                      <w:szCs w:val="21"/>
                      <w:u w:val="single"/>
                    </w:rPr>
                    <w:t xml:space="preserve">2）铅酸蓄电池的拆卸、贮存区的地面做防酸、防腐、防渗及硬化处理，加强人员操作培训，规范作业； </w:t>
                  </w:r>
                </w:p>
                <w:p>
                  <w:pPr>
                    <w:widowControl/>
                    <w:ind w:firstLine="420" w:firstLineChars="200"/>
                    <w:jc w:val="left"/>
                    <w:rPr>
                      <w:rFonts w:ascii="宋体" w:hAnsi="宋体" w:cs="宋体"/>
                      <w:i/>
                      <w:iCs/>
                      <w:szCs w:val="21"/>
                      <w:u w:val="single"/>
                    </w:rPr>
                  </w:pPr>
                  <w:r>
                    <w:rPr>
                      <w:rFonts w:hint="eastAsia" w:ascii="宋体" w:hAnsi="宋体" w:cs="宋体"/>
                      <w:i/>
                      <w:iCs/>
                      <w:color w:val="000000"/>
                      <w:kern w:val="0"/>
                      <w:szCs w:val="21"/>
                      <w:u w:val="single"/>
                    </w:rPr>
                    <w:t xml:space="preserve">3）配备相应的堵漏材料(沙袋、吸油毡等)、灭火器等应急物资； </w:t>
                  </w:r>
                </w:p>
                <w:p>
                  <w:pPr>
                    <w:widowControl/>
                    <w:ind w:firstLine="420" w:firstLineChars="200"/>
                    <w:jc w:val="left"/>
                    <w:rPr>
                      <w:rFonts w:ascii="宋体" w:hAnsi="宋体" w:cs="宋体"/>
                      <w:i/>
                      <w:iCs/>
                      <w:szCs w:val="21"/>
                      <w:u w:val="single"/>
                    </w:rPr>
                  </w:pPr>
                  <w:r>
                    <w:rPr>
                      <w:rFonts w:hint="eastAsia" w:ascii="宋体" w:hAnsi="宋体" w:cs="宋体"/>
                      <w:i/>
                      <w:iCs/>
                      <w:color w:val="000000"/>
                      <w:kern w:val="0"/>
                      <w:szCs w:val="21"/>
                      <w:u w:val="single"/>
                    </w:rPr>
                    <w:t xml:space="preserve">4）事故状态下废水全部排入应急池，防止事故废水流入外环境。 </w:t>
                  </w:r>
                </w:p>
                <w:p>
                  <w:pPr>
                    <w:pStyle w:val="32"/>
                    <w:tabs>
                      <w:tab w:val="right" w:leader="dot" w:pos="8607"/>
                      <w:tab w:val="right" w:leader="dot" w:pos="8891"/>
                    </w:tabs>
                    <w:jc w:val="both"/>
                    <w:rPr>
                      <w:rFonts w:ascii="宋体" w:hAnsi="宋体" w:cs="宋体"/>
                      <w:i/>
                      <w:iCs/>
                      <w:color w:val="000000"/>
                      <w:kern w:val="0"/>
                      <w:szCs w:val="21"/>
                      <w:u w:val="single"/>
                    </w:rPr>
                  </w:pPr>
                  <w:r>
                    <w:rPr>
                      <w:rFonts w:hint="eastAsia" w:ascii="宋体" w:hAnsi="宋体" w:cs="宋体"/>
                      <w:i/>
                      <w:iCs/>
                      <w:color w:val="000000"/>
                      <w:kern w:val="0"/>
                      <w:szCs w:val="21"/>
                      <w:u w:val="single"/>
                    </w:rPr>
                    <w:t xml:space="preserve">废水事故排放风险防范措施及应急要求 </w:t>
                  </w:r>
                </w:p>
                <w:p>
                  <w:pPr>
                    <w:widowControl/>
                    <w:ind w:firstLine="420" w:firstLineChars="200"/>
                    <w:jc w:val="left"/>
                    <w:rPr>
                      <w:rFonts w:ascii="宋体" w:hAnsi="宋体" w:cs="宋体"/>
                      <w:i/>
                      <w:iCs/>
                      <w:szCs w:val="21"/>
                      <w:u w:val="single"/>
                    </w:rPr>
                  </w:pPr>
                  <w:r>
                    <w:rPr>
                      <w:rFonts w:hint="eastAsia" w:ascii="宋体" w:hAnsi="宋体" w:cs="宋体"/>
                      <w:i/>
                      <w:iCs/>
                      <w:color w:val="000000"/>
                      <w:kern w:val="0"/>
                      <w:szCs w:val="21"/>
                      <w:u w:val="single"/>
                    </w:rPr>
                    <w:t xml:space="preserve">1）废水处理设施及其管道、阀门应采取防腐防渗设计，并定期对废水处理设施、管道、阀门进行定期检查； </w:t>
                  </w:r>
                </w:p>
                <w:p>
                  <w:pPr>
                    <w:widowControl/>
                    <w:ind w:firstLine="420" w:firstLineChars="200"/>
                    <w:jc w:val="left"/>
                    <w:rPr>
                      <w:rFonts w:ascii="宋体" w:hAnsi="宋体" w:cs="宋体"/>
                      <w:i/>
                      <w:iCs/>
                      <w:szCs w:val="21"/>
                      <w:u w:val="single"/>
                    </w:rPr>
                  </w:pPr>
                  <w:r>
                    <w:rPr>
                      <w:rFonts w:hint="eastAsia" w:ascii="宋体" w:hAnsi="宋体" w:cs="宋体"/>
                      <w:i/>
                      <w:iCs/>
                      <w:color w:val="000000"/>
                      <w:kern w:val="0"/>
                      <w:szCs w:val="21"/>
                      <w:u w:val="single"/>
                    </w:rPr>
                    <w:t xml:space="preserve">2）雨污水排放口设置截止阀，事故状态下，及时切断，防止事故废水流入外环境； </w:t>
                  </w:r>
                </w:p>
                <w:p>
                  <w:pPr>
                    <w:widowControl/>
                    <w:ind w:firstLine="420" w:firstLineChars="200"/>
                    <w:jc w:val="left"/>
                    <w:rPr>
                      <w:rFonts w:ascii="宋体" w:hAnsi="宋体" w:cs="宋体"/>
                      <w:i/>
                      <w:iCs/>
                      <w:szCs w:val="21"/>
                      <w:u w:val="single"/>
                    </w:rPr>
                  </w:pPr>
                  <w:r>
                    <w:rPr>
                      <w:rFonts w:hint="eastAsia" w:ascii="宋体" w:hAnsi="宋体" w:cs="宋体"/>
                      <w:i/>
                      <w:iCs/>
                      <w:kern w:val="0"/>
                      <w:szCs w:val="21"/>
                      <w:u w:val="single"/>
                    </w:rPr>
                    <w:t xml:space="preserve">3）配备相应的堵漏材料(沙袋、吸油毡等)、废水处理设施易损部件等应急物资。 </w:t>
                  </w:r>
                </w:p>
                <w:p>
                  <w:pPr>
                    <w:pStyle w:val="32"/>
                    <w:tabs>
                      <w:tab w:val="right" w:leader="dot" w:pos="8607"/>
                      <w:tab w:val="right" w:leader="dot" w:pos="8891"/>
                    </w:tabs>
                    <w:jc w:val="both"/>
                    <w:rPr>
                      <w:rFonts w:ascii="宋体" w:hAnsi="宋体" w:cs="宋体"/>
                      <w:i/>
                      <w:iCs/>
                      <w:kern w:val="0"/>
                      <w:szCs w:val="21"/>
                      <w:u w:val="single"/>
                    </w:rPr>
                  </w:pPr>
                  <w:r>
                    <w:rPr>
                      <w:rFonts w:hint="eastAsia" w:ascii="宋体" w:hAnsi="宋体" w:cs="宋体"/>
                      <w:i/>
                      <w:iCs/>
                      <w:kern w:val="0"/>
                      <w:szCs w:val="21"/>
                      <w:u w:val="single"/>
                    </w:rPr>
                    <w:t>废气事故排放风险防范措施及应急要求</w:t>
                  </w:r>
                </w:p>
                <w:p>
                  <w:pPr>
                    <w:widowControl/>
                    <w:ind w:firstLine="420" w:firstLineChars="200"/>
                    <w:jc w:val="left"/>
                    <w:rPr>
                      <w:rFonts w:ascii="宋体" w:hAnsi="宋体" w:cs="宋体"/>
                      <w:i/>
                      <w:iCs/>
                      <w:szCs w:val="21"/>
                      <w:u w:val="single"/>
                    </w:rPr>
                  </w:pPr>
                  <w:r>
                    <w:rPr>
                      <w:rFonts w:hint="eastAsia" w:ascii="宋体" w:hAnsi="宋体" w:cs="宋体"/>
                      <w:i/>
                      <w:iCs/>
                      <w:kern w:val="0"/>
                      <w:szCs w:val="21"/>
                      <w:u w:val="single"/>
                    </w:rPr>
                    <w:t xml:space="preserve">1）加强人员巡检； </w:t>
                  </w:r>
                </w:p>
                <w:p>
                  <w:pPr>
                    <w:widowControl/>
                    <w:ind w:firstLine="420" w:firstLineChars="200"/>
                    <w:jc w:val="left"/>
                    <w:rPr>
                      <w:rFonts w:ascii="宋体" w:hAnsi="宋体" w:cs="宋体"/>
                      <w:i/>
                      <w:iCs/>
                      <w:color w:val="00B050"/>
                      <w:kern w:val="0"/>
                      <w:szCs w:val="21"/>
                      <w:u w:val="single"/>
                    </w:rPr>
                  </w:pPr>
                  <w:r>
                    <w:rPr>
                      <w:rFonts w:hint="eastAsia" w:ascii="宋体" w:hAnsi="宋体" w:cs="宋体"/>
                      <w:i/>
                      <w:iCs/>
                      <w:kern w:val="0"/>
                      <w:szCs w:val="21"/>
                      <w:u w:val="single"/>
                    </w:rPr>
                    <w:t>2）加强设备定期检查和维护。</w:t>
                  </w:r>
                </w:p>
              </w:tc>
            </w:tr>
            <w:tr>
              <w:trPr>
                <w:trHeight w:val="330" w:hRule="atLeast"/>
                <w:jc w:val="center"/>
              </w:trPr>
              <w:tc>
                <w:tcPr>
                  <w:tcW w:w="8399" w:type="dxa"/>
                  <w:gridSpan w:val="6"/>
                  <w:tcBorders>
                    <w:tl2br w:val="nil"/>
                    <w:tr2bl w:val="nil"/>
                  </w:tcBorders>
                  <w:vAlign w:val="top"/>
                </w:tcPr>
                <w:p>
                  <w:pPr>
                    <w:pStyle w:val="32"/>
                    <w:tabs>
                      <w:tab w:val="right" w:leader="dot" w:pos="8607"/>
                      <w:tab w:val="right" w:leader="dot" w:pos="8891"/>
                    </w:tabs>
                    <w:jc w:val="left"/>
                    <w:rPr>
                      <w:i/>
                      <w:iCs/>
                      <w:szCs w:val="21"/>
                      <w:u w:val="single"/>
                    </w:rPr>
                  </w:pPr>
                  <w:r>
                    <w:rPr>
                      <w:rFonts w:hint="eastAsia"/>
                      <w:i/>
                      <w:iCs/>
                      <w:szCs w:val="21"/>
                      <w:u w:val="single"/>
                    </w:rPr>
                    <w:t xml:space="preserve">  本项目 Q＜1，根据评价等级要求，本项目对环境风险进行简单分析。针对本项目潜在的环境风险，建设单位按照风险防范措施的要求，增强工作人员安全意识，事故发生概率很低， 经过采取妥善的风险防范措施，本项目环境风险在可接受范围之内。</w:t>
                  </w:r>
                </w:p>
              </w:tc>
            </w:tr>
          </w:tbl>
          <w:p>
            <w:pPr>
              <w:pStyle w:val="19"/>
              <w:rPr>
                <w:bCs/>
                <w:spacing w:val="-10"/>
                <w:sz w:val="24"/>
              </w:rPr>
            </w:pPr>
          </w:p>
          <w:p>
            <w:pPr>
              <w:spacing w:line="360" w:lineRule="auto"/>
              <w:rPr>
                <w:rFonts w:ascii="宋体" w:hAnsi="宋体" w:cs="宋体"/>
                <w:bCs/>
                <w:spacing w:val="-10"/>
                <w:sz w:val="24"/>
              </w:rPr>
            </w:pPr>
          </w:p>
          <w:p>
            <w:pPr>
              <w:pStyle w:val="20"/>
              <w:rPr>
                <w:rFonts w:ascii="宋体" w:hAnsi="宋体" w:cs="宋体"/>
                <w:spacing w:val="-10"/>
                <w:sz w:val="24"/>
              </w:rPr>
            </w:pPr>
          </w:p>
          <w:p>
            <w:pPr>
              <w:pStyle w:val="20"/>
              <w:rPr>
                <w:rFonts w:ascii="宋体" w:hAnsi="宋体" w:cs="宋体"/>
                <w:spacing w:val="-10"/>
                <w:sz w:val="24"/>
              </w:rPr>
            </w:pPr>
          </w:p>
          <w:p>
            <w:pPr>
              <w:pStyle w:val="20"/>
              <w:rPr>
                <w:rFonts w:ascii="宋体" w:hAnsi="宋体" w:cs="宋体"/>
                <w:spacing w:val="-10"/>
                <w:sz w:val="24"/>
              </w:rPr>
            </w:pPr>
          </w:p>
          <w:p>
            <w:pPr>
              <w:pStyle w:val="20"/>
              <w:rPr>
                <w:rFonts w:ascii="宋体" w:hAnsi="宋体" w:cs="宋体"/>
                <w:spacing w:val="-10"/>
                <w:sz w:val="24"/>
              </w:rPr>
            </w:pPr>
          </w:p>
          <w:p>
            <w:pPr>
              <w:pStyle w:val="20"/>
              <w:rPr>
                <w:rFonts w:ascii="宋体" w:hAnsi="宋体" w:cs="宋体"/>
                <w:spacing w:val="-10"/>
                <w:sz w:val="24"/>
              </w:rPr>
            </w:pPr>
          </w:p>
          <w:p>
            <w:pPr>
              <w:pStyle w:val="20"/>
              <w:jc w:val="both"/>
              <w:rPr>
                <w:rFonts w:ascii="宋体" w:hAnsi="宋体" w:cs="宋体"/>
                <w:spacing w:val="-10"/>
                <w:sz w:val="24"/>
              </w:rPr>
            </w:pPr>
          </w:p>
        </w:tc>
      </w:tr>
    </w:tbl>
    <w:p>
      <w:pPr>
        <w:pStyle w:val="21"/>
        <w:spacing w:before="0" w:beforeAutospacing="0" w:after="0" w:afterAutospacing="0" w:line="360" w:lineRule="auto"/>
        <w:jc w:val="both"/>
        <w:outlineLvl w:val="0"/>
        <w:rPr>
          <w:rFonts w:ascii="黑体" w:hAnsi="黑体" w:eastAsia="黑体"/>
          <w:snapToGrid w:val="0"/>
          <w:sz w:val="30"/>
          <w:szCs w:val="30"/>
        </w:rPr>
        <w:sectPr>
          <w:footerReference r:id="rId4" w:type="default"/>
          <w:pgSz w:w="11906" w:h="16838"/>
          <w:pgMar w:top="1440" w:right="1746" w:bottom="1440" w:left="1746" w:header="851" w:footer="992" w:gutter="0"/>
          <w:pgNumType w:start="1"/>
          <w:cols w:space="720" w:num="1"/>
          <w:docGrid w:type="lines" w:linePitch="312"/>
        </w:sectPr>
      </w:pPr>
    </w:p>
    <w:p>
      <w:pPr>
        <w:pStyle w:val="21"/>
        <w:spacing w:before="0" w:beforeAutospacing="0" w:after="0" w:afterAutospacing="0" w:line="360" w:lineRule="auto"/>
        <w:jc w:val="both"/>
        <w:outlineLvl w:val="0"/>
        <w:rPr>
          <w:rFonts w:ascii="黑体" w:hAnsi="黑体" w:eastAsia="黑体"/>
          <w:snapToGrid w:val="0"/>
          <w:sz w:val="30"/>
          <w:szCs w:val="30"/>
        </w:rPr>
      </w:pPr>
      <w:r>
        <w:rPr>
          <w:rFonts w:hint="eastAsia" w:ascii="黑体" w:hAnsi="黑体" w:eastAsia="黑体"/>
          <w:snapToGrid w:val="0"/>
          <w:sz w:val="30"/>
          <w:szCs w:val="30"/>
        </w:rPr>
        <w:t>五、</w:t>
      </w:r>
      <w:bookmarkStart w:id="12" w:name="_Hlk54167917"/>
      <w:r>
        <w:rPr>
          <w:rFonts w:hint="eastAsia" w:ascii="黑体" w:hAnsi="黑体" w:eastAsia="黑体"/>
          <w:snapToGrid w:val="0"/>
          <w:sz w:val="30"/>
          <w:szCs w:val="30"/>
        </w:rPr>
        <w:t>环境保护措施监督检查清单</w:t>
      </w:r>
      <w:bookmarkEnd w:id="12"/>
    </w:p>
    <w:tbl>
      <w:tblPr>
        <w:tblW w:w="9144" w:type="dxa"/>
        <w:jc w:val="center"/>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left w:w="28" w:type="dxa"/>
          <w:right w:w="28" w:type="dxa"/>
        </w:tblCellMar>
      </w:tblPr>
      <w:tblGrid>
        <w:gridCol w:w="1423"/>
        <w:gridCol w:w="835"/>
        <w:gridCol w:w="1134"/>
        <w:gridCol w:w="1324"/>
        <w:gridCol w:w="2362"/>
        <w:gridCol w:w="2066"/>
      </w:tblGrid>
      <w:tr>
        <w:trPr>
          <w:trHeight w:val="23" w:hRule="atLeast"/>
          <w:jc w:val="center"/>
        </w:trPr>
        <w:tc>
          <w:tcPr>
            <w:tcW w:w="1423" w:type="dxa"/>
            <w:tcBorders>
              <w:tl2br w:val="single" w:color="auto" w:sz="4" w:space="0"/>
            </w:tcBorders>
            <w:vAlign w:val="top"/>
          </w:tcPr>
          <w:p>
            <w:pPr>
              <w:spacing w:line="360" w:lineRule="auto"/>
              <w:jc w:val="right"/>
              <w:rPr>
                <w:i/>
                <w:iCs/>
                <w:sz w:val="24"/>
                <w:u w:val="single"/>
              </w:rPr>
            </w:pPr>
            <w:r>
              <w:rPr>
                <w:i/>
                <w:iCs/>
                <w:sz w:val="24"/>
                <w:u w:val="single"/>
              </w:rPr>
              <w:t>内容</w:t>
            </w:r>
          </w:p>
          <w:p>
            <w:pPr>
              <w:spacing w:line="360" w:lineRule="auto"/>
              <w:rPr>
                <w:i/>
                <w:iCs/>
                <w:sz w:val="24"/>
                <w:u w:val="single"/>
              </w:rPr>
            </w:pPr>
            <w:r>
              <w:rPr>
                <w:i/>
                <w:iCs/>
                <w:sz w:val="24"/>
                <w:u w:val="single"/>
              </w:rPr>
              <w:t>要素</w:t>
            </w:r>
          </w:p>
        </w:tc>
        <w:tc>
          <w:tcPr>
            <w:tcW w:w="1969" w:type="dxa"/>
            <w:gridSpan w:val="2"/>
            <w:vAlign w:val="center"/>
          </w:tcPr>
          <w:p>
            <w:pPr>
              <w:spacing w:line="360" w:lineRule="auto"/>
              <w:jc w:val="center"/>
              <w:rPr>
                <w:i/>
                <w:iCs/>
                <w:sz w:val="24"/>
                <w:u w:val="single"/>
              </w:rPr>
            </w:pPr>
            <w:r>
              <w:rPr>
                <w:i/>
                <w:iCs/>
                <w:sz w:val="24"/>
                <w:u w:val="single"/>
              </w:rPr>
              <w:t>排放口</w:t>
            </w:r>
          </w:p>
          <w:p>
            <w:pPr>
              <w:spacing w:line="360" w:lineRule="auto"/>
              <w:jc w:val="center"/>
              <w:rPr>
                <w:i/>
                <w:iCs/>
                <w:sz w:val="24"/>
                <w:u w:val="single"/>
              </w:rPr>
            </w:pPr>
            <w:r>
              <w:rPr>
                <w:i/>
                <w:iCs/>
                <w:sz w:val="24"/>
                <w:u w:val="single"/>
              </w:rPr>
              <w:t>/污染源</w:t>
            </w:r>
          </w:p>
        </w:tc>
        <w:tc>
          <w:tcPr>
            <w:tcW w:w="1324" w:type="dxa"/>
            <w:vAlign w:val="center"/>
          </w:tcPr>
          <w:p>
            <w:pPr>
              <w:spacing w:line="360" w:lineRule="auto"/>
              <w:jc w:val="center"/>
              <w:rPr>
                <w:i/>
                <w:iCs/>
                <w:sz w:val="24"/>
                <w:u w:val="single"/>
              </w:rPr>
            </w:pPr>
            <w:r>
              <w:rPr>
                <w:i/>
                <w:iCs/>
                <w:sz w:val="24"/>
                <w:u w:val="single"/>
              </w:rPr>
              <w:t>污染物项目</w:t>
            </w:r>
          </w:p>
        </w:tc>
        <w:tc>
          <w:tcPr>
            <w:tcW w:w="2362" w:type="dxa"/>
            <w:vAlign w:val="center"/>
          </w:tcPr>
          <w:p>
            <w:pPr>
              <w:spacing w:line="360" w:lineRule="auto"/>
              <w:jc w:val="center"/>
              <w:rPr>
                <w:i/>
                <w:iCs/>
                <w:sz w:val="24"/>
                <w:u w:val="single"/>
              </w:rPr>
            </w:pPr>
            <w:r>
              <w:rPr>
                <w:i/>
                <w:iCs/>
                <w:sz w:val="24"/>
                <w:u w:val="single"/>
              </w:rPr>
              <w:t>环境</w:t>
            </w:r>
          </w:p>
          <w:p>
            <w:pPr>
              <w:spacing w:line="360" w:lineRule="auto"/>
              <w:jc w:val="center"/>
              <w:rPr>
                <w:i/>
                <w:iCs/>
                <w:sz w:val="24"/>
                <w:u w:val="single"/>
              </w:rPr>
            </w:pPr>
            <w:r>
              <w:rPr>
                <w:i/>
                <w:iCs/>
                <w:sz w:val="24"/>
                <w:u w:val="single"/>
              </w:rPr>
              <w:t>保护措施</w:t>
            </w:r>
          </w:p>
        </w:tc>
        <w:tc>
          <w:tcPr>
            <w:tcW w:w="2066" w:type="dxa"/>
            <w:vAlign w:val="center"/>
          </w:tcPr>
          <w:p>
            <w:pPr>
              <w:spacing w:line="360" w:lineRule="auto"/>
              <w:jc w:val="center"/>
              <w:rPr>
                <w:i/>
                <w:iCs/>
                <w:sz w:val="24"/>
                <w:u w:val="single"/>
              </w:rPr>
            </w:pPr>
            <w:r>
              <w:rPr>
                <w:i/>
                <w:iCs/>
                <w:sz w:val="24"/>
                <w:u w:val="single"/>
              </w:rPr>
              <w:t>执行标准</w:t>
            </w:r>
          </w:p>
        </w:tc>
      </w:tr>
      <w:tr>
        <w:trPr>
          <w:trHeight w:val="476" w:hRule="atLeast"/>
          <w:jc w:val="center"/>
        </w:trPr>
        <w:tc>
          <w:tcPr>
            <w:tcW w:w="1423" w:type="dxa"/>
            <w:vMerge w:val="restart"/>
            <w:vAlign w:val="center"/>
          </w:tcPr>
          <w:p>
            <w:pPr>
              <w:spacing w:line="360" w:lineRule="auto"/>
              <w:jc w:val="center"/>
              <w:rPr>
                <w:i/>
                <w:iCs/>
                <w:sz w:val="24"/>
                <w:u w:val="single"/>
              </w:rPr>
            </w:pPr>
            <w:r>
              <w:rPr>
                <w:i/>
                <w:iCs/>
                <w:sz w:val="24"/>
                <w:u w:val="single"/>
              </w:rPr>
              <w:t>大气环境</w:t>
            </w:r>
          </w:p>
        </w:tc>
        <w:tc>
          <w:tcPr>
            <w:tcW w:w="835" w:type="dxa"/>
            <w:vMerge w:val="restart"/>
            <w:tcBorders>
              <w:right w:val="single" w:color="auto" w:sz="4" w:space="0"/>
            </w:tcBorders>
            <w:vAlign w:val="center"/>
          </w:tcPr>
          <w:p>
            <w:pPr>
              <w:spacing w:line="360" w:lineRule="auto"/>
              <w:jc w:val="center"/>
              <w:rPr>
                <w:i/>
                <w:iCs/>
                <w:sz w:val="24"/>
                <w:u w:val="single"/>
              </w:rPr>
            </w:pPr>
            <w:r>
              <w:rPr>
                <w:rFonts w:hint="eastAsia"/>
                <w:i/>
                <w:iCs/>
                <w:sz w:val="24"/>
                <w:u w:val="single"/>
              </w:rPr>
              <w:t>有组织</w:t>
            </w:r>
          </w:p>
        </w:tc>
        <w:tc>
          <w:tcPr>
            <w:tcW w:w="1134" w:type="dxa"/>
            <w:vMerge w:val="restart"/>
            <w:tcBorders>
              <w:left w:val="single" w:color="auto" w:sz="4" w:space="0"/>
              <w:bottom w:val="single" w:color="auto" w:sz="4" w:space="0"/>
              <w:right w:val="single" w:color="auto" w:sz="4" w:space="0"/>
            </w:tcBorders>
            <w:vAlign w:val="center"/>
          </w:tcPr>
          <w:p>
            <w:pPr>
              <w:jc w:val="center"/>
              <w:rPr>
                <w:i/>
                <w:iCs/>
                <w:sz w:val="24"/>
                <w:u w:val="single"/>
              </w:rPr>
            </w:pPr>
            <w:r>
              <w:rPr>
                <w:rFonts w:hint="eastAsia"/>
                <w:i/>
                <w:iCs/>
                <w:sz w:val="24"/>
                <w:u w:val="single"/>
              </w:rPr>
              <w:t>拆解车间排气筒</w:t>
            </w:r>
          </w:p>
          <w:p>
            <w:pPr>
              <w:jc w:val="center"/>
              <w:rPr>
                <w:i/>
                <w:iCs/>
                <w:sz w:val="24"/>
                <w:u w:val="single"/>
              </w:rPr>
            </w:pPr>
            <w:r>
              <w:rPr>
                <w:rFonts w:hint="eastAsia"/>
                <w:i/>
                <w:iCs/>
                <w:sz w:val="24"/>
                <w:u w:val="single"/>
              </w:rPr>
              <w:t>DA001</w:t>
            </w:r>
          </w:p>
        </w:tc>
        <w:tc>
          <w:tcPr>
            <w:tcW w:w="1324" w:type="dxa"/>
            <w:tcBorders>
              <w:left w:val="single" w:color="auto" w:sz="4" w:space="0"/>
              <w:bottom w:val="single" w:color="auto" w:sz="4" w:space="0"/>
              <w:right w:val="single" w:color="auto" w:sz="4" w:space="0"/>
            </w:tcBorders>
            <w:vAlign w:val="center"/>
          </w:tcPr>
          <w:p>
            <w:pPr>
              <w:jc w:val="center"/>
              <w:rPr>
                <w:i/>
                <w:iCs/>
                <w:sz w:val="24"/>
                <w:u w:val="single"/>
              </w:rPr>
            </w:pPr>
            <w:r>
              <w:rPr>
                <w:rFonts w:hint="eastAsia"/>
                <w:i/>
                <w:iCs/>
                <w:sz w:val="24"/>
                <w:u w:val="single"/>
              </w:rPr>
              <w:t>非甲烷总烃</w:t>
            </w:r>
          </w:p>
        </w:tc>
        <w:tc>
          <w:tcPr>
            <w:tcW w:w="2362" w:type="dxa"/>
            <w:tcBorders>
              <w:left w:val="single" w:color="auto" w:sz="4" w:space="0"/>
              <w:bottom w:val="single" w:color="auto" w:sz="4" w:space="0"/>
            </w:tcBorders>
            <w:vAlign w:val="center"/>
          </w:tcPr>
          <w:p>
            <w:pPr>
              <w:jc w:val="center"/>
              <w:rPr>
                <w:i/>
                <w:iCs/>
                <w:sz w:val="24"/>
                <w:u w:val="single"/>
              </w:rPr>
            </w:pPr>
            <w:r>
              <w:rPr>
                <w:rFonts w:hint="eastAsia"/>
                <w:i/>
                <w:iCs/>
                <w:sz w:val="24"/>
                <w:u w:val="single"/>
              </w:rPr>
              <w:t>集气装置+活性炭+15m高排气筒（DA001)</w:t>
            </w:r>
          </w:p>
        </w:tc>
        <w:tc>
          <w:tcPr>
            <w:tcW w:w="2066" w:type="dxa"/>
            <w:vMerge w:val="restart"/>
            <w:vAlign w:val="center"/>
          </w:tcPr>
          <w:p>
            <w:pPr>
              <w:jc w:val="center"/>
              <w:rPr>
                <w:i/>
                <w:iCs/>
                <w:sz w:val="24"/>
                <w:u w:val="single"/>
              </w:rPr>
            </w:pPr>
            <w:r>
              <w:rPr>
                <w:i/>
                <w:iCs/>
                <w:sz w:val="24"/>
                <w:u w:val="single"/>
              </w:rPr>
              <w:t>《</w:t>
            </w:r>
            <w:r>
              <w:rPr>
                <w:i/>
                <w:iCs/>
                <w:spacing w:val="6"/>
                <w:sz w:val="24"/>
                <w:u w:val="single"/>
              </w:rPr>
              <w:t>大气污染物综合排放标准</w:t>
            </w:r>
            <w:r>
              <w:rPr>
                <w:i/>
                <w:iCs/>
                <w:sz w:val="24"/>
                <w:u w:val="single"/>
              </w:rPr>
              <w:t>》</w:t>
            </w:r>
          </w:p>
          <w:p>
            <w:pPr>
              <w:jc w:val="center"/>
              <w:rPr>
                <w:i/>
                <w:iCs/>
                <w:sz w:val="24"/>
                <w:u w:val="single"/>
              </w:rPr>
            </w:pPr>
            <w:r>
              <w:rPr>
                <w:i/>
                <w:iCs/>
                <w:sz w:val="24"/>
                <w:u w:val="single"/>
              </w:rPr>
              <w:t>（</w:t>
            </w:r>
            <w:r>
              <w:rPr>
                <w:i/>
                <w:iCs/>
                <w:spacing w:val="6"/>
                <w:sz w:val="24"/>
                <w:u w:val="single"/>
              </w:rPr>
              <w:t>GB16297-1996</w:t>
            </w:r>
            <w:r>
              <w:rPr>
                <w:i/>
                <w:iCs/>
                <w:sz w:val="24"/>
                <w:u w:val="single"/>
              </w:rPr>
              <w:t>）</w:t>
            </w:r>
            <w:r>
              <w:rPr>
                <w:rFonts w:hint="eastAsia"/>
                <w:i/>
                <w:iCs/>
                <w:sz w:val="24"/>
                <w:u w:val="single"/>
              </w:rPr>
              <w:t>，</w:t>
            </w:r>
            <w:r>
              <w:rPr>
                <w:rFonts w:hint="eastAsia"/>
                <w:bCs/>
                <w:i/>
                <w:iCs/>
                <w:kern w:val="0"/>
                <w:sz w:val="24"/>
                <w:u w:val="single"/>
              </w:rPr>
              <w:t>厂区内无组织非甲烷总烃执行《挥发性有机物无组织排放控制标准》（GB37822-2019）中特别排放限值。</w:t>
            </w:r>
          </w:p>
        </w:tc>
      </w:tr>
      <w:tr>
        <w:trPr>
          <w:trHeight w:val="531" w:hRule="atLeast"/>
          <w:jc w:val="center"/>
        </w:trPr>
        <w:tc>
          <w:tcPr>
            <w:tcW w:w="1423" w:type="dxa"/>
            <w:vMerge w:val="continue"/>
            <w:vAlign w:val="center"/>
          </w:tcPr>
          <w:p>
            <w:pPr>
              <w:spacing w:line="360" w:lineRule="auto"/>
              <w:jc w:val="center"/>
              <w:rPr>
                <w:i/>
                <w:iCs/>
                <w:sz w:val="24"/>
                <w:u w:val="single"/>
              </w:rPr>
            </w:pPr>
          </w:p>
        </w:tc>
        <w:tc>
          <w:tcPr>
            <w:tcW w:w="835" w:type="dxa"/>
            <w:vMerge w:val="continue"/>
            <w:tcBorders>
              <w:right w:val="single" w:color="auto" w:sz="4" w:space="0"/>
            </w:tcBorders>
            <w:vAlign w:val="center"/>
          </w:tcPr>
          <w:p>
            <w:pPr>
              <w:spacing w:line="360" w:lineRule="auto"/>
              <w:jc w:val="center"/>
              <w:rPr>
                <w:i/>
                <w:iCs/>
                <w:sz w:val="24"/>
                <w:u w:val="single"/>
              </w:rPr>
            </w:pPr>
          </w:p>
        </w:tc>
        <w:tc>
          <w:tcPr>
            <w:tcW w:w="1134" w:type="dxa"/>
            <w:vMerge w:val="continue"/>
            <w:tcBorders>
              <w:top w:val="single" w:color="auto" w:sz="4" w:space="0"/>
              <w:left w:val="single" w:color="auto" w:sz="4" w:space="0"/>
              <w:bottom w:val="single" w:color="auto" w:sz="4" w:space="0"/>
              <w:right w:val="single" w:color="auto" w:sz="4" w:space="0"/>
            </w:tcBorders>
            <w:vAlign w:val="center"/>
          </w:tcPr>
          <w:p>
            <w:pPr>
              <w:jc w:val="center"/>
              <w:rPr>
                <w:i/>
                <w:iCs/>
                <w:sz w:val="24"/>
                <w:u w:val="single"/>
              </w:rPr>
            </w:pPr>
          </w:p>
        </w:tc>
        <w:tc>
          <w:tcPr>
            <w:tcW w:w="1324" w:type="dxa"/>
            <w:tcBorders>
              <w:top w:val="single" w:color="auto" w:sz="4" w:space="0"/>
              <w:left w:val="single" w:color="auto" w:sz="4" w:space="0"/>
              <w:bottom w:val="single" w:color="auto" w:sz="4" w:space="0"/>
              <w:right w:val="single" w:color="auto" w:sz="4" w:space="0"/>
            </w:tcBorders>
            <w:vAlign w:val="center"/>
          </w:tcPr>
          <w:p>
            <w:pPr>
              <w:jc w:val="center"/>
              <w:rPr>
                <w:i/>
                <w:iCs/>
                <w:sz w:val="24"/>
                <w:u w:val="single"/>
                <w:vertAlign w:val="subscript"/>
              </w:rPr>
            </w:pPr>
            <w:r>
              <w:rPr>
                <w:rFonts w:hint="eastAsia"/>
                <w:i/>
                <w:iCs/>
                <w:sz w:val="24"/>
                <w:u w:val="single"/>
              </w:rPr>
              <w:t>颗粒物</w:t>
            </w:r>
          </w:p>
        </w:tc>
        <w:tc>
          <w:tcPr>
            <w:tcW w:w="2362" w:type="dxa"/>
            <w:tcBorders>
              <w:top w:val="single" w:color="auto" w:sz="4" w:space="0"/>
              <w:left w:val="single" w:color="auto" w:sz="4" w:space="0"/>
              <w:bottom w:val="single" w:color="auto" w:sz="4" w:space="0"/>
            </w:tcBorders>
            <w:vAlign w:val="center"/>
          </w:tcPr>
          <w:p>
            <w:pPr>
              <w:jc w:val="center"/>
              <w:rPr>
                <w:i/>
                <w:iCs/>
                <w:sz w:val="24"/>
                <w:u w:val="single"/>
              </w:rPr>
            </w:pPr>
            <w:r>
              <w:rPr>
                <w:rFonts w:hint="eastAsia"/>
                <w:i/>
                <w:iCs/>
                <w:sz w:val="24"/>
                <w:u w:val="single"/>
              </w:rPr>
              <w:t>集气装置+布袋除尘器+15m高排气筒（DA001)</w:t>
            </w:r>
          </w:p>
        </w:tc>
        <w:tc>
          <w:tcPr>
            <w:tcW w:w="2066" w:type="dxa"/>
            <w:vMerge w:val="continue"/>
            <w:vAlign w:val="center"/>
          </w:tcPr>
          <w:p>
            <w:pPr>
              <w:spacing w:line="360" w:lineRule="auto"/>
              <w:jc w:val="center"/>
              <w:rPr>
                <w:i/>
                <w:iCs/>
                <w:sz w:val="24"/>
                <w:u w:val="single"/>
              </w:rPr>
            </w:pPr>
          </w:p>
        </w:tc>
      </w:tr>
      <w:tr>
        <w:trPr>
          <w:trHeight w:val="531" w:hRule="atLeast"/>
          <w:jc w:val="center"/>
        </w:trPr>
        <w:tc>
          <w:tcPr>
            <w:tcW w:w="1423" w:type="dxa"/>
            <w:vMerge w:val="continue"/>
            <w:vAlign w:val="center"/>
          </w:tcPr>
          <w:p>
            <w:pPr>
              <w:spacing w:line="360" w:lineRule="auto"/>
              <w:jc w:val="center"/>
              <w:rPr>
                <w:i/>
                <w:iCs/>
                <w:sz w:val="24"/>
                <w:u w:val="single"/>
              </w:rPr>
            </w:pPr>
          </w:p>
        </w:tc>
        <w:tc>
          <w:tcPr>
            <w:tcW w:w="835" w:type="dxa"/>
            <w:vMerge w:val="continue"/>
            <w:tcBorders>
              <w:right w:val="single" w:color="auto" w:sz="4" w:space="0"/>
            </w:tcBorders>
            <w:vAlign w:val="center"/>
          </w:tcPr>
          <w:p>
            <w:pPr>
              <w:spacing w:line="360" w:lineRule="auto"/>
              <w:jc w:val="center"/>
              <w:rPr>
                <w:i/>
                <w:iCs/>
                <w:sz w:val="24"/>
                <w:u w:val="single"/>
              </w:rPr>
            </w:pPr>
          </w:p>
        </w:tc>
        <w:tc>
          <w:tcPr>
            <w:tcW w:w="1134" w:type="dxa"/>
            <w:vMerge w:val="restart"/>
            <w:tcBorders>
              <w:top w:val="single" w:color="auto" w:sz="4" w:space="0"/>
              <w:left w:val="single" w:color="auto" w:sz="4" w:space="0"/>
              <w:right w:val="single" w:color="auto" w:sz="4" w:space="0"/>
            </w:tcBorders>
            <w:vAlign w:val="center"/>
          </w:tcPr>
          <w:p>
            <w:pPr>
              <w:jc w:val="center"/>
              <w:rPr>
                <w:i/>
                <w:iCs/>
                <w:sz w:val="24"/>
                <w:u w:val="single"/>
              </w:rPr>
            </w:pPr>
            <w:r>
              <w:rPr>
                <w:rFonts w:hint="eastAsia"/>
                <w:i/>
                <w:iCs/>
                <w:sz w:val="24"/>
                <w:u w:val="single"/>
              </w:rPr>
              <w:t>危废贮存库</w:t>
            </w:r>
          </w:p>
          <w:p>
            <w:pPr>
              <w:jc w:val="center"/>
              <w:rPr>
                <w:i/>
                <w:iCs/>
                <w:sz w:val="24"/>
                <w:u w:val="single"/>
              </w:rPr>
            </w:pPr>
            <w:r>
              <w:rPr>
                <w:rFonts w:hint="eastAsia"/>
                <w:i/>
                <w:iCs/>
                <w:sz w:val="24"/>
                <w:u w:val="single"/>
              </w:rPr>
              <w:t>DA001</w:t>
            </w:r>
          </w:p>
        </w:tc>
        <w:tc>
          <w:tcPr>
            <w:tcW w:w="1324" w:type="dxa"/>
            <w:tcBorders>
              <w:top w:val="single" w:color="auto" w:sz="4" w:space="0"/>
              <w:left w:val="single" w:color="auto" w:sz="4" w:space="0"/>
              <w:bottom w:val="single" w:color="auto" w:sz="4" w:space="0"/>
              <w:right w:val="single" w:color="auto" w:sz="4" w:space="0"/>
            </w:tcBorders>
            <w:vAlign w:val="center"/>
          </w:tcPr>
          <w:p>
            <w:pPr>
              <w:jc w:val="center"/>
              <w:rPr>
                <w:i/>
                <w:iCs/>
                <w:sz w:val="24"/>
                <w:u w:val="single"/>
              </w:rPr>
            </w:pPr>
            <w:r>
              <w:rPr>
                <w:rFonts w:hint="eastAsia"/>
                <w:i/>
                <w:iCs/>
                <w:sz w:val="24"/>
                <w:u w:val="single"/>
              </w:rPr>
              <w:t>非甲烷总烃</w:t>
            </w:r>
          </w:p>
        </w:tc>
        <w:tc>
          <w:tcPr>
            <w:tcW w:w="2362" w:type="dxa"/>
            <w:tcBorders>
              <w:top w:val="single" w:color="auto" w:sz="4" w:space="0"/>
              <w:left w:val="single" w:color="auto" w:sz="4" w:space="0"/>
              <w:bottom w:val="single" w:color="auto" w:sz="4" w:space="0"/>
            </w:tcBorders>
            <w:vAlign w:val="center"/>
          </w:tcPr>
          <w:p>
            <w:pPr>
              <w:jc w:val="center"/>
              <w:rPr>
                <w:i/>
                <w:iCs/>
                <w:sz w:val="24"/>
                <w:u w:val="single"/>
              </w:rPr>
            </w:pPr>
            <w:r>
              <w:rPr>
                <w:rFonts w:hint="eastAsia"/>
                <w:i/>
                <w:iCs/>
                <w:sz w:val="24"/>
                <w:u w:val="single"/>
              </w:rPr>
              <w:t>集气装置+活性炭+15m高排气筒（DA001)</w:t>
            </w:r>
          </w:p>
        </w:tc>
        <w:tc>
          <w:tcPr>
            <w:tcW w:w="2066" w:type="dxa"/>
            <w:vMerge w:val="continue"/>
            <w:vAlign w:val="center"/>
          </w:tcPr>
          <w:p>
            <w:pPr>
              <w:spacing w:line="360" w:lineRule="auto"/>
              <w:jc w:val="center"/>
              <w:rPr>
                <w:i/>
                <w:iCs/>
                <w:sz w:val="24"/>
                <w:u w:val="single"/>
              </w:rPr>
            </w:pPr>
          </w:p>
        </w:tc>
      </w:tr>
      <w:tr>
        <w:trPr>
          <w:trHeight w:val="531" w:hRule="atLeast"/>
          <w:jc w:val="center"/>
        </w:trPr>
        <w:tc>
          <w:tcPr>
            <w:tcW w:w="1423" w:type="dxa"/>
            <w:vMerge w:val="continue"/>
            <w:vAlign w:val="center"/>
          </w:tcPr>
          <w:p>
            <w:pPr>
              <w:spacing w:line="360" w:lineRule="auto"/>
              <w:jc w:val="center"/>
              <w:rPr>
                <w:i/>
                <w:iCs/>
                <w:sz w:val="24"/>
                <w:u w:val="single"/>
              </w:rPr>
            </w:pPr>
          </w:p>
        </w:tc>
        <w:tc>
          <w:tcPr>
            <w:tcW w:w="835" w:type="dxa"/>
            <w:vMerge w:val="continue"/>
            <w:tcBorders>
              <w:bottom w:val="single" w:color="auto" w:sz="4" w:space="0"/>
              <w:right w:val="single" w:color="auto" w:sz="4" w:space="0"/>
            </w:tcBorders>
            <w:vAlign w:val="center"/>
          </w:tcPr>
          <w:p>
            <w:pPr>
              <w:spacing w:line="360" w:lineRule="auto"/>
              <w:jc w:val="center"/>
              <w:rPr>
                <w:i/>
                <w:iCs/>
                <w:sz w:val="24"/>
                <w:u w:val="single"/>
              </w:rPr>
            </w:pPr>
          </w:p>
        </w:tc>
        <w:tc>
          <w:tcPr>
            <w:tcW w:w="1134" w:type="dxa"/>
            <w:vMerge w:val="continue"/>
            <w:tcBorders>
              <w:left w:val="single" w:color="auto" w:sz="4" w:space="0"/>
              <w:bottom w:val="single" w:color="auto" w:sz="4" w:space="0"/>
              <w:right w:val="single" w:color="auto" w:sz="4" w:space="0"/>
            </w:tcBorders>
            <w:vAlign w:val="center"/>
          </w:tcPr>
          <w:p>
            <w:pPr>
              <w:jc w:val="center"/>
              <w:rPr>
                <w:i/>
                <w:iCs/>
                <w:sz w:val="24"/>
                <w:u w:val="single"/>
              </w:rPr>
            </w:pPr>
          </w:p>
        </w:tc>
        <w:tc>
          <w:tcPr>
            <w:tcW w:w="1324" w:type="dxa"/>
            <w:tcBorders>
              <w:top w:val="single" w:color="auto" w:sz="4" w:space="0"/>
              <w:left w:val="single" w:color="auto" w:sz="4" w:space="0"/>
              <w:bottom w:val="single" w:color="auto" w:sz="4" w:space="0"/>
              <w:right w:val="single" w:color="auto" w:sz="4" w:space="0"/>
            </w:tcBorders>
            <w:vAlign w:val="center"/>
          </w:tcPr>
          <w:p>
            <w:pPr>
              <w:jc w:val="center"/>
              <w:rPr>
                <w:i/>
                <w:iCs/>
                <w:sz w:val="24"/>
                <w:u w:val="single"/>
              </w:rPr>
            </w:pPr>
            <w:r>
              <w:rPr>
                <w:rFonts w:hint="eastAsia"/>
                <w:i/>
                <w:iCs/>
                <w:sz w:val="24"/>
                <w:u w:val="single"/>
              </w:rPr>
              <w:t>硫酸雾</w:t>
            </w:r>
          </w:p>
        </w:tc>
        <w:tc>
          <w:tcPr>
            <w:tcW w:w="2362" w:type="dxa"/>
            <w:tcBorders>
              <w:top w:val="single" w:color="auto" w:sz="4" w:space="0"/>
              <w:left w:val="single" w:color="auto" w:sz="4" w:space="0"/>
              <w:bottom w:val="single" w:color="auto" w:sz="4" w:space="0"/>
            </w:tcBorders>
            <w:vAlign w:val="center"/>
          </w:tcPr>
          <w:p>
            <w:pPr>
              <w:jc w:val="center"/>
              <w:rPr>
                <w:i/>
                <w:iCs/>
                <w:sz w:val="24"/>
                <w:u w:val="single"/>
              </w:rPr>
            </w:pPr>
            <w:r>
              <w:rPr>
                <w:rFonts w:hint="eastAsia"/>
                <w:i/>
                <w:iCs/>
                <w:sz w:val="24"/>
                <w:u w:val="single"/>
              </w:rPr>
              <w:t>集气装置+15m高排气筒（DA001)</w:t>
            </w:r>
          </w:p>
        </w:tc>
        <w:tc>
          <w:tcPr>
            <w:tcW w:w="2066" w:type="dxa"/>
            <w:vMerge w:val="continue"/>
            <w:vAlign w:val="center"/>
          </w:tcPr>
          <w:p>
            <w:pPr>
              <w:spacing w:line="360" w:lineRule="auto"/>
              <w:jc w:val="center"/>
              <w:rPr>
                <w:i/>
                <w:iCs/>
                <w:sz w:val="24"/>
                <w:u w:val="single"/>
              </w:rPr>
            </w:pPr>
          </w:p>
        </w:tc>
      </w:tr>
      <w:tr>
        <w:trPr>
          <w:trHeight w:val="510" w:hRule="atLeast"/>
          <w:jc w:val="center"/>
        </w:trPr>
        <w:tc>
          <w:tcPr>
            <w:tcW w:w="1423" w:type="dxa"/>
            <w:vMerge w:val="continue"/>
            <w:vAlign w:val="center"/>
          </w:tcPr>
          <w:p>
            <w:pPr>
              <w:spacing w:line="360" w:lineRule="auto"/>
              <w:jc w:val="center"/>
              <w:rPr>
                <w:i/>
                <w:iCs/>
                <w:sz w:val="24"/>
                <w:u w:val="single"/>
              </w:rPr>
            </w:pPr>
          </w:p>
        </w:tc>
        <w:tc>
          <w:tcPr>
            <w:tcW w:w="835" w:type="dxa"/>
            <w:tcBorders>
              <w:top w:val="single" w:color="auto" w:sz="4" w:space="0"/>
              <w:right w:val="single" w:color="auto" w:sz="4" w:space="0"/>
            </w:tcBorders>
            <w:vAlign w:val="center"/>
          </w:tcPr>
          <w:p>
            <w:pPr>
              <w:spacing w:line="360" w:lineRule="auto"/>
              <w:jc w:val="center"/>
              <w:rPr>
                <w:i/>
                <w:iCs/>
                <w:sz w:val="24"/>
                <w:u w:val="single"/>
              </w:rPr>
            </w:pPr>
            <w:r>
              <w:rPr>
                <w:rFonts w:hint="eastAsia"/>
                <w:i/>
                <w:iCs/>
                <w:sz w:val="24"/>
                <w:u w:val="single"/>
              </w:rPr>
              <w:t>无组织</w:t>
            </w:r>
          </w:p>
        </w:tc>
        <w:tc>
          <w:tcPr>
            <w:tcW w:w="1134" w:type="dxa"/>
            <w:tcBorders>
              <w:top w:val="single" w:color="auto" w:sz="4" w:space="0"/>
              <w:left w:val="single" w:color="auto" w:sz="4" w:space="0"/>
              <w:right w:val="single" w:color="auto" w:sz="4" w:space="0"/>
            </w:tcBorders>
            <w:vAlign w:val="center"/>
          </w:tcPr>
          <w:p>
            <w:pPr>
              <w:jc w:val="center"/>
              <w:rPr>
                <w:i/>
                <w:iCs/>
                <w:sz w:val="24"/>
                <w:u w:val="single"/>
              </w:rPr>
            </w:pPr>
            <w:r>
              <w:rPr>
                <w:rFonts w:hint="eastAsia"/>
                <w:i/>
                <w:iCs/>
                <w:sz w:val="24"/>
                <w:u w:val="single"/>
              </w:rPr>
              <w:t>拆解车间及危废贮存</w:t>
            </w:r>
          </w:p>
        </w:tc>
        <w:tc>
          <w:tcPr>
            <w:tcW w:w="1324" w:type="dxa"/>
            <w:tcBorders>
              <w:top w:val="single" w:color="auto" w:sz="4" w:space="0"/>
              <w:left w:val="single" w:color="auto" w:sz="4" w:space="0"/>
              <w:right w:val="single" w:color="auto" w:sz="4" w:space="0"/>
            </w:tcBorders>
            <w:vAlign w:val="center"/>
          </w:tcPr>
          <w:p>
            <w:pPr>
              <w:jc w:val="center"/>
              <w:rPr>
                <w:i/>
                <w:iCs/>
                <w:sz w:val="24"/>
                <w:u w:val="single"/>
              </w:rPr>
            </w:pPr>
            <w:r>
              <w:rPr>
                <w:rFonts w:hint="eastAsia"/>
                <w:i/>
                <w:iCs/>
                <w:sz w:val="24"/>
                <w:u w:val="single"/>
              </w:rPr>
              <w:t>非甲烷总烃、颗粒物、硫酸雾</w:t>
            </w:r>
          </w:p>
        </w:tc>
        <w:tc>
          <w:tcPr>
            <w:tcW w:w="2362" w:type="dxa"/>
            <w:tcBorders>
              <w:top w:val="single" w:color="auto" w:sz="4" w:space="0"/>
              <w:left w:val="single" w:color="auto" w:sz="4" w:space="0"/>
            </w:tcBorders>
            <w:vAlign w:val="center"/>
          </w:tcPr>
          <w:p>
            <w:pPr>
              <w:jc w:val="center"/>
              <w:rPr>
                <w:i/>
                <w:iCs/>
                <w:sz w:val="24"/>
                <w:u w:val="single"/>
              </w:rPr>
            </w:pPr>
            <w:r>
              <w:rPr>
                <w:rFonts w:hint="eastAsia"/>
                <w:i/>
                <w:iCs/>
                <w:sz w:val="24"/>
                <w:u w:val="single"/>
              </w:rPr>
              <w:t>加强车间通风</w:t>
            </w:r>
          </w:p>
        </w:tc>
        <w:tc>
          <w:tcPr>
            <w:tcW w:w="2066" w:type="dxa"/>
            <w:vMerge w:val="continue"/>
            <w:vAlign w:val="center"/>
          </w:tcPr>
          <w:p>
            <w:pPr>
              <w:spacing w:line="360" w:lineRule="auto"/>
              <w:jc w:val="center"/>
              <w:rPr>
                <w:i/>
                <w:iCs/>
                <w:sz w:val="24"/>
                <w:u w:val="single"/>
              </w:rPr>
            </w:pPr>
          </w:p>
        </w:tc>
      </w:tr>
      <w:tr>
        <w:trPr>
          <w:trHeight w:val="23" w:hRule="atLeast"/>
          <w:jc w:val="center"/>
        </w:trPr>
        <w:tc>
          <w:tcPr>
            <w:tcW w:w="1423" w:type="dxa"/>
            <w:vMerge w:val="restart"/>
            <w:vAlign w:val="center"/>
          </w:tcPr>
          <w:p>
            <w:pPr>
              <w:spacing w:line="360" w:lineRule="auto"/>
              <w:jc w:val="center"/>
              <w:rPr>
                <w:i/>
                <w:iCs/>
                <w:sz w:val="24"/>
                <w:u w:val="single"/>
              </w:rPr>
            </w:pPr>
            <w:r>
              <w:rPr>
                <w:i/>
                <w:iCs/>
                <w:sz w:val="24"/>
                <w:u w:val="single"/>
              </w:rPr>
              <w:t>地表水环境</w:t>
            </w:r>
          </w:p>
        </w:tc>
        <w:tc>
          <w:tcPr>
            <w:tcW w:w="1969" w:type="dxa"/>
            <w:gridSpan w:val="2"/>
            <w:vMerge w:val="restart"/>
            <w:vAlign w:val="center"/>
          </w:tcPr>
          <w:p>
            <w:pPr>
              <w:jc w:val="center"/>
              <w:rPr>
                <w:i/>
                <w:iCs/>
                <w:sz w:val="24"/>
                <w:u w:val="single"/>
              </w:rPr>
            </w:pPr>
            <w:r>
              <w:rPr>
                <w:i/>
                <w:iCs/>
                <w:sz w:val="24"/>
                <w:u w:val="single"/>
              </w:rPr>
              <w:t>生活污水</w:t>
            </w:r>
          </w:p>
          <w:p>
            <w:pPr>
              <w:jc w:val="center"/>
              <w:rPr>
                <w:i/>
                <w:iCs/>
                <w:sz w:val="24"/>
                <w:u w:val="single"/>
              </w:rPr>
            </w:pPr>
            <w:r>
              <w:rPr>
                <w:rFonts w:hint="eastAsia"/>
                <w:i/>
                <w:iCs/>
                <w:sz w:val="24"/>
                <w:u w:val="single"/>
              </w:rPr>
              <w:t>初期雨水</w:t>
            </w:r>
          </w:p>
        </w:tc>
        <w:tc>
          <w:tcPr>
            <w:tcW w:w="1324" w:type="dxa"/>
            <w:vAlign w:val="center"/>
          </w:tcPr>
          <w:p>
            <w:pPr>
              <w:jc w:val="center"/>
              <w:rPr>
                <w:i/>
                <w:iCs/>
                <w:sz w:val="24"/>
                <w:u w:val="single"/>
              </w:rPr>
            </w:pPr>
            <w:r>
              <w:rPr>
                <w:i/>
                <w:iCs/>
                <w:sz w:val="24"/>
                <w:u w:val="single"/>
              </w:rPr>
              <w:t>COD</w:t>
            </w:r>
          </w:p>
        </w:tc>
        <w:tc>
          <w:tcPr>
            <w:tcW w:w="2362" w:type="dxa"/>
            <w:vMerge w:val="restart"/>
            <w:vAlign w:val="center"/>
          </w:tcPr>
          <w:p>
            <w:pPr>
              <w:jc w:val="center"/>
              <w:rPr>
                <w:i/>
                <w:iCs/>
                <w:sz w:val="24"/>
                <w:u w:val="single"/>
              </w:rPr>
            </w:pPr>
            <w:r>
              <w:rPr>
                <w:rFonts w:hint="eastAsia"/>
                <w:i/>
                <w:iCs/>
                <w:sz w:val="24"/>
                <w:u w:val="single"/>
              </w:rPr>
              <w:t>生活污水排入厂区化粪池，定期清掏不外排；初期雨水排入污水暂存池，经罐车运至柳河县污水处理厂处理</w:t>
            </w:r>
          </w:p>
        </w:tc>
        <w:tc>
          <w:tcPr>
            <w:tcW w:w="2066" w:type="dxa"/>
            <w:vMerge w:val="restart"/>
            <w:vAlign w:val="center"/>
          </w:tcPr>
          <w:p>
            <w:pPr>
              <w:jc w:val="center"/>
              <w:rPr>
                <w:i/>
                <w:iCs/>
                <w:sz w:val="24"/>
                <w:u w:val="single"/>
              </w:rPr>
            </w:pPr>
            <w:r>
              <w:rPr>
                <w:rFonts w:hint="eastAsia"/>
                <w:i/>
                <w:iCs/>
                <w:sz w:val="24"/>
                <w:u w:val="single"/>
              </w:rPr>
              <w:t xml:space="preserve">《污水综合排放标 </w:t>
            </w:r>
          </w:p>
          <w:p>
            <w:pPr>
              <w:jc w:val="center"/>
              <w:rPr>
                <w:i/>
                <w:iCs/>
                <w:sz w:val="24"/>
                <w:u w:val="single"/>
              </w:rPr>
            </w:pPr>
            <w:r>
              <w:rPr>
                <w:rFonts w:hint="eastAsia"/>
                <w:i/>
                <w:iCs/>
                <w:sz w:val="24"/>
                <w:u w:val="single"/>
              </w:rPr>
              <w:t>准》（</w:t>
            </w:r>
            <w:r>
              <w:rPr>
                <w:i/>
                <w:iCs/>
                <w:sz w:val="24"/>
                <w:u w:val="single"/>
              </w:rPr>
              <w:t>GB8978-1996</w:t>
            </w:r>
            <w:r>
              <w:rPr>
                <w:rFonts w:hint="eastAsia"/>
                <w:i/>
                <w:iCs/>
                <w:sz w:val="24"/>
                <w:u w:val="single"/>
              </w:rPr>
              <w:t>） 中三级标准</w:t>
            </w:r>
          </w:p>
        </w:tc>
      </w:tr>
      <w:tr>
        <w:trPr>
          <w:trHeight w:val="23" w:hRule="atLeast"/>
          <w:jc w:val="center"/>
        </w:trPr>
        <w:tc>
          <w:tcPr>
            <w:tcW w:w="1423" w:type="dxa"/>
            <w:vMerge w:val="continue"/>
            <w:vAlign w:val="center"/>
          </w:tcPr>
          <w:p>
            <w:pPr>
              <w:spacing w:line="360" w:lineRule="auto"/>
              <w:jc w:val="center"/>
              <w:rPr>
                <w:i/>
                <w:iCs/>
                <w:sz w:val="24"/>
                <w:u w:val="single"/>
              </w:rPr>
            </w:pPr>
          </w:p>
        </w:tc>
        <w:tc>
          <w:tcPr>
            <w:tcW w:w="1969" w:type="dxa"/>
            <w:gridSpan w:val="2"/>
            <w:vMerge w:val="continue"/>
            <w:vAlign w:val="center"/>
          </w:tcPr>
          <w:p>
            <w:pPr>
              <w:jc w:val="center"/>
              <w:rPr>
                <w:i/>
                <w:iCs/>
                <w:sz w:val="24"/>
                <w:u w:val="single"/>
              </w:rPr>
            </w:pPr>
          </w:p>
        </w:tc>
        <w:tc>
          <w:tcPr>
            <w:tcW w:w="1324" w:type="dxa"/>
            <w:vAlign w:val="center"/>
          </w:tcPr>
          <w:p>
            <w:pPr>
              <w:jc w:val="center"/>
              <w:rPr>
                <w:i/>
                <w:iCs/>
                <w:sz w:val="24"/>
                <w:u w:val="single"/>
              </w:rPr>
            </w:pPr>
            <w:r>
              <w:rPr>
                <w:i/>
                <w:iCs/>
                <w:sz w:val="24"/>
                <w:u w:val="single"/>
              </w:rPr>
              <w:t>BOD</w:t>
            </w:r>
            <w:r>
              <w:rPr>
                <w:i/>
                <w:iCs/>
                <w:sz w:val="24"/>
                <w:u w:val="single"/>
                <w:vertAlign w:val="subscript"/>
              </w:rPr>
              <w:t>5</w:t>
            </w:r>
          </w:p>
        </w:tc>
        <w:tc>
          <w:tcPr>
            <w:tcW w:w="2362" w:type="dxa"/>
            <w:vMerge w:val="continue"/>
            <w:vAlign w:val="center"/>
          </w:tcPr>
          <w:p>
            <w:pPr>
              <w:jc w:val="center"/>
              <w:rPr>
                <w:i/>
                <w:iCs/>
                <w:sz w:val="24"/>
                <w:u w:val="single"/>
              </w:rPr>
            </w:pPr>
          </w:p>
        </w:tc>
        <w:tc>
          <w:tcPr>
            <w:tcW w:w="2066" w:type="dxa"/>
            <w:vMerge w:val="continue"/>
            <w:vAlign w:val="center"/>
          </w:tcPr>
          <w:p>
            <w:pPr>
              <w:jc w:val="center"/>
              <w:rPr>
                <w:i/>
                <w:iCs/>
                <w:sz w:val="24"/>
                <w:u w:val="single"/>
              </w:rPr>
            </w:pPr>
          </w:p>
        </w:tc>
      </w:tr>
      <w:tr>
        <w:trPr>
          <w:trHeight w:val="23" w:hRule="atLeast"/>
          <w:jc w:val="center"/>
        </w:trPr>
        <w:tc>
          <w:tcPr>
            <w:tcW w:w="1423" w:type="dxa"/>
            <w:vMerge w:val="continue"/>
            <w:vAlign w:val="center"/>
          </w:tcPr>
          <w:p>
            <w:pPr>
              <w:spacing w:line="360" w:lineRule="auto"/>
              <w:jc w:val="center"/>
              <w:rPr>
                <w:i/>
                <w:iCs/>
                <w:sz w:val="24"/>
                <w:u w:val="single"/>
              </w:rPr>
            </w:pPr>
          </w:p>
        </w:tc>
        <w:tc>
          <w:tcPr>
            <w:tcW w:w="1969" w:type="dxa"/>
            <w:gridSpan w:val="2"/>
            <w:vMerge w:val="continue"/>
            <w:vAlign w:val="center"/>
          </w:tcPr>
          <w:p>
            <w:pPr>
              <w:jc w:val="center"/>
              <w:rPr>
                <w:i/>
                <w:iCs/>
                <w:sz w:val="24"/>
                <w:u w:val="single"/>
              </w:rPr>
            </w:pPr>
          </w:p>
        </w:tc>
        <w:tc>
          <w:tcPr>
            <w:tcW w:w="1324" w:type="dxa"/>
            <w:vAlign w:val="center"/>
          </w:tcPr>
          <w:p>
            <w:pPr>
              <w:jc w:val="center"/>
              <w:rPr>
                <w:i/>
                <w:iCs/>
                <w:sz w:val="24"/>
                <w:u w:val="single"/>
              </w:rPr>
            </w:pPr>
            <w:r>
              <w:rPr>
                <w:i/>
                <w:iCs/>
                <w:sz w:val="24"/>
                <w:u w:val="single"/>
              </w:rPr>
              <w:t>SS</w:t>
            </w:r>
          </w:p>
        </w:tc>
        <w:tc>
          <w:tcPr>
            <w:tcW w:w="2362" w:type="dxa"/>
            <w:vMerge w:val="continue"/>
            <w:vAlign w:val="center"/>
          </w:tcPr>
          <w:p>
            <w:pPr>
              <w:jc w:val="center"/>
              <w:rPr>
                <w:i/>
                <w:iCs/>
                <w:sz w:val="24"/>
                <w:u w:val="single"/>
              </w:rPr>
            </w:pPr>
          </w:p>
        </w:tc>
        <w:tc>
          <w:tcPr>
            <w:tcW w:w="2066" w:type="dxa"/>
            <w:vMerge w:val="continue"/>
            <w:vAlign w:val="center"/>
          </w:tcPr>
          <w:p>
            <w:pPr>
              <w:jc w:val="center"/>
              <w:rPr>
                <w:i/>
                <w:iCs/>
                <w:sz w:val="24"/>
                <w:u w:val="single"/>
              </w:rPr>
            </w:pPr>
          </w:p>
        </w:tc>
      </w:tr>
      <w:tr>
        <w:trPr>
          <w:trHeight w:val="23" w:hRule="atLeast"/>
          <w:jc w:val="center"/>
        </w:trPr>
        <w:tc>
          <w:tcPr>
            <w:tcW w:w="1423" w:type="dxa"/>
            <w:vMerge w:val="continue"/>
            <w:vAlign w:val="center"/>
          </w:tcPr>
          <w:p>
            <w:pPr>
              <w:spacing w:line="360" w:lineRule="auto"/>
              <w:jc w:val="center"/>
              <w:rPr>
                <w:i/>
                <w:iCs/>
                <w:sz w:val="24"/>
                <w:u w:val="single"/>
              </w:rPr>
            </w:pPr>
          </w:p>
        </w:tc>
        <w:tc>
          <w:tcPr>
            <w:tcW w:w="1969" w:type="dxa"/>
            <w:gridSpan w:val="2"/>
            <w:vMerge w:val="continue"/>
            <w:vAlign w:val="center"/>
          </w:tcPr>
          <w:p>
            <w:pPr>
              <w:jc w:val="center"/>
              <w:rPr>
                <w:i/>
                <w:iCs/>
                <w:sz w:val="24"/>
                <w:u w:val="single"/>
              </w:rPr>
            </w:pPr>
          </w:p>
        </w:tc>
        <w:tc>
          <w:tcPr>
            <w:tcW w:w="1324" w:type="dxa"/>
            <w:vAlign w:val="center"/>
          </w:tcPr>
          <w:p>
            <w:pPr>
              <w:jc w:val="center"/>
              <w:rPr>
                <w:i/>
                <w:iCs/>
                <w:sz w:val="24"/>
                <w:u w:val="single"/>
              </w:rPr>
            </w:pPr>
            <w:r>
              <w:rPr>
                <w:rFonts w:hint="eastAsia"/>
                <w:i/>
                <w:iCs/>
                <w:sz w:val="24"/>
                <w:u w:val="single"/>
              </w:rPr>
              <w:t>氨氮</w:t>
            </w:r>
          </w:p>
        </w:tc>
        <w:tc>
          <w:tcPr>
            <w:tcW w:w="2362" w:type="dxa"/>
            <w:vMerge w:val="continue"/>
            <w:vAlign w:val="center"/>
          </w:tcPr>
          <w:p>
            <w:pPr>
              <w:jc w:val="center"/>
              <w:rPr>
                <w:i/>
                <w:iCs/>
                <w:sz w:val="24"/>
                <w:u w:val="single"/>
              </w:rPr>
            </w:pPr>
          </w:p>
        </w:tc>
        <w:tc>
          <w:tcPr>
            <w:tcW w:w="2066" w:type="dxa"/>
            <w:vMerge w:val="continue"/>
            <w:vAlign w:val="center"/>
          </w:tcPr>
          <w:p>
            <w:pPr>
              <w:jc w:val="center"/>
              <w:rPr>
                <w:i/>
                <w:iCs/>
                <w:sz w:val="24"/>
                <w:u w:val="single"/>
              </w:rPr>
            </w:pPr>
          </w:p>
        </w:tc>
      </w:tr>
      <w:tr>
        <w:trPr>
          <w:trHeight w:val="23" w:hRule="atLeast"/>
          <w:jc w:val="center"/>
        </w:trPr>
        <w:tc>
          <w:tcPr>
            <w:tcW w:w="1423" w:type="dxa"/>
            <w:vMerge w:val="continue"/>
            <w:vAlign w:val="center"/>
          </w:tcPr>
          <w:p>
            <w:pPr>
              <w:spacing w:line="360" w:lineRule="auto"/>
              <w:jc w:val="center"/>
              <w:rPr>
                <w:i/>
                <w:iCs/>
                <w:sz w:val="24"/>
                <w:u w:val="single"/>
              </w:rPr>
            </w:pPr>
          </w:p>
        </w:tc>
        <w:tc>
          <w:tcPr>
            <w:tcW w:w="1969" w:type="dxa"/>
            <w:gridSpan w:val="2"/>
            <w:vMerge w:val="continue"/>
            <w:vAlign w:val="center"/>
          </w:tcPr>
          <w:p>
            <w:pPr>
              <w:jc w:val="center"/>
              <w:rPr>
                <w:i/>
                <w:iCs/>
                <w:sz w:val="24"/>
                <w:u w:val="single"/>
              </w:rPr>
            </w:pPr>
          </w:p>
        </w:tc>
        <w:tc>
          <w:tcPr>
            <w:tcW w:w="1324" w:type="dxa"/>
            <w:vAlign w:val="center"/>
          </w:tcPr>
          <w:p>
            <w:pPr>
              <w:jc w:val="center"/>
              <w:rPr>
                <w:i/>
                <w:iCs/>
                <w:sz w:val="24"/>
                <w:u w:val="single"/>
              </w:rPr>
            </w:pPr>
            <w:r>
              <w:rPr>
                <w:rFonts w:hint="eastAsia"/>
                <w:i/>
                <w:iCs/>
                <w:sz w:val="24"/>
                <w:u w:val="single"/>
              </w:rPr>
              <w:t>石油类</w:t>
            </w:r>
          </w:p>
        </w:tc>
        <w:tc>
          <w:tcPr>
            <w:tcW w:w="2362" w:type="dxa"/>
            <w:vMerge w:val="continue"/>
            <w:vAlign w:val="center"/>
          </w:tcPr>
          <w:p>
            <w:pPr>
              <w:jc w:val="center"/>
              <w:rPr>
                <w:i/>
                <w:iCs/>
                <w:sz w:val="24"/>
                <w:u w:val="single"/>
              </w:rPr>
            </w:pPr>
          </w:p>
        </w:tc>
        <w:tc>
          <w:tcPr>
            <w:tcW w:w="2066" w:type="dxa"/>
            <w:vMerge w:val="continue"/>
            <w:vAlign w:val="center"/>
          </w:tcPr>
          <w:p>
            <w:pPr>
              <w:jc w:val="center"/>
              <w:rPr>
                <w:i/>
                <w:iCs/>
                <w:sz w:val="24"/>
                <w:u w:val="single"/>
              </w:rPr>
            </w:pPr>
          </w:p>
        </w:tc>
      </w:tr>
      <w:tr>
        <w:trPr>
          <w:trHeight w:val="23" w:hRule="atLeast"/>
          <w:jc w:val="center"/>
        </w:trPr>
        <w:tc>
          <w:tcPr>
            <w:tcW w:w="1423" w:type="dxa"/>
            <w:vAlign w:val="center"/>
          </w:tcPr>
          <w:p>
            <w:pPr>
              <w:spacing w:line="360" w:lineRule="auto"/>
              <w:jc w:val="center"/>
              <w:rPr>
                <w:i/>
                <w:iCs/>
                <w:sz w:val="24"/>
                <w:u w:val="single"/>
              </w:rPr>
            </w:pPr>
            <w:r>
              <w:rPr>
                <w:i/>
                <w:iCs/>
                <w:sz w:val="24"/>
                <w:u w:val="single"/>
              </w:rPr>
              <w:t>声环境</w:t>
            </w:r>
          </w:p>
        </w:tc>
        <w:tc>
          <w:tcPr>
            <w:tcW w:w="1969" w:type="dxa"/>
            <w:gridSpan w:val="2"/>
            <w:vAlign w:val="center"/>
          </w:tcPr>
          <w:p>
            <w:pPr>
              <w:jc w:val="center"/>
              <w:rPr>
                <w:i/>
                <w:iCs/>
                <w:sz w:val="24"/>
                <w:u w:val="single"/>
              </w:rPr>
            </w:pPr>
            <w:r>
              <w:rPr>
                <w:rFonts w:hint="eastAsia"/>
                <w:i/>
                <w:iCs/>
                <w:sz w:val="24"/>
                <w:u w:val="single"/>
              </w:rPr>
              <w:t>机械设备</w:t>
            </w:r>
          </w:p>
        </w:tc>
        <w:tc>
          <w:tcPr>
            <w:tcW w:w="1324" w:type="dxa"/>
            <w:vAlign w:val="center"/>
          </w:tcPr>
          <w:p>
            <w:pPr>
              <w:jc w:val="center"/>
              <w:rPr>
                <w:i/>
                <w:iCs/>
                <w:sz w:val="24"/>
                <w:u w:val="single"/>
              </w:rPr>
            </w:pPr>
            <w:r>
              <w:rPr>
                <w:rFonts w:hint="eastAsia"/>
                <w:i/>
                <w:iCs/>
                <w:sz w:val="24"/>
                <w:u w:val="single"/>
              </w:rPr>
              <w:t>噪声</w:t>
            </w:r>
          </w:p>
        </w:tc>
        <w:tc>
          <w:tcPr>
            <w:tcW w:w="2362" w:type="dxa"/>
            <w:vAlign w:val="center"/>
          </w:tcPr>
          <w:p>
            <w:pPr>
              <w:rPr>
                <w:i/>
                <w:iCs/>
                <w:sz w:val="24"/>
                <w:u w:val="single"/>
              </w:rPr>
            </w:pPr>
            <w:r>
              <w:rPr>
                <w:i/>
                <w:iCs/>
                <w:kern w:val="0"/>
                <w:sz w:val="24"/>
                <w:u w:val="single"/>
              </w:rPr>
              <w:t>选取低噪音设备，对高噪声设备做减振处理</w:t>
            </w:r>
          </w:p>
        </w:tc>
        <w:tc>
          <w:tcPr>
            <w:tcW w:w="2066" w:type="dxa"/>
            <w:vAlign w:val="center"/>
          </w:tcPr>
          <w:p>
            <w:pPr>
              <w:jc w:val="center"/>
              <w:rPr>
                <w:i/>
                <w:iCs/>
                <w:kern w:val="0"/>
                <w:sz w:val="24"/>
                <w:u w:val="single"/>
              </w:rPr>
            </w:pPr>
            <w:r>
              <w:rPr>
                <w:i/>
                <w:iCs/>
                <w:kern w:val="0"/>
                <w:sz w:val="24"/>
                <w:u w:val="single"/>
              </w:rPr>
              <w:t>《工业企业厂界噪声排放标准》（GB12348-2008）</w:t>
            </w:r>
          </w:p>
          <w:p>
            <w:pPr>
              <w:jc w:val="center"/>
              <w:rPr>
                <w:i/>
                <w:iCs/>
                <w:sz w:val="24"/>
                <w:u w:val="single"/>
              </w:rPr>
            </w:pPr>
            <w:r>
              <w:rPr>
                <w:rFonts w:hint="eastAsia"/>
                <w:i/>
                <w:iCs/>
                <w:kern w:val="0"/>
                <w:sz w:val="24"/>
                <w:u w:val="single"/>
              </w:rPr>
              <w:t>3</w:t>
            </w:r>
            <w:r>
              <w:rPr>
                <w:i/>
                <w:iCs/>
                <w:kern w:val="0"/>
                <w:sz w:val="24"/>
                <w:u w:val="single"/>
              </w:rPr>
              <w:t>类</w:t>
            </w:r>
            <w:r>
              <w:rPr>
                <w:rFonts w:hint="eastAsia"/>
                <w:i/>
                <w:iCs/>
                <w:kern w:val="0"/>
                <w:sz w:val="24"/>
                <w:u w:val="single"/>
              </w:rPr>
              <w:t>、4类</w:t>
            </w:r>
            <w:r>
              <w:rPr>
                <w:i/>
                <w:iCs/>
                <w:kern w:val="0"/>
                <w:sz w:val="24"/>
                <w:u w:val="single"/>
              </w:rPr>
              <w:t>标准</w:t>
            </w:r>
          </w:p>
        </w:tc>
      </w:tr>
      <w:tr>
        <w:trPr>
          <w:trHeight w:val="23" w:hRule="atLeast"/>
          <w:jc w:val="center"/>
        </w:trPr>
        <w:tc>
          <w:tcPr>
            <w:tcW w:w="1423" w:type="dxa"/>
            <w:vAlign w:val="center"/>
          </w:tcPr>
          <w:p>
            <w:pPr>
              <w:spacing w:line="360" w:lineRule="auto"/>
              <w:jc w:val="center"/>
              <w:rPr>
                <w:i/>
                <w:iCs/>
                <w:sz w:val="24"/>
                <w:u w:val="single"/>
              </w:rPr>
            </w:pPr>
            <w:r>
              <w:rPr>
                <w:i/>
                <w:iCs/>
                <w:sz w:val="24"/>
                <w:u w:val="single"/>
              </w:rPr>
              <w:t>电磁辐射</w:t>
            </w:r>
          </w:p>
        </w:tc>
        <w:tc>
          <w:tcPr>
            <w:tcW w:w="1969" w:type="dxa"/>
            <w:gridSpan w:val="2"/>
            <w:vAlign w:val="center"/>
          </w:tcPr>
          <w:p>
            <w:pPr>
              <w:spacing w:line="360" w:lineRule="auto"/>
              <w:jc w:val="center"/>
              <w:rPr>
                <w:i/>
                <w:iCs/>
                <w:sz w:val="24"/>
                <w:u w:val="single"/>
              </w:rPr>
            </w:pPr>
            <w:r>
              <w:rPr>
                <w:i/>
                <w:iCs/>
                <w:sz w:val="24"/>
                <w:u w:val="single"/>
              </w:rPr>
              <w:t>——</w:t>
            </w:r>
          </w:p>
        </w:tc>
        <w:tc>
          <w:tcPr>
            <w:tcW w:w="1324" w:type="dxa"/>
            <w:vAlign w:val="center"/>
          </w:tcPr>
          <w:p>
            <w:pPr>
              <w:spacing w:line="360" w:lineRule="auto"/>
              <w:jc w:val="center"/>
              <w:rPr>
                <w:i/>
                <w:iCs/>
                <w:sz w:val="24"/>
                <w:u w:val="single"/>
              </w:rPr>
            </w:pPr>
            <w:r>
              <w:rPr>
                <w:i/>
                <w:iCs/>
                <w:sz w:val="24"/>
                <w:u w:val="single"/>
              </w:rPr>
              <w:t>——</w:t>
            </w:r>
          </w:p>
        </w:tc>
        <w:tc>
          <w:tcPr>
            <w:tcW w:w="2362" w:type="dxa"/>
            <w:vAlign w:val="center"/>
          </w:tcPr>
          <w:p>
            <w:pPr>
              <w:spacing w:line="360" w:lineRule="auto"/>
              <w:jc w:val="center"/>
              <w:rPr>
                <w:i/>
                <w:iCs/>
                <w:sz w:val="24"/>
                <w:u w:val="single"/>
              </w:rPr>
            </w:pPr>
            <w:r>
              <w:rPr>
                <w:i/>
                <w:iCs/>
                <w:sz w:val="24"/>
                <w:u w:val="single"/>
              </w:rPr>
              <w:t>——</w:t>
            </w:r>
          </w:p>
        </w:tc>
        <w:tc>
          <w:tcPr>
            <w:tcW w:w="2066" w:type="dxa"/>
            <w:vAlign w:val="center"/>
          </w:tcPr>
          <w:p>
            <w:pPr>
              <w:spacing w:line="360" w:lineRule="auto"/>
              <w:jc w:val="center"/>
              <w:rPr>
                <w:i/>
                <w:iCs/>
                <w:sz w:val="24"/>
                <w:u w:val="single"/>
              </w:rPr>
            </w:pPr>
            <w:r>
              <w:rPr>
                <w:i/>
                <w:iCs/>
                <w:sz w:val="24"/>
                <w:u w:val="single"/>
              </w:rPr>
              <w:t>——</w:t>
            </w:r>
          </w:p>
        </w:tc>
      </w:tr>
      <w:tr>
        <w:trPr>
          <w:trHeight w:val="23" w:hRule="atLeast"/>
          <w:jc w:val="center"/>
        </w:trPr>
        <w:tc>
          <w:tcPr>
            <w:tcW w:w="1423" w:type="dxa"/>
            <w:vAlign w:val="center"/>
          </w:tcPr>
          <w:p>
            <w:pPr>
              <w:spacing w:line="360" w:lineRule="auto"/>
              <w:jc w:val="center"/>
              <w:rPr>
                <w:i/>
                <w:iCs/>
                <w:snapToGrid w:val="0"/>
                <w:sz w:val="24"/>
                <w:u w:val="single"/>
              </w:rPr>
            </w:pPr>
            <w:r>
              <w:rPr>
                <w:i/>
                <w:iCs/>
                <w:snapToGrid w:val="0"/>
                <w:sz w:val="24"/>
                <w:u w:val="single"/>
              </w:rPr>
              <w:t>固体废物</w:t>
            </w:r>
          </w:p>
        </w:tc>
        <w:tc>
          <w:tcPr>
            <w:tcW w:w="7721" w:type="dxa"/>
            <w:gridSpan w:val="5"/>
            <w:vAlign w:val="top"/>
          </w:tcPr>
          <w:p>
            <w:pPr>
              <w:widowControl/>
              <w:spacing w:line="360" w:lineRule="auto"/>
              <w:jc w:val="left"/>
              <w:rPr>
                <w:i/>
                <w:iCs/>
                <w:snapToGrid w:val="0"/>
                <w:sz w:val="24"/>
                <w:u w:val="single"/>
              </w:rPr>
            </w:pPr>
            <w:r>
              <w:rPr>
                <w:rFonts w:hint="eastAsia"/>
                <w:i/>
                <w:iCs/>
                <w:snapToGrid w:val="0"/>
                <w:sz w:val="24"/>
                <w:u w:val="single"/>
              </w:rPr>
              <w:t>本项目固体废物主要为生活垃圾、一般工业固体废弃物和危险废物。一般工业固体废弃物中，钢铁、塑料、玻璃、橡胶以及有色金属分类收集、定点堆放，集中收集后统一外售；废铅酸蓄电池、废油液、废油箱、废尾气净化装置、废机油滤清器、废含汞开关、电路板、电容器、油泥、废手套抹布等暂存于危废贮存库后，定期委托有资质公司处理；生活垃圾统一收集后由环卫部门统一处理。</w:t>
            </w:r>
          </w:p>
        </w:tc>
      </w:tr>
      <w:tr>
        <w:trPr>
          <w:trHeight w:val="23" w:hRule="atLeast"/>
          <w:jc w:val="center"/>
        </w:trPr>
        <w:tc>
          <w:tcPr>
            <w:tcW w:w="1423" w:type="dxa"/>
            <w:vAlign w:val="center"/>
          </w:tcPr>
          <w:p>
            <w:pPr>
              <w:spacing w:line="360" w:lineRule="auto"/>
              <w:jc w:val="center"/>
              <w:rPr>
                <w:i/>
                <w:iCs/>
                <w:snapToGrid w:val="0"/>
                <w:sz w:val="24"/>
                <w:u w:val="single"/>
              </w:rPr>
            </w:pPr>
            <w:r>
              <w:rPr>
                <w:i/>
                <w:iCs/>
                <w:snapToGrid w:val="0"/>
                <w:sz w:val="24"/>
                <w:u w:val="single"/>
              </w:rPr>
              <w:t>土壤及地下水污染防治措施</w:t>
            </w:r>
          </w:p>
        </w:tc>
        <w:tc>
          <w:tcPr>
            <w:tcW w:w="7721" w:type="dxa"/>
            <w:gridSpan w:val="5"/>
            <w:vAlign w:val="center"/>
          </w:tcPr>
          <w:p>
            <w:pPr>
              <w:widowControl/>
              <w:spacing w:line="360" w:lineRule="auto"/>
              <w:rPr>
                <w:i/>
                <w:iCs/>
                <w:snapToGrid w:val="0"/>
                <w:sz w:val="24"/>
                <w:u w:val="single"/>
              </w:rPr>
            </w:pPr>
            <w:r>
              <w:rPr>
                <w:rFonts w:hint="eastAsia"/>
                <w:i/>
                <w:iCs/>
                <w:snapToGrid w:val="0"/>
                <w:sz w:val="24"/>
                <w:u w:val="single"/>
              </w:rPr>
              <w:t>①源头控制措施</w:t>
            </w:r>
          </w:p>
          <w:p>
            <w:pPr>
              <w:widowControl/>
              <w:spacing w:line="360" w:lineRule="auto"/>
              <w:rPr>
                <w:i/>
                <w:iCs/>
                <w:snapToGrid w:val="0"/>
                <w:sz w:val="24"/>
                <w:u w:val="single"/>
              </w:rPr>
            </w:pPr>
            <w:r>
              <w:rPr>
                <w:rFonts w:hint="eastAsia"/>
                <w:i/>
                <w:iCs/>
                <w:snapToGrid w:val="0"/>
                <w:sz w:val="24"/>
                <w:u w:val="single"/>
              </w:rPr>
              <w:t xml:space="preserve">源头控制主要包括对拆解区、危险废物贮存库等区域采取相应措施，防止和降低污染物跑、冒、滴、漏，将污染物泄漏的环境风险事故降到最低程度。尽可能从源头上减少可能污染物的产生；严格按照国家相关规范要求，对工艺、管道、设备、储存构筑物采取相应的措施，以防止和降低可能污染物的跑、冒、滴、漏，将危险废物（废油液等）泄漏的环境风险事故降低到最低程度；项目产生的固废严格按照《危险废物贮存污染控制标准》（GB18597-2023）和《一般工业固体废物贮存和填埋污染控制标准》（GB18599-2020）相关要求进行设计和管理。 </w:t>
            </w:r>
          </w:p>
          <w:p>
            <w:pPr>
              <w:widowControl/>
              <w:spacing w:line="360" w:lineRule="auto"/>
              <w:rPr>
                <w:i/>
                <w:iCs/>
                <w:snapToGrid w:val="0"/>
                <w:sz w:val="24"/>
                <w:u w:val="single"/>
              </w:rPr>
            </w:pPr>
            <w:r>
              <w:rPr>
                <w:rFonts w:hint="eastAsia"/>
                <w:i/>
                <w:iCs/>
                <w:snapToGrid w:val="0"/>
                <w:sz w:val="24"/>
                <w:u w:val="single"/>
              </w:rPr>
              <w:t xml:space="preserve">②分区防控措施 </w:t>
            </w:r>
          </w:p>
          <w:p>
            <w:pPr>
              <w:widowControl/>
              <w:spacing w:line="360" w:lineRule="auto"/>
              <w:rPr>
                <w:i/>
                <w:iCs/>
                <w:snapToGrid w:val="0"/>
                <w:sz w:val="24"/>
                <w:u w:val="single"/>
              </w:rPr>
            </w:pPr>
            <w:r>
              <w:rPr>
                <w:rFonts w:hint="eastAsia"/>
                <w:i/>
                <w:iCs/>
                <w:snapToGrid w:val="0"/>
                <w:sz w:val="24"/>
                <w:u w:val="single"/>
              </w:rPr>
              <w:t>项目地下水防控应以水平防渗为主，按照《环境影响评价技术导则地下水环境》 (HJ610-2016)11.2.2 节要求，可根据建设项目场地天然包气带防污性能、污染控制难易程度和污染物特性，采取不同的分区防渗技术要求：拆解区、危险废物贮存库、应急池、污水暂存池为重点防渗区；报废农机暂存区、拆解物暂存区为一般防渗区；办公室等为简单防渗区。</w:t>
            </w:r>
          </w:p>
        </w:tc>
      </w:tr>
      <w:tr>
        <w:trPr>
          <w:trHeight w:val="23" w:hRule="atLeast"/>
          <w:jc w:val="center"/>
        </w:trPr>
        <w:tc>
          <w:tcPr>
            <w:tcW w:w="1423" w:type="dxa"/>
            <w:vAlign w:val="center"/>
          </w:tcPr>
          <w:p>
            <w:pPr>
              <w:spacing w:line="360" w:lineRule="auto"/>
              <w:jc w:val="center"/>
              <w:rPr>
                <w:i/>
                <w:iCs/>
                <w:snapToGrid w:val="0"/>
                <w:sz w:val="24"/>
                <w:u w:val="single"/>
              </w:rPr>
            </w:pPr>
            <w:r>
              <w:rPr>
                <w:i/>
                <w:iCs/>
                <w:snapToGrid w:val="0"/>
                <w:sz w:val="24"/>
                <w:u w:val="single"/>
              </w:rPr>
              <w:t>生态保护措施</w:t>
            </w:r>
          </w:p>
        </w:tc>
        <w:tc>
          <w:tcPr>
            <w:tcW w:w="7721" w:type="dxa"/>
            <w:gridSpan w:val="5"/>
            <w:vAlign w:val="center"/>
          </w:tcPr>
          <w:p>
            <w:pPr>
              <w:spacing w:line="360" w:lineRule="auto"/>
              <w:jc w:val="center"/>
              <w:rPr>
                <w:i/>
                <w:iCs/>
                <w:snapToGrid w:val="0"/>
                <w:sz w:val="24"/>
                <w:u w:val="single"/>
              </w:rPr>
            </w:pPr>
            <w:r>
              <w:rPr>
                <w:i/>
                <w:iCs/>
                <w:snapToGrid w:val="0"/>
                <w:sz w:val="24"/>
                <w:u w:val="single"/>
              </w:rPr>
              <w:t>——</w:t>
            </w:r>
          </w:p>
        </w:tc>
      </w:tr>
      <w:tr>
        <w:trPr>
          <w:trHeight w:val="23" w:hRule="atLeast"/>
          <w:jc w:val="center"/>
        </w:trPr>
        <w:tc>
          <w:tcPr>
            <w:tcW w:w="1423" w:type="dxa"/>
            <w:vAlign w:val="center"/>
          </w:tcPr>
          <w:p>
            <w:pPr>
              <w:spacing w:line="360" w:lineRule="auto"/>
              <w:jc w:val="center"/>
              <w:rPr>
                <w:i/>
                <w:iCs/>
                <w:snapToGrid w:val="0"/>
                <w:sz w:val="24"/>
                <w:u w:val="single"/>
              </w:rPr>
            </w:pPr>
            <w:r>
              <w:rPr>
                <w:i/>
                <w:iCs/>
                <w:snapToGrid w:val="0"/>
                <w:sz w:val="24"/>
                <w:u w:val="single"/>
              </w:rPr>
              <w:t>环境风险</w:t>
            </w:r>
          </w:p>
          <w:p>
            <w:pPr>
              <w:spacing w:line="360" w:lineRule="auto"/>
              <w:jc w:val="center"/>
              <w:rPr>
                <w:i/>
                <w:iCs/>
                <w:snapToGrid w:val="0"/>
                <w:sz w:val="24"/>
                <w:u w:val="single"/>
              </w:rPr>
            </w:pPr>
            <w:r>
              <w:rPr>
                <w:i/>
                <w:iCs/>
                <w:snapToGrid w:val="0"/>
                <w:sz w:val="24"/>
                <w:u w:val="single"/>
              </w:rPr>
              <w:t>防范措施</w:t>
            </w:r>
          </w:p>
        </w:tc>
        <w:tc>
          <w:tcPr>
            <w:tcW w:w="7721" w:type="dxa"/>
            <w:gridSpan w:val="5"/>
            <w:vAlign w:val="center"/>
          </w:tcPr>
          <w:p>
            <w:pPr>
              <w:pStyle w:val="58"/>
              <w:numPr>
                <w:ilvl w:val="0"/>
                <w:numId w:val="7"/>
              </w:numPr>
              <w:spacing w:line="360" w:lineRule="auto"/>
              <w:ind w:firstLineChars="0"/>
              <w:rPr>
                <w:i/>
                <w:iCs/>
                <w:snapToGrid w:val="0"/>
                <w:sz w:val="24"/>
                <w:u w:val="single"/>
              </w:rPr>
            </w:pPr>
            <w:r>
              <w:rPr>
                <w:rFonts w:hint="eastAsia"/>
                <w:i/>
                <w:iCs/>
                <w:snapToGrid w:val="0"/>
                <w:sz w:val="24"/>
                <w:u w:val="single"/>
              </w:rPr>
              <w:t>危险废物贮存库四周设置围堰； ②危险废物贮存库和污水管线等均按照规范要求进行防渗处理。  ③在非正常工况下，首先要及时查找故障并进行维修；加强废气治理系统等环保设备的日常维修保养和管理。 ④对危险物品的装卸、转移应由专业人员或经过严格培训的员工来操作，建立一套完整的作业操作技术规范，严格遵守操作规定。 ⑤制定应急预案，加强应急演练。⑥危险废物的环境风险防范措施。加强管理工作，设专人负责危险废物的安全贮存、 厂区内输运以及使用。危废暂存间地面防渗，防止危废渗漏对地下水的影响。</w:t>
            </w:r>
          </w:p>
        </w:tc>
      </w:tr>
      <w:tr>
        <w:trPr>
          <w:trHeight w:val="23" w:hRule="atLeast"/>
          <w:jc w:val="center"/>
        </w:trPr>
        <w:tc>
          <w:tcPr>
            <w:tcW w:w="1423" w:type="dxa"/>
            <w:vAlign w:val="center"/>
          </w:tcPr>
          <w:p>
            <w:pPr>
              <w:spacing w:line="360" w:lineRule="auto"/>
              <w:jc w:val="center"/>
              <w:rPr>
                <w:i/>
                <w:iCs/>
                <w:spacing w:val="-8"/>
                <w:sz w:val="24"/>
                <w:u w:val="single"/>
              </w:rPr>
            </w:pPr>
            <w:r>
              <w:rPr>
                <w:i/>
                <w:iCs/>
                <w:spacing w:val="-8"/>
                <w:sz w:val="24"/>
                <w:u w:val="single"/>
              </w:rPr>
              <w:t>其他环境</w:t>
            </w:r>
          </w:p>
          <w:p>
            <w:pPr>
              <w:spacing w:line="360" w:lineRule="auto"/>
              <w:jc w:val="center"/>
              <w:rPr>
                <w:i/>
                <w:iCs/>
                <w:spacing w:val="-8"/>
                <w:sz w:val="24"/>
                <w:u w:val="single"/>
              </w:rPr>
            </w:pPr>
            <w:r>
              <w:rPr>
                <w:i/>
                <w:iCs/>
                <w:spacing w:val="-8"/>
                <w:sz w:val="24"/>
                <w:u w:val="single"/>
              </w:rPr>
              <w:t>管理要求</w:t>
            </w:r>
          </w:p>
        </w:tc>
        <w:tc>
          <w:tcPr>
            <w:tcW w:w="7721" w:type="dxa"/>
            <w:gridSpan w:val="5"/>
            <w:vAlign w:val="center"/>
          </w:tcPr>
          <w:p>
            <w:pPr>
              <w:numPr>
                <w:ilvl w:val="0"/>
                <w:numId w:val="8"/>
              </w:numPr>
              <w:spacing w:line="360" w:lineRule="auto"/>
              <w:ind w:firstLine="482" w:firstLineChars="200"/>
              <w:rPr>
                <w:i/>
                <w:iCs/>
                <w:sz w:val="24"/>
                <w:u w:val="single"/>
              </w:rPr>
            </w:pPr>
            <w:r>
              <w:rPr>
                <w:rFonts w:hint="eastAsia"/>
                <w:b/>
                <w:bCs/>
                <w:i/>
                <w:iCs/>
                <w:sz w:val="24"/>
                <w:u w:val="single"/>
              </w:rPr>
              <w:t>环境管理计划</w:t>
            </w:r>
          </w:p>
          <w:p>
            <w:pPr>
              <w:spacing w:line="360" w:lineRule="auto"/>
              <w:ind w:firstLine="482" w:firstLineChars="200"/>
              <w:rPr>
                <w:b/>
                <w:bCs/>
                <w:i/>
                <w:iCs/>
                <w:sz w:val="24"/>
                <w:u w:val="single"/>
              </w:rPr>
            </w:pPr>
            <w:r>
              <w:rPr>
                <w:rFonts w:hint="eastAsia"/>
                <w:b/>
                <w:bCs/>
                <w:i/>
                <w:iCs/>
                <w:sz w:val="24"/>
                <w:u w:val="single"/>
              </w:rPr>
              <w:t>（</w:t>
            </w:r>
            <w:r>
              <w:rPr>
                <w:b/>
                <w:bCs/>
                <w:i/>
                <w:iCs/>
                <w:sz w:val="24"/>
                <w:u w:val="single"/>
              </w:rPr>
              <w:t>1</w:t>
            </w:r>
            <w:r>
              <w:rPr>
                <w:rFonts w:hint="eastAsia"/>
                <w:b/>
                <w:bCs/>
                <w:i/>
                <w:iCs/>
                <w:sz w:val="24"/>
                <w:u w:val="single"/>
              </w:rPr>
              <w:t>）</w:t>
            </w:r>
            <w:r>
              <w:rPr>
                <w:b/>
                <w:bCs/>
                <w:i/>
                <w:iCs/>
                <w:sz w:val="24"/>
                <w:u w:val="single"/>
              </w:rPr>
              <w:t>环境保护管理计划目标</w:t>
            </w:r>
          </w:p>
          <w:p>
            <w:pPr>
              <w:spacing w:line="360" w:lineRule="auto"/>
              <w:ind w:firstLine="480" w:firstLineChars="200"/>
              <w:rPr>
                <w:i/>
                <w:iCs/>
                <w:sz w:val="24"/>
                <w:u w:val="single"/>
              </w:rPr>
            </w:pPr>
            <w:r>
              <w:rPr>
                <w:i/>
                <w:iCs/>
                <w:sz w:val="24"/>
                <w:u w:val="single"/>
              </w:rPr>
              <w:t>通过实施环境管理计划，将建设项目的建设和</w:t>
            </w:r>
            <w:r>
              <w:rPr>
                <w:rFonts w:hint="eastAsia"/>
                <w:i/>
                <w:iCs/>
                <w:sz w:val="24"/>
                <w:u w:val="single"/>
              </w:rPr>
              <w:t>运营</w:t>
            </w:r>
            <w:r>
              <w:rPr>
                <w:i/>
                <w:iCs/>
                <w:sz w:val="24"/>
                <w:u w:val="single"/>
              </w:rPr>
              <w:t>对生态环境、地表水环境、环境噪声以及环境空气质量的负面影响减缓到相应法规和标准限值要求之内，使工程建设的经济效益和环境效益得以协调、持续和稳定发展。</w:t>
            </w:r>
          </w:p>
          <w:p>
            <w:pPr>
              <w:spacing w:line="360" w:lineRule="auto"/>
              <w:ind w:firstLine="482" w:firstLineChars="200"/>
              <w:rPr>
                <w:b/>
                <w:bCs/>
                <w:i/>
                <w:iCs/>
                <w:sz w:val="24"/>
                <w:u w:val="single"/>
              </w:rPr>
            </w:pPr>
            <w:r>
              <w:rPr>
                <w:rFonts w:hint="eastAsia"/>
                <w:b/>
                <w:bCs/>
                <w:i/>
                <w:iCs/>
                <w:sz w:val="24"/>
                <w:u w:val="single"/>
              </w:rPr>
              <w:t>（</w:t>
            </w:r>
            <w:r>
              <w:rPr>
                <w:b/>
                <w:bCs/>
                <w:i/>
                <w:iCs/>
                <w:sz w:val="24"/>
                <w:u w:val="single"/>
              </w:rPr>
              <w:t>2</w:t>
            </w:r>
            <w:r>
              <w:rPr>
                <w:rFonts w:hint="eastAsia"/>
                <w:b/>
                <w:bCs/>
                <w:i/>
                <w:iCs/>
                <w:sz w:val="24"/>
                <w:u w:val="single"/>
              </w:rPr>
              <w:t>）</w:t>
            </w:r>
            <w:r>
              <w:rPr>
                <w:b/>
                <w:bCs/>
                <w:i/>
                <w:iCs/>
                <w:sz w:val="24"/>
                <w:u w:val="single"/>
              </w:rPr>
              <w:t>环境管理机构</w:t>
            </w:r>
          </w:p>
          <w:p>
            <w:pPr>
              <w:spacing w:line="360" w:lineRule="auto"/>
              <w:ind w:firstLine="480" w:firstLineChars="200"/>
              <w:rPr>
                <w:i/>
                <w:iCs/>
                <w:sz w:val="24"/>
                <w:u w:val="single"/>
              </w:rPr>
            </w:pPr>
            <w:r>
              <w:rPr>
                <w:i/>
                <w:iCs/>
                <w:sz w:val="24"/>
                <w:u w:val="single"/>
              </w:rPr>
              <w:t>根据项目环境保护工作的实际需要，企业设置环保管理部门，设环保主管1人，专职环保人员1人。环保部门由分管环保的经理主管，负责全厂的环境管理工作。</w:t>
            </w:r>
          </w:p>
          <w:p>
            <w:pPr>
              <w:spacing w:line="360" w:lineRule="auto"/>
              <w:ind w:firstLine="482" w:firstLineChars="200"/>
              <w:rPr>
                <w:b/>
                <w:bCs/>
                <w:i/>
                <w:iCs/>
                <w:sz w:val="24"/>
                <w:u w:val="single"/>
              </w:rPr>
            </w:pPr>
            <w:r>
              <w:rPr>
                <w:rFonts w:hint="eastAsia"/>
                <w:b/>
                <w:bCs/>
                <w:i/>
                <w:iCs/>
                <w:sz w:val="24"/>
                <w:u w:val="single"/>
              </w:rPr>
              <w:t>（</w:t>
            </w:r>
            <w:r>
              <w:rPr>
                <w:b/>
                <w:bCs/>
                <w:i/>
                <w:iCs/>
                <w:sz w:val="24"/>
                <w:u w:val="single"/>
              </w:rPr>
              <w:t>3</w:t>
            </w:r>
            <w:r>
              <w:rPr>
                <w:rFonts w:hint="eastAsia"/>
                <w:b/>
                <w:bCs/>
                <w:i/>
                <w:iCs/>
                <w:sz w:val="24"/>
                <w:u w:val="single"/>
              </w:rPr>
              <w:t>）</w:t>
            </w:r>
            <w:r>
              <w:rPr>
                <w:b/>
                <w:bCs/>
                <w:i/>
                <w:iCs/>
                <w:sz w:val="24"/>
                <w:u w:val="single"/>
              </w:rPr>
              <w:t>环保机构的职责</w:t>
            </w:r>
          </w:p>
          <w:p>
            <w:pPr>
              <w:spacing w:line="360" w:lineRule="auto"/>
              <w:ind w:firstLine="480" w:firstLineChars="200"/>
              <w:rPr>
                <w:i/>
                <w:iCs/>
                <w:sz w:val="24"/>
                <w:u w:val="single"/>
              </w:rPr>
            </w:pPr>
            <w:r>
              <w:rPr>
                <w:i/>
                <w:iCs/>
                <w:sz w:val="24"/>
                <w:u w:val="single"/>
              </w:rPr>
              <w:t>1）负责组织本</w:t>
            </w:r>
            <w:r>
              <w:rPr>
                <w:rFonts w:hint="eastAsia"/>
                <w:i/>
                <w:iCs/>
                <w:sz w:val="24"/>
                <w:u w:val="single"/>
              </w:rPr>
              <w:t>企业</w:t>
            </w:r>
            <w:r>
              <w:rPr>
                <w:i/>
                <w:iCs/>
                <w:sz w:val="24"/>
                <w:u w:val="single"/>
              </w:rPr>
              <w:t>贯彻执行国家及地方环保法规和环境标准的工作；</w:t>
            </w:r>
          </w:p>
          <w:p>
            <w:pPr>
              <w:spacing w:line="360" w:lineRule="auto"/>
              <w:ind w:firstLine="480" w:firstLineChars="200"/>
              <w:rPr>
                <w:i/>
                <w:iCs/>
                <w:sz w:val="24"/>
                <w:u w:val="single"/>
              </w:rPr>
            </w:pPr>
            <w:r>
              <w:rPr>
                <w:i/>
                <w:iCs/>
                <w:sz w:val="24"/>
                <w:u w:val="single"/>
              </w:rPr>
              <w:t>2）负责制定并组织实施本</w:t>
            </w:r>
            <w:r>
              <w:rPr>
                <w:rFonts w:hint="eastAsia"/>
                <w:i/>
                <w:iCs/>
                <w:sz w:val="24"/>
                <w:u w:val="single"/>
              </w:rPr>
              <w:t>企业</w:t>
            </w:r>
            <w:r>
              <w:rPr>
                <w:i/>
                <w:iCs/>
                <w:sz w:val="24"/>
                <w:u w:val="single"/>
              </w:rPr>
              <w:t>的环境保护管理制度及环境保护目标、规划和年度计划；</w:t>
            </w:r>
          </w:p>
          <w:p>
            <w:pPr>
              <w:spacing w:line="360" w:lineRule="auto"/>
              <w:ind w:firstLine="480" w:firstLineChars="200"/>
              <w:rPr>
                <w:i/>
                <w:iCs/>
                <w:sz w:val="24"/>
                <w:u w:val="single"/>
              </w:rPr>
            </w:pPr>
            <w:r>
              <w:rPr>
                <w:i/>
                <w:iCs/>
                <w:sz w:val="24"/>
                <w:u w:val="single"/>
              </w:rPr>
              <w:t>3）负责对本</w:t>
            </w:r>
            <w:r>
              <w:rPr>
                <w:rFonts w:hint="eastAsia"/>
                <w:i/>
                <w:iCs/>
                <w:sz w:val="24"/>
                <w:u w:val="single"/>
              </w:rPr>
              <w:t>企业</w:t>
            </w:r>
            <w:r>
              <w:rPr>
                <w:i/>
                <w:iCs/>
                <w:sz w:val="24"/>
                <w:u w:val="single"/>
              </w:rPr>
              <w:t>员工进行环境问题、环保知识的宣传教育，并负责各种适用的环保新技术的推广应用工作；</w:t>
            </w:r>
          </w:p>
          <w:p>
            <w:pPr>
              <w:spacing w:line="360" w:lineRule="auto"/>
              <w:ind w:firstLine="480" w:firstLineChars="200"/>
              <w:rPr>
                <w:i/>
                <w:iCs/>
                <w:sz w:val="24"/>
                <w:u w:val="single"/>
              </w:rPr>
            </w:pPr>
            <w:r>
              <w:rPr>
                <w:i/>
                <w:iCs/>
                <w:sz w:val="24"/>
                <w:u w:val="single"/>
              </w:rPr>
              <w:t>4）根据</w:t>
            </w:r>
            <w:r>
              <w:rPr>
                <w:rFonts w:hint="eastAsia"/>
                <w:i/>
                <w:iCs/>
                <w:sz w:val="24"/>
                <w:u w:val="single"/>
              </w:rPr>
              <w:t>企业</w:t>
            </w:r>
            <w:r>
              <w:rPr>
                <w:i/>
                <w:iCs/>
                <w:sz w:val="24"/>
                <w:u w:val="single"/>
              </w:rPr>
              <w:t>内各生产工艺、排污特点及本</w:t>
            </w:r>
            <w:r>
              <w:rPr>
                <w:rFonts w:hint="eastAsia"/>
                <w:i/>
                <w:iCs/>
                <w:sz w:val="24"/>
                <w:u w:val="single"/>
              </w:rPr>
              <w:t>企业</w:t>
            </w:r>
            <w:r>
              <w:rPr>
                <w:i/>
                <w:iCs/>
                <w:sz w:val="24"/>
                <w:u w:val="single"/>
              </w:rPr>
              <w:t>污染物排放总量，制定各车间、各排污工段的污染物排放指标，并组织执行；</w:t>
            </w:r>
          </w:p>
          <w:p>
            <w:pPr>
              <w:spacing w:line="360" w:lineRule="auto"/>
              <w:ind w:firstLine="480" w:firstLineChars="200"/>
              <w:rPr>
                <w:i/>
                <w:iCs/>
                <w:sz w:val="24"/>
                <w:u w:val="single"/>
              </w:rPr>
            </w:pPr>
            <w:r>
              <w:rPr>
                <w:i/>
                <w:iCs/>
                <w:sz w:val="24"/>
                <w:u w:val="single"/>
              </w:rPr>
              <w:t>5）按照清洁生产的原则，制定并组织实施</w:t>
            </w:r>
            <w:r>
              <w:rPr>
                <w:rFonts w:hint="eastAsia"/>
                <w:i/>
                <w:iCs/>
                <w:sz w:val="24"/>
                <w:u w:val="single"/>
              </w:rPr>
              <w:t>企业</w:t>
            </w:r>
            <w:r>
              <w:rPr>
                <w:i/>
                <w:iCs/>
                <w:sz w:val="24"/>
                <w:u w:val="single"/>
              </w:rPr>
              <w:t>内部清洁生产管理办法，达到减少原材料的消耗，节约资源，将污染物产生量控制在</w:t>
            </w:r>
            <w:r>
              <w:rPr>
                <w:rFonts w:hint="eastAsia"/>
                <w:i/>
                <w:iCs/>
                <w:sz w:val="24"/>
                <w:u w:val="single"/>
              </w:rPr>
              <w:t>最低</w:t>
            </w:r>
            <w:r>
              <w:rPr>
                <w:i/>
                <w:iCs/>
                <w:sz w:val="24"/>
                <w:u w:val="single"/>
              </w:rPr>
              <w:t>程度的目的；</w:t>
            </w:r>
          </w:p>
          <w:p>
            <w:pPr>
              <w:spacing w:line="360" w:lineRule="auto"/>
              <w:ind w:firstLine="480" w:firstLineChars="200"/>
              <w:rPr>
                <w:i/>
                <w:iCs/>
                <w:sz w:val="24"/>
                <w:u w:val="single"/>
              </w:rPr>
            </w:pPr>
            <w:r>
              <w:rPr>
                <w:i/>
                <w:iCs/>
                <w:sz w:val="24"/>
                <w:u w:val="single"/>
              </w:rPr>
              <w:t>6）负责建立全</w:t>
            </w:r>
            <w:r>
              <w:rPr>
                <w:rFonts w:hint="eastAsia"/>
                <w:i/>
                <w:iCs/>
                <w:sz w:val="24"/>
                <w:u w:val="single"/>
              </w:rPr>
              <w:t>企业</w:t>
            </w:r>
            <w:r>
              <w:rPr>
                <w:i/>
                <w:iCs/>
                <w:sz w:val="24"/>
                <w:u w:val="single"/>
              </w:rPr>
              <w:t>的污染源档案，做好环保统计工作；</w:t>
            </w:r>
          </w:p>
          <w:p>
            <w:pPr>
              <w:spacing w:line="360" w:lineRule="auto"/>
              <w:ind w:firstLine="480" w:firstLineChars="200"/>
              <w:rPr>
                <w:i/>
                <w:iCs/>
                <w:sz w:val="24"/>
                <w:u w:val="single"/>
              </w:rPr>
            </w:pPr>
            <w:r>
              <w:rPr>
                <w:i/>
                <w:iCs/>
                <w:sz w:val="24"/>
                <w:u w:val="single"/>
              </w:rPr>
              <w:t>7）制定监测站的管理、监测制度及本</w:t>
            </w:r>
            <w:r>
              <w:rPr>
                <w:rFonts w:hint="eastAsia"/>
                <w:i/>
                <w:iCs/>
                <w:sz w:val="24"/>
                <w:u w:val="single"/>
              </w:rPr>
              <w:t>企业</w:t>
            </w:r>
            <w:r>
              <w:rPr>
                <w:i/>
                <w:iCs/>
                <w:sz w:val="24"/>
                <w:u w:val="single"/>
              </w:rPr>
              <w:t>的环境监测计划，监督、检查监测任务的完成情况；</w:t>
            </w:r>
          </w:p>
          <w:p>
            <w:pPr>
              <w:spacing w:line="360" w:lineRule="auto"/>
              <w:ind w:firstLine="480" w:firstLineChars="200"/>
              <w:rPr>
                <w:i/>
                <w:iCs/>
                <w:sz w:val="24"/>
                <w:u w:val="single"/>
              </w:rPr>
            </w:pPr>
            <w:r>
              <w:rPr>
                <w:i/>
                <w:iCs/>
                <w:sz w:val="24"/>
                <w:u w:val="single"/>
              </w:rPr>
              <w:t>8）负责与地方环保主管部门的业务联系，及时向地方环保主管部门汇报环保设施运行情况及污染物排放情况。</w:t>
            </w:r>
          </w:p>
          <w:p>
            <w:pPr>
              <w:widowControl/>
              <w:spacing w:line="360" w:lineRule="auto"/>
              <w:ind w:firstLine="482" w:firstLineChars="200"/>
              <w:rPr>
                <w:i/>
                <w:iCs/>
                <w:u w:val="single"/>
              </w:rPr>
            </w:pPr>
            <w:r>
              <w:rPr>
                <w:b/>
                <w:bCs/>
                <w:i/>
                <w:iCs/>
                <w:color w:val="000000"/>
                <w:kern w:val="0"/>
                <w:sz w:val="24"/>
                <w:u w:val="single"/>
              </w:rPr>
              <w:t>2</w:t>
            </w:r>
            <w:r>
              <w:rPr>
                <w:rFonts w:hint="eastAsia" w:ascii="宋体" w:hAnsi="宋体" w:cs="宋体"/>
                <w:b/>
                <w:bCs/>
                <w:i/>
                <w:iCs/>
                <w:color w:val="000000"/>
                <w:kern w:val="0"/>
                <w:sz w:val="24"/>
                <w:u w:val="single"/>
              </w:rPr>
              <w:t xml:space="preserve">、环境管理主要内容 </w:t>
            </w:r>
          </w:p>
          <w:p>
            <w:pPr>
              <w:widowControl/>
              <w:spacing w:line="360" w:lineRule="auto"/>
              <w:ind w:firstLine="480" w:firstLineChars="200"/>
              <w:rPr>
                <w:i/>
                <w:iCs/>
                <w:u w:val="single"/>
              </w:rPr>
            </w:pPr>
            <w:r>
              <w:rPr>
                <w:rFonts w:hint="eastAsia" w:ascii="宋体" w:hAnsi="宋体" w:cs="宋体"/>
                <w:i/>
                <w:iCs/>
                <w:color w:val="000000"/>
                <w:kern w:val="0"/>
                <w:sz w:val="24"/>
                <w:u w:val="single"/>
              </w:rPr>
              <w:t xml:space="preserve">为保证各项环境保护措施有效运行，应制订全面系统的环境管理方 </w:t>
            </w:r>
          </w:p>
          <w:p>
            <w:pPr>
              <w:widowControl/>
              <w:spacing w:line="360" w:lineRule="auto"/>
              <w:rPr>
                <w:i/>
                <w:iCs/>
                <w:u w:val="single"/>
              </w:rPr>
            </w:pPr>
            <w:r>
              <w:rPr>
                <w:rFonts w:hint="eastAsia" w:ascii="宋体" w:hAnsi="宋体" w:cs="宋体"/>
                <w:i/>
                <w:iCs/>
                <w:color w:val="000000"/>
                <w:kern w:val="0"/>
                <w:sz w:val="24"/>
                <w:u w:val="single"/>
              </w:rPr>
              <w:t xml:space="preserve">案，方案主要包括下列内容： </w:t>
            </w:r>
          </w:p>
          <w:p>
            <w:pPr>
              <w:widowControl/>
              <w:spacing w:line="360" w:lineRule="auto"/>
              <w:ind w:firstLine="480" w:firstLineChars="200"/>
              <w:rPr>
                <w:i/>
                <w:iCs/>
                <w:u w:val="single"/>
              </w:rPr>
            </w:pPr>
            <w:r>
              <w:rPr>
                <w:rFonts w:hint="eastAsia" w:ascii="宋体" w:hAnsi="宋体" w:cs="宋体"/>
                <w:i/>
                <w:iCs/>
                <w:color w:val="000000"/>
                <w:kern w:val="0"/>
                <w:sz w:val="24"/>
                <w:u w:val="single"/>
              </w:rPr>
              <w:t>（</w:t>
            </w:r>
            <w:r>
              <w:rPr>
                <w:i/>
                <w:iCs/>
                <w:color w:val="000000"/>
                <w:kern w:val="0"/>
                <w:sz w:val="24"/>
                <w:u w:val="single"/>
              </w:rPr>
              <w:t>1</w:t>
            </w:r>
            <w:r>
              <w:rPr>
                <w:rFonts w:hint="eastAsia" w:ascii="宋体" w:hAnsi="宋体" w:cs="宋体"/>
                <w:i/>
                <w:iCs/>
                <w:color w:val="000000"/>
                <w:kern w:val="0"/>
                <w:sz w:val="24"/>
                <w:u w:val="single"/>
              </w:rPr>
              <w:t xml:space="preserve">）危险废物贮存前应进行检验，确保同预定接收的危险废物一致，并登记注册。 </w:t>
            </w:r>
          </w:p>
          <w:p>
            <w:pPr>
              <w:widowControl/>
              <w:spacing w:line="360" w:lineRule="auto"/>
              <w:ind w:firstLine="480" w:firstLineChars="200"/>
              <w:rPr>
                <w:i/>
                <w:iCs/>
                <w:u w:val="single"/>
              </w:rPr>
            </w:pPr>
            <w:r>
              <w:rPr>
                <w:rFonts w:hint="eastAsia" w:ascii="宋体" w:hAnsi="宋体" w:cs="宋体"/>
                <w:i/>
                <w:iCs/>
                <w:color w:val="000000"/>
                <w:kern w:val="0"/>
                <w:sz w:val="24"/>
                <w:u w:val="single"/>
              </w:rPr>
              <w:t>（</w:t>
            </w:r>
            <w:r>
              <w:rPr>
                <w:i/>
                <w:iCs/>
                <w:color w:val="000000"/>
                <w:kern w:val="0"/>
                <w:sz w:val="24"/>
                <w:u w:val="single"/>
              </w:rPr>
              <w:t>2</w:t>
            </w:r>
            <w:r>
              <w:rPr>
                <w:rFonts w:hint="eastAsia" w:ascii="宋体" w:hAnsi="宋体" w:cs="宋体"/>
                <w:i/>
                <w:iCs/>
                <w:color w:val="000000"/>
                <w:kern w:val="0"/>
                <w:sz w:val="24"/>
                <w:u w:val="single"/>
              </w:rPr>
              <w:t xml:space="preserve">）盛装在容器内的同类危险废物可以堆叠存放。 </w:t>
            </w:r>
          </w:p>
          <w:p>
            <w:pPr>
              <w:widowControl/>
              <w:spacing w:line="360" w:lineRule="auto"/>
              <w:ind w:firstLine="480" w:firstLineChars="200"/>
              <w:rPr>
                <w:i/>
                <w:iCs/>
                <w:u w:val="single"/>
              </w:rPr>
            </w:pPr>
            <w:r>
              <w:rPr>
                <w:rFonts w:hint="eastAsia" w:ascii="宋体" w:hAnsi="宋体" w:cs="宋体"/>
                <w:i/>
                <w:iCs/>
                <w:color w:val="000000"/>
                <w:kern w:val="0"/>
                <w:sz w:val="24"/>
                <w:u w:val="single"/>
              </w:rPr>
              <w:t>（</w:t>
            </w:r>
            <w:r>
              <w:rPr>
                <w:i/>
                <w:iCs/>
                <w:color w:val="000000"/>
                <w:kern w:val="0"/>
                <w:sz w:val="24"/>
                <w:u w:val="single"/>
              </w:rPr>
              <w:t>3</w:t>
            </w:r>
            <w:r>
              <w:rPr>
                <w:rFonts w:hint="eastAsia" w:ascii="宋体" w:hAnsi="宋体" w:cs="宋体"/>
                <w:i/>
                <w:iCs/>
                <w:color w:val="000000"/>
                <w:kern w:val="0"/>
                <w:sz w:val="24"/>
                <w:u w:val="single"/>
              </w:rPr>
              <w:t xml:space="preserve">）每个堆间应留有搬运通道。 </w:t>
            </w:r>
          </w:p>
          <w:p>
            <w:pPr>
              <w:widowControl/>
              <w:spacing w:line="360" w:lineRule="auto"/>
              <w:ind w:firstLine="480" w:firstLineChars="200"/>
              <w:rPr>
                <w:i/>
                <w:iCs/>
                <w:u w:val="single"/>
              </w:rPr>
            </w:pPr>
            <w:r>
              <w:rPr>
                <w:rFonts w:hint="eastAsia" w:ascii="宋体" w:hAnsi="宋体" w:cs="宋体"/>
                <w:i/>
                <w:iCs/>
                <w:color w:val="000000"/>
                <w:kern w:val="0"/>
                <w:sz w:val="24"/>
                <w:u w:val="single"/>
              </w:rPr>
              <w:t>（</w:t>
            </w:r>
            <w:r>
              <w:rPr>
                <w:i/>
                <w:iCs/>
                <w:color w:val="000000"/>
                <w:kern w:val="0"/>
                <w:sz w:val="24"/>
                <w:u w:val="single"/>
              </w:rPr>
              <w:t>4</w:t>
            </w:r>
            <w:r>
              <w:rPr>
                <w:rFonts w:hint="eastAsia" w:ascii="宋体" w:hAnsi="宋体" w:cs="宋体"/>
                <w:i/>
                <w:iCs/>
                <w:color w:val="000000"/>
                <w:kern w:val="0"/>
                <w:sz w:val="24"/>
                <w:u w:val="single"/>
              </w:rPr>
              <w:t xml:space="preserve">）不得将不相容的废物混合或合并存放。 </w:t>
            </w:r>
          </w:p>
          <w:p>
            <w:pPr>
              <w:widowControl/>
              <w:spacing w:line="360" w:lineRule="auto"/>
              <w:ind w:firstLine="480" w:firstLineChars="200"/>
              <w:rPr>
                <w:i/>
                <w:iCs/>
                <w:u w:val="single"/>
              </w:rPr>
            </w:pPr>
            <w:r>
              <w:rPr>
                <w:rFonts w:hint="eastAsia" w:ascii="宋体" w:hAnsi="宋体" w:cs="宋体"/>
                <w:i/>
                <w:iCs/>
                <w:color w:val="000000"/>
                <w:kern w:val="0"/>
                <w:sz w:val="24"/>
                <w:u w:val="single"/>
              </w:rPr>
              <w:t>（</w:t>
            </w:r>
            <w:r>
              <w:rPr>
                <w:i/>
                <w:iCs/>
                <w:color w:val="000000"/>
                <w:kern w:val="0"/>
                <w:sz w:val="24"/>
                <w:u w:val="single"/>
              </w:rPr>
              <w:t>5</w:t>
            </w:r>
            <w:r>
              <w:rPr>
                <w:rFonts w:hint="eastAsia" w:ascii="宋体" w:hAnsi="宋体" w:cs="宋体"/>
                <w:i/>
                <w:iCs/>
                <w:color w:val="000000"/>
                <w:kern w:val="0"/>
                <w:sz w:val="24"/>
                <w:u w:val="single"/>
              </w:rPr>
              <w:t xml:space="preserve">）危险废物产生和贮存设施均须做好危险废物情况的记录，记录上须注明危险废物的名称、来源、数量、特性和包装容器的类别、入库日期、存放库位、废物出库日期及接收单位名称。 </w:t>
            </w:r>
          </w:p>
          <w:p>
            <w:pPr>
              <w:widowControl/>
              <w:spacing w:line="360" w:lineRule="auto"/>
              <w:ind w:firstLine="480" w:firstLineChars="200"/>
              <w:rPr>
                <w:i/>
                <w:iCs/>
                <w:u w:val="single"/>
              </w:rPr>
            </w:pPr>
            <w:r>
              <w:rPr>
                <w:rFonts w:hint="eastAsia" w:ascii="宋体" w:hAnsi="宋体" w:cs="宋体"/>
                <w:i/>
                <w:iCs/>
                <w:color w:val="000000"/>
                <w:kern w:val="0"/>
                <w:sz w:val="24"/>
                <w:u w:val="single"/>
              </w:rPr>
              <w:t>（</w:t>
            </w:r>
            <w:r>
              <w:rPr>
                <w:i/>
                <w:iCs/>
                <w:color w:val="000000"/>
                <w:kern w:val="0"/>
                <w:sz w:val="24"/>
                <w:u w:val="single"/>
              </w:rPr>
              <w:t>6</w:t>
            </w:r>
            <w:r>
              <w:rPr>
                <w:rFonts w:hint="eastAsia" w:ascii="宋体" w:hAnsi="宋体" w:cs="宋体"/>
                <w:i/>
                <w:iCs/>
                <w:color w:val="000000"/>
                <w:kern w:val="0"/>
                <w:sz w:val="24"/>
                <w:u w:val="single"/>
              </w:rPr>
              <w:t xml:space="preserve">）危险废物的记录和货单在危险废物回取后应继续保留三年。 </w:t>
            </w:r>
          </w:p>
          <w:p>
            <w:pPr>
              <w:widowControl/>
              <w:spacing w:line="360" w:lineRule="auto"/>
              <w:ind w:firstLine="480" w:firstLineChars="200"/>
              <w:rPr>
                <w:i/>
                <w:iCs/>
                <w:u w:val="single"/>
              </w:rPr>
            </w:pPr>
            <w:r>
              <w:rPr>
                <w:rFonts w:hint="eastAsia" w:ascii="宋体" w:hAnsi="宋体" w:cs="宋体"/>
                <w:i/>
                <w:iCs/>
                <w:color w:val="000000"/>
                <w:kern w:val="0"/>
                <w:sz w:val="24"/>
                <w:u w:val="single"/>
              </w:rPr>
              <w:t>（</w:t>
            </w:r>
            <w:r>
              <w:rPr>
                <w:i/>
                <w:iCs/>
                <w:color w:val="000000"/>
                <w:kern w:val="0"/>
                <w:sz w:val="24"/>
                <w:u w:val="single"/>
              </w:rPr>
              <w:t>7</w:t>
            </w:r>
            <w:r>
              <w:rPr>
                <w:rFonts w:hint="eastAsia" w:ascii="宋体" w:hAnsi="宋体" w:cs="宋体"/>
                <w:i/>
                <w:iCs/>
                <w:color w:val="000000"/>
                <w:kern w:val="0"/>
                <w:sz w:val="24"/>
                <w:u w:val="single"/>
              </w:rPr>
              <w:t xml:space="preserve">）必须定期对所贮存的危险废物包装容器及贮存设施进行检查， </w:t>
            </w:r>
          </w:p>
          <w:p>
            <w:pPr>
              <w:widowControl/>
              <w:spacing w:line="360" w:lineRule="auto"/>
              <w:rPr>
                <w:i/>
                <w:iCs/>
                <w:u w:val="single"/>
              </w:rPr>
            </w:pPr>
            <w:r>
              <w:rPr>
                <w:rFonts w:hint="eastAsia" w:ascii="宋体" w:hAnsi="宋体" w:cs="宋体"/>
                <w:i/>
                <w:iCs/>
                <w:color w:val="000000"/>
                <w:kern w:val="0"/>
                <w:sz w:val="24"/>
                <w:u w:val="single"/>
              </w:rPr>
              <w:t>发现破损，应及时采取措施清理更换。</w:t>
            </w:r>
          </w:p>
          <w:p>
            <w:pPr>
              <w:spacing w:line="360" w:lineRule="auto"/>
              <w:ind w:firstLine="482" w:firstLineChars="200"/>
              <w:rPr>
                <w:b/>
                <w:bCs/>
                <w:i/>
                <w:iCs/>
                <w:sz w:val="24"/>
                <w:u w:val="single"/>
              </w:rPr>
            </w:pPr>
            <w:r>
              <w:rPr>
                <w:rFonts w:hint="eastAsia"/>
                <w:b/>
                <w:bCs/>
                <w:i/>
                <w:iCs/>
                <w:sz w:val="24"/>
                <w:u w:val="single"/>
              </w:rPr>
              <w:t>3</w:t>
            </w:r>
            <w:r>
              <w:rPr>
                <w:b/>
                <w:bCs/>
                <w:i/>
                <w:iCs/>
                <w:sz w:val="24"/>
                <w:u w:val="single"/>
              </w:rPr>
              <w:t>、排污许可证</w:t>
            </w:r>
          </w:p>
          <w:p>
            <w:pPr>
              <w:widowControl/>
              <w:spacing w:line="360" w:lineRule="auto"/>
              <w:ind w:firstLine="480" w:firstLineChars="200"/>
              <w:rPr>
                <w:i/>
                <w:iCs/>
                <w:u w:val="single"/>
              </w:rPr>
            </w:pPr>
            <w:r>
              <w:rPr>
                <w:i/>
                <w:iCs/>
                <w:sz w:val="24"/>
                <w:u w:val="single"/>
              </w:rPr>
              <w:t>根据《固定污染源排污许可分类管理名录（2019年版）》中内容，本项目属于</w:t>
            </w:r>
            <w:r>
              <w:rPr>
                <w:rFonts w:hint="eastAsia" w:ascii="宋体" w:hAnsi="宋体" w:cs="宋体"/>
                <w:i/>
                <w:iCs/>
                <w:sz w:val="24"/>
                <w:u w:val="single"/>
              </w:rPr>
              <w:t>“</w:t>
            </w:r>
            <w:r>
              <w:rPr>
                <w:i/>
                <w:iCs/>
                <w:sz w:val="24"/>
                <w:u w:val="single"/>
              </w:rPr>
              <w:t>第</w:t>
            </w:r>
            <w:r>
              <w:rPr>
                <w:rFonts w:hint="eastAsia"/>
                <w:i/>
                <w:iCs/>
                <w:sz w:val="24"/>
                <w:u w:val="single"/>
              </w:rPr>
              <w:t>三十七</w:t>
            </w:r>
            <w:r>
              <w:rPr>
                <w:i/>
                <w:iCs/>
                <w:sz w:val="24"/>
                <w:u w:val="single"/>
              </w:rPr>
              <w:t>类</w:t>
            </w:r>
            <w:r>
              <w:rPr>
                <w:rFonts w:hint="eastAsia"/>
                <w:i/>
                <w:iCs/>
                <w:sz w:val="24"/>
                <w:u w:val="single"/>
              </w:rPr>
              <w:t>、</w:t>
            </w:r>
            <w:r>
              <w:rPr>
                <w:rFonts w:hint="eastAsia" w:ascii="宋体" w:hAnsi="宋体" w:cs="宋体"/>
                <w:i/>
                <w:iCs/>
                <w:sz w:val="24"/>
                <w:u w:val="single"/>
              </w:rPr>
              <w:t>废弃资源综合利用业</w:t>
            </w:r>
            <w:r>
              <w:rPr>
                <w:rFonts w:hint="eastAsia"/>
                <w:i/>
                <w:iCs/>
                <w:sz w:val="24"/>
                <w:u w:val="single"/>
              </w:rPr>
              <w:t>42；93、金属废料和碎屑加工处理421；</w:t>
            </w:r>
            <w:r>
              <w:rPr>
                <w:rFonts w:hint="eastAsia" w:ascii="宋体" w:hAnsi="宋体" w:cs="宋体"/>
                <w:i/>
                <w:iCs/>
                <w:color w:val="000000"/>
                <w:kern w:val="0"/>
                <w:sz w:val="24"/>
                <w:u w:val="single"/>
              </w:rPr>
              <w:t>本项目应实行排污许可简化管理，因此建设单位应当在启动本项目生产设施或产生实际排污之前，在全国排污许可证 管理信息平台进行排污许可变更，取得排污许可证。</w:t>
            </w:r>
          </w:p>
          <w:p>
            <w:pPr>
              <w:spacing w:line="360" w:lineRule="auto"/>
              <w:ind w:firstLine="482" w:firstLineChars="200"/>
              <w:rPr>
                <w:b/>
                <w:bCs/>
                <w:i/>
                <w:iCs/>
                <w:sz w:val="24"/>
                <w:u w:val="single"/>
              </w:rPr>
            </w:pPr>
            <w:r>
              <w:rPr>
                <w:rFonts w:hint="eastAsia"/>
                <w:b/>
                <w:bCs/>
                <w:i/>
                <w:iCs/>
                <w:sz w:val="24"/>
                <w:u w:val="single"/>
              </w:rPr>
              <w:t>4</w:t>
            </w:r>
            <w:r>
              <w:rPr>
                <w:b/>
                <w:bCs/>
                <w:i/>
                <w:iCs/>
                <w:sz w:val="24"/>
                <w:u w:val="single"/>
              </w:rPr>
              <w:t>、自主验收管理要求</w:t>
            </w:r>
          </w:p>
          <w:p>
            <w:pPr>
              <w:spacing w:line="360" w:lineRule="auto"/>
              <w:ind w:firstLine="480" w:firstLineChars="200"/>
              <w:rPr>
                <w:i/>
                <w:iCs/>
                <w:sz w:val="24"/>
                <w:u w:val="single"/>
              </w:rPr>
            </w:pPr>
            <w:r>
              <w:rPr>
                <w:i/>
                <w:iCs/>
                <w:sz w:val="24"/>
                <w:u w:val="single"/>
              </w:rPr>
              <w:t>建设单位根据《建设项目竣工环境保护验收暂行办法》中华人民共和国环境保护部国环规环评【2017】4号要求执行验收规定。</w:t>
            </w:r>
          </w:p>
          <w:p>
            <w:pPr>
              <w:spacing w:line="360" w:lineRule="auto"/>
              <w:ind w:firstLine="480" w:firstLineChars="200"/>
              <w:rPr>
                <w:i/>
                <w:iCs/>
                <w:sz w:val="24"/>
                <w:u w:val="single"/>
              </w:rPr>
            </w:pPr>
            <w:r>
              <w:rPr>
                <w:i/>
                <w:iCs/>
                <w:sz w:val="24"/>
                <w:u w:val="single"/>
              </w:rPr>
              <w:t>该办法适用于编制环境影响报告书（表）并根据环保法律法规的规定由建设单位实施环境保护设施竣工验收的建设项目及相关监督管理。</w:t>
            </w:r>
          </w:p>
          <w:p>
            <w:pPr>
              <w:spacing w:line="360" w:lineRule="auto"/>
              <w:ind w:firstLine="480" w:firstLineChars="200"/>
              <w:rPr>
                <w:i/>
                <w:iCs/>
                <w:sz w:val="24"/>
                <w:u w:val="single"/>
              </w:rPr>
            </w:pPr>
            <w:r>
              <w:rPr>
                <w:i/>
                <w:iCs/>
                <w:sz w:val="24"/>
                <w:u w:val="single"/>
              </w:rPr>
              <w:t>建设单位是建设项目竣工环境保护验收的责任主体，应当按照本办法规定的程序和标准，组织对配套建设的环境保护设施进行验收，编制验收报告，公开相关信息，接受社会监督，确保建设项目需要配套建设的环境保护设施与主体工程同时投产或者使用，并对验收内容、结论和所公开信息的真实性、准确性和完整性负责，不得在验收过程中弄虚作假。</w:t>
            </w:r>
          </w:p>
          <w:p>
            <w:pPr>
              <w:spacing w:line="360" w:lineRule="auto"/>
              <w:ind w:firstLine="480" w:firstLineChars="200"/>
              <w:rPr>
                <w:i/>
                <w:iCs/>
                <w:sz w:val="24"/>
                <w:u w:val="single"/>
              </w:rPr>
            </w:pPr>
            <w:r>
              <w:rPr>
                <w:i/>
                <w:iCs/>
                <w:sz w:val="24"/>
                <w:u w:val="single"/>
              </w:rPr>
              <w:t>环境保护设施是指防治环境污染和生态破坏以及开展环境监测所需的装置、设备和工程设施等。</w:t>
            </w:r>
          </w:p>
          <w:p>
            <w:pPr>
              <w:spacing w:line="360" w:lineRule="auto"/>
              <w:ind w:firstLine="480" w:firstLineChars="200"/>
              <w:rPr>
                <w:i/>
                <w:iCs/>
                <w:sz w:val="24"/>
                <w:u w:val="single"/>
              </w:rPr>
            </w:pPr>
            <w:r>
              <w:rPr>
                <w:i/>
                <w:iCs/>
                <w:sz w:val="24"/>
                <w:u w:val="single"/>
              </w:rPr>
              <w:t>验收报告分为验收监测（调查）报告、验收意见和其他需要说明的事项等</w:t>
            </w:r>
            <w:r>
              <w:rPr>
                <w:rFonts w:hint="eastAsia"/>
                <w:i/>
                <w:iCs/>
                <w:sz w:val="24"/>
                <w:u w:val="single"/>
              </w:rPr>
              <w:t>3</w:t>
            </w:r>
            <w:r>
              <w:rPr>
                <w:i/>
                <w:iCs/>
                <w:sz w:val="24"/>
                <w:u w:val="single"/>
              </w:rPr>
              <w:t>项内容。</w:t>
            </w:r>
          </w:p>
          <w:p>
            <w:pPr>
              <w:widowControl/>
              <w:spacing w:line="360" w:lineRule="auto"/>
              <w:ind w:firstLine="482" w:firstLineChars="200"/>
              <w:jc w:val="left"/>
              <w:rPr>
                <w:rFonts w:ascii="宋体" w:hAnsi="宋体" w:cs="宋体"/>
                <w:i/>
                <w:iCs/>
                <w:sz w:val="24"/>
                <w:u w:val="single"/>
              </w:rPr>
            </w:pPr>
            <w:r>
              <w:rPr>
                <w:rFonts w:hint="eastAsia" w:ascii="宋体" w:hAnsi="宋体" w:cs="宋体"/>
                <w:b/>
                <w:bCs/>
                <w:i/>
                <w:iCs/>
                <w:color w:val="000000"/>
                <w:kern w:val="0"/>
                <w:sz w:val="24"/>
                <w:u w:val="single"/>
              </w:rPr>
              <w:t xml:space="preserve">5、自行监测要求 </w:t>
            </w:r>
          </w:p>
          <w:p>
            <w:pPr>
              <w:widowControl/>
              <w:spacing w:line="360" w:lineRule="auto"/>
              <w:ind w:firstLine="480" w:firstLineChars="200"/>
              <w:jc w:val="left"/>
              <w:rPr>
                <w:rFonts w:ascii="宋体" w:hAnsi="宋体" w:cs="宋体"/>
                <w:i/>
                <w:iCs/>
                <w:sz w:val="24"/>
                <w:u w:val="single"/>
              </w:rPr>
            </w:pPr>
            <w:r>
              <w:rPr>
                <w:rFonts w:hint="eastAsia" w:ascii="宋体" w:hAnsi="宋体" w:cs="宋体"/>
                <w:i/>
                <w:iCs/>
                <w:color w:val="000000"/>
                <w:kern w:val="0"/>
                <w:sz w:val="24"/>
                <w:u w:val="single"/>
              </w:rPr>
              <w:t xml:space="preserve">（1）报废机动车回收拆解企业应按照HJ819等规定，建立企业监 </w:t>
            </w:r>
          </w:p>
          <w:p>
            <w:pPr>
              <w:widowControl/>
              <w:spacing w:line="360" w:lineRule="auto"/>
              <w:jc w:val="left"/>
              <w:rPr>
                <w:rFonts w:ascii="宋体" w:hAnsi="宋体" w:cs="宋体"/>
                <w:i/>
                <w:iCs/>
                <w:sz w:val="24"/>
                <w:u w:val="single"/>
              </w:rPr>
            </w:pPr>
            <w:r>
              <w:rPr>
                <w:rFonts w:hint="eastAsia" w:ascii="宋体" w:hAnsi="宋体" w:cs="宋体"/>
                <w:i/>
                <w:iCs/>
                <w:color w:val="000000"/>
                <w:kern w:val="0"/>
                <w:sz w:val="24"/>
                <w:u w:val="single"/>
              </w:rPr>
              <w:t xml:space="preserve">测制度，制定自行监测方案，对污染物排放状况及其周边环境质量的影 </w:t>
            </w:r>
          </w:p>
          <w:p>
            <w:pPr>
              <w:widowControl/>
              <w:spacing w:line="360" w:lineRule="auto"/>
              <w:jc w:val="left"/>
              <w:rPr>
                <w:rFonts w:ascii="宋体" w:hAnsi="宋体" w:cs="宋体"/>
                <w:i/>
                <w:iCs/>
                <w:sz w:val="24"/>
                <w:u w:val="single"/>
              </w:rPr>
            </w:pPr>
            <w:r>
              <w:rPr>
                <w:rFonts w:hint="eastAsia" w:ascii="宋体" w:hAnsi="宋体" w:cs="宋体"/>
                <w:i/>
                <w:iCs/>
                <w:color w:val="000000"/>
                <w:kern w:val="0"/>
                <w:sz w:val="24"/>
                <w:u w:val="single"/>
              </w:rPr>
              <w:t xml:space="preserve">响开展自行监测，保存原始监测记录，并公布监测结果，监测报告记录 </w:t>
            </w:r>
          </w:p>
          <w:p>
            <w:pPr>
              <w:widowControl/>
              <w:spacing w:line="360" w:lineRule="auto"/>
              <w:jc w:val="left"/>
              <w:rPr>
                <w:rFonts w:ascii="宋体" w:hAnsi="宋体" w:cs="宋体"/>
                <w:i/>
                <w:iCs/>
                <w:sz w:val="24"/>
                <w:u w:val="single"/>
              </w:rPr>
            </w:pPr>
            <w:r>
              <w:rPr>
                <w:rFonts w:hint="eastAsia" w:ascii="宋体" w:hAnsi="宋体" w:cs="宋体"/>
                <w:i/>
                <w:iCs/>
                <w:color w:val="000000"/>
                <w:kern w:val="0"/>
                <w:sz w:val="24"/>
                <w:u w:val="single"/>
              </w:rPr>
              <w:t xml:space="preserve">应至少保存3年。 </w:t>
            </w:r>
          </w:p>
          <w:p>
            <w:pPr>
              <w:widowControl/>
              <w:spacing w:line="360" w:lineRule="auto"/>
              <w:ind w:firstLine="480" w:firstLineChars="200"/>
              <w:jc w:val="left"/>
              <w:rPr>
                <w:rFonts w:ascii="宋体" w:hAnsi="宋体" w:cs="宋体"/>
                <w:i/>
                <w:iCs/>
                <w:sz w:val="24"/>
                <w:u w:val="single"/>
              </w:rPr>
            </w:pPr>
            <w:r>
              <w:rPr>
                <w:rFonts w:hint="eastAsia" w:ascii="宋体" w:hAnsi="宋体" w:cs="宋体"/>
                <w:i/>
                <w:iCs/>
                <w:color w:val="000000"/>
                <w:kern w:val="0"/>
                <w:sz w:val="24"/>
                <w:u w:val="single"/>
              </w:rPr>
              <w:t xml:space="preserve">（2）自行监测方案应包括企业基本情况、监测点位、监测频次、 </w:t>
            </w:r>
          </w:p>
          <w:p>
            <w:pPr>
              <w:widowControl/>
              <w:spacing w:line="360" w:lineRule="auto"/>
              <w:jc w:val="left"/>
              <w:rPr>
                <w:rFonts w:ascii="宋体" w:hAnsi="宋体" w:cs="宋体"/>
                <w:i/>
                <w:iCs/>
                <w:sz w:val="24"/>
                <w:u w:val="single"/>
              </w:rPr>
            </w:pPr>
            <w:r>
              <w:rPr>
                <w:rFonts w:hint="eastAsia" w:ascii="宋体" w:hAnsi="宋体" w:cs="宋体"/>
                <w:i/>
                <w:iCs/>
                <w:color w:val="000000"/>
                <w:kern w:val="0"/>
                <w:sz w:val="24"/>
                <w:u w:val="single"/>
              </w:rPr>
              <w:t xml:space="preserve">监测指标（含特征污染物）、执行排放标准及其限值、监测方法和仪器、监测质量控制、监测点位示意图、监测结果信息公开时限、应急监测方案等。 </w:t>
            </w:r>
          </w:p>
          <w:p>
            <w:pPr>
              <w:widowControl/>
              <w:spacing w:line="360" w:lineRule="auto"/>
              <w:ind w:firstLine="480" w:firstLineChars="200"/>
              <w:jc w:val="left"/>
              <w:rPr>
                <w:rFonts w:ascii="宋体" w:hAnsi="宋体" w:cs="宋体"/>
                <w:i/>
                <w:iCs/>
                <w:sz w:val="24"/>
                <w:u w:val="single"/>
              </w:rPr>
            </w:pPr>
            <w:r>
              <w:rPr>
                <w:rFonts w:hint="eastAsia" w:ascii="宋体" w:hAnsi="宋体" w:cs="宋体"/>
                <w:i/>
                <w:iCs/>
                <w:color w:val="000000"/>
                <w:kern w:val="0"/>
                <w:sz w:val="24"/>
                <w:u w:val="single"/>
              </w:rPr>
              <w:t xml:space="preserve">（3）报废机动车回收拆解企业不具备自行监测能力的，应委托具 </w:t>
            </w:r>
          </w:p>
          <w:p>
            <w:pPr>
              <w:widowControl/>
              <w:spacing w:line="360" w:lineRule="auto"/>
              <w:jc w:val="left"/>
              <w:rPr>
                <w:rFonts w:ascii="宋体" w:hAnsi="宋体" w:cs="宋体"/>
                <w:i/>
                <w:iCs/>
                <w:sz w:val="24"/>
                <w:u w:val="single"/>
              </w:rPr>
            </w:pPr>
            <w:r>
              <w:rPr>
                <w:rFonts w:hint="eastAsia" w:ascii="宋体" w:hAnsi="宋体" w:cs="宋体"/>
                <w:i/>
                <w:iCs/>
                <w:color w:val="000000"/>
                <w:kern w:val="0"/>
                <w:sz w:val="24"/>
                <w:u w:val="single"/>
              </w:rPr>
              <w:t>有监测服务资质的单位</w:t>
            </w:r>
            <w:r>
              <w:rPr>
                <w:rFonts w:hint="eastAsia" w:ascii="宋体" w:hAnsi="宋体" w:cs="宋体"/>
                <w:i/>
                <w:iCs/>
                <w:kern w:val="0"/>
                <w:sz w:val="24"/>
                <w:u w:val="single"/>
              </w:rPr>
              <w:t>监测。</w:t>
            </w:r>
          </w:p>
          <w:p>
            <w:pPr>
              <w:spacing w:line="360" w:lineRule="auto"/>
              <w:ind w:firstLine="482" w:firstLineChars="200"/>
              <w:rPr>
                <w:b/>
                <w:bCs/>
                <w:i/>
                <w:iCs/>
                <w:sz w:val="24"/>
                <w:u w:val="single"/>
              </w:rPr>
            </w:pPr>
            <w:r>
              <w:rPr>
                <w:rFonts w:hint="eastAsia"/>
                <w:b/>
                <w:bCs/>
                <w:i/>
                <w:iCs/>
                <w:sz w:val="24"/>
                <w:u w:val="single"/>
              </w:rPr>
              <w:t>6、环保投资</w:t>
            </w:r>
          </w:p>
          <w:p>
            <w:pPr>
              <w:spacing w:line="360" w:lineRule="auto"/>
              <w:ind w:firstLine="480" w:firstLineChars="200"/>
              <w:rPr>
                <w:i/>
                <w:iCs/>
                <w:sz w:val="24"/>
                <w:u w:val="single"/>
              </w:rPr>
            </w:pPr>
            <w:r>
              <w:rPr>
                <w:i/>
                <w:iCs/>
                <w:sz w:val="24"/>
                <w:u w:val="single"/>
              </w:rPr>
              <w:t>项目环保设施及投资清单见下表</w:t>
            </w:r>
            <w:r>
              <w:rPr>
                <w:rFonts w:hint="eastAsia"/>
                <w:i/>
                <w:iCs/>
                <w:sz w:val="24"/>
                <w:u w:val="single"/>
              </w:rPr>
              <w:t>。</w:t>
            </w:r>
          </w:p>
          <w:p>
            <w:pPr>
              <w:jc w:val="center"/>
              <w:rPr>
                <w:rFonts w:ascii="宋体" w:hAnsi="宋体" w:cs="宋体"/>
                <w:b/>
                <w:bCs/>
                <w:i/>
                <w:iCs/>
                <w:sz w:val="24"/>
                <w:u w:val="single"/>
              </w:rPr>
            </w:pPr>
            <w:r>
              <w:rPr>
                <w:rFonts w:hint="eastAsia" w:ascii="宋体" w:hAnsi="宋体" w:cs="宋体"/>
                <w:b/>
                <w:bCs/>
                <w:i/>
                <w:iCs/>
                <w:sz w:val="24"/>
                <w:u w:val="single"/>
              </w:rPr>
              <w:t>表5-1  环保设施及投资一览表</w:t>
            </w:r>
          </w:p>
          <w:tbl>
            <w:tblPr>
              <w:tblW w:w="7634"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left w:w="108" w:type="dxa"/>
                <w:right w:w="108" w:type="dxa"/>
              </w:tblCellMar>
            </w:tblPr>
            <w:tblGrid>
              <w:gridCol w:w="2064"/>
              <w:gridCol w:w="3921"/>
              <w:gridCol w:w="1649"/>
            </w:tblGrid>
            <w:tr>
              <w:trPr>
                <w:trHeight w:val="212" w:hRule="atLeast"/>
                <w:jc w:val="center"/>
              </w:trPr>
              <w:tc>
                <w:tcPr>
                  <w:tcW w:w="2064" w:type="dxa"/>
                  <w:vAlign w:val="center"/>
                </w:tcPr>
                <w:p>
                  <w:pPr>
                    <w:widowControl/>
                    <w:jc w:val="center"/>
                    <w:rPr>
                      <w:b/>
                      <w:bCs/>
                      <w:i/>
                      <w:iCs/>
                      <w:szCs w:val="21"/>
                      <w:u w:val="single"/>
                    </w:rPr>
                  </w:pPr>
                  <w:r>
                    <w:rPr>
                      <w:rFonts w:hint="eastAsia"/>
                      <w:b/>
                      <w:bCs/>
                      <w:i/>
                      <w:iCs/>
                      <w:szCs w:val="21"/>
                      <w:u w:val="single"/>
                    </w:rPr>
                    <w:t>项目</w:t>
                  </w:r>
                </w:p>
              </w:tc>
              <w:tc>
                <w:tcPr>
                  <w:tcW w:w="3921" w:type="dxa"/>
                  <w:vAlign w:val="center"/>
                </w:tcPr>
                <w:p>
                  <w:pPr>
                    <w:jc w:val="center"/>
                    <w:rPr>
                      <w:b/>
                      <w:bCs/>
                      <w:i/>
                      <w:iCs/>
                      <w:szCs w:val="21"/>
                      <w:u w:val="single"/>
                    </w:rPr>
                  </w:pPr>
                  <w:r>
                    <w:rPr>
                      <w:rFonts w:hint="eastAsia"/>
                      <w:b/>
                      <w:bCs/>
                      <w:i/>
                      <w:iCs/>
                      <w:szCs w:val="21"/>
                      <w:u w:val="single"/>
                    </w:rPr>
                    <w:t>治理措施</w:t>
                  </w:r>
                </w:p>
              </w:tc>
              <w:tc>
                <w:tcPr>
                  <w:tcW w:w="1649" w:type="dxa"/>
                  <w:vAlign w:val="center"/>
                </w:tcPr>
                <w:p>
                  <w:pPr>
                    <w:jc w:val="center"/>
                    <w:rPr>
                      <w:b/>
                      <w:bCs/>
                      <w:i/>
                      <w:iCs/>
                      <w:szCs w:val="21"/>
                      <w:u w:val="single"/>
                    </w:rPr>
                  </w:pPr>
                  <w:r>
                    <w:rPr>
                      <w:rFonts w:hint="eastAsia"/>
                      <w:b/>
                      <w:bCs/>
                      <w:i/>
                      <w:iCs/>
                      <w:szCs w:val="21"/>
                      <w:u w:val="single"/>
                    </w:rPr>
                    <w:t>环保投资（万元）</w:t>
                  </w:r>
                </w:p>
              </w:tc>
            </w:tr>
            <w:tr>
              <w:trPr>
                <w:trHeight w:val="135" w:hRule="atLeast"/>
                <w:jc w:val="center"/>
              </w:trPr>
              <w:tc>
                <w:tcPr>
                  <w:tcW w:w="2064" w:type="dxa"/>
                  <w:vAlign w:val="center"/>
                </w:tcPr>
                <w:p>
                  <w:pPr>
                    <w:jc w:val="center"/>
                    <w:rPr>
                      <w:i/>
                      <w:iCs/>
                      <w:szCs w:val="21"/>
                      <w:u w:val="single"/>
                    </w:rPr>
                  </w:pPr>
                  <w:r>
                    <w:rPr>
                      <w:rFonts w:hint="eastAsia"/>
                      <w:i/>
                      <w:iCs/>
                      <w:szCs w:val="21"/>
                      <w:u w:val="single"/>
                    </w:rPr>
                    <w:t>废气</w:t>
                  </w:r>
                </w:p>
              </w:tc>
              <w:tc>
                <w:tcPr>
                  <w:tcW w:w="3921" w:type="dxa"/>
                  <w:vAlign w:val="center"/>
                </w:tcPr>
                <w:p>
                  <w:pPr>
                    <w:widowControl/>
                    <w:jc w:val="left"/>
                    <w:rPr>
                      <w:i/>
                      <w:iCs/>
                      <w:szCs w:val="21"/>
                      <w:u w:val="single"/>
                    </w:rPr>
                  </w:pPr>
                  <w:r>
                    <w:rPr>
                      <w:rFonts w:hint="eastAsia" w:ascii="宋体" w:hAnsi="宋体" w:cs="宋体"/>
                      <w:i/>
                      <w:iCs/>
                      <w:kern w:val="0"/>
                      <w:szCs w:val="21"/>
                      <w:u w:val="single"/>
                    </w:rPr>
                    <w:t>拆解工位及危废贮存库设置集气罩，废气经布袋除尘器+活性炭吸附处理后，经15m高排气筒排放</w:t>
                  </w:r>
                </w:p>
              </w:tc>
              <w:tc>
                <w:tcPr>
                  <w:tcW w:w="1649" w:type="dxa"/>
                  <w:vAlign w:val="center"/>
                </w:tcPr>
                <w:p>
                  <w:pPr>
                    <w:jc w:val="center"/>
                    <w:rPr>
                      <w:i/>
                      <w:iCs/>
                      <w:szCs w:val="21"/>
                      <w:u w:val="single"/>
                    </w:rPr>
                  </w:pPr>
                  <w:r>
                    <w:rPr>
                      <w:rFonts w:hint="eastAsia"/>
                      <w:i/>
                      <w:iCs/>
                      <w:szCs w:val="21"/>
                      <w:u w:val="single"/>
                    </w:rPr>
                    <w:t>6</w:t>
                  </w:r>
                </w:p>
              </w:tc>
            </w:tr>
            <w:tr>
              <w:trPr>
                <w:trHeight w:val="135" w:hRule="atLeast"/>
                <w:jc w:val="center"/>
              </w:trPr>
              <w:tc>
                <w:tcPr>
                  <w:tcW w:w="2064" w:type="dxa"/>
                  <w:vAlign w:val="center"/>
                </w:tcPr>
                <w:p>
                  <w:pPr>
                    <w:jc w:val="center"/>
                    <w:rPr>
                      <w:i/>
                      <w:iCs/>
                      <w:szCs w:val="21"/>
                      <w:u w:val="single"/>
                    </w:rPr>
                  </w:pPr>
                  <w:r>
                    <w:rPr>
                      <w:rFonts w:hint="eastAsia"/>
                      <w:i/>
                      <w:iCs/>
                      <w:szCs w:val="21"/>
                      <w:u w:val="single"/>
                    </w:rPr>
                    <w:t>废水</w:t>
                  </w:r>
                </w:p>
              </w:tc>
              <w:tc>
                <w:tcPr>
                  <w:tcW w:w="3921" w:type="dxa"/>
                  <w:vAlign w:val="center"/>
                </w:tcPr>
                <w:p>
                  <w:pPr>
                    <w:tabs>
                      <w:tab w:val="center" w:pos="1169"/>
                      <w:tab w:val="right" w:pos="2220"/>
                    </w:tabs>
                    <w:jc w:val="center"/>
                    <w:rPr>
                      <w:i/>
                      <w:iCs/>
                      <w:szCs w:val="21"/>
                      <w:u w:val="single"/>
                    </w:rPr>
                  </w:pPr>
                  <w:r>
                    <w:rPr>
                      <w:rFonts w:hint="eastAsia"/>
                      <w:i/>
                      <w:iCs/>
                      <w:szCs w:val="21"/>
                      <w:u w:val="single"/>
                    </w:rPr>
                    <w:t>污水暂存池、油水分离器</w:t>
                  </w:r>
                </w:p>
              </w:tc>
              <w:tc>
                <w:tcPr>
                  <w:tcW w:w="1649" w:type="dxa"/>
                  <w:vAlign w:val="center"/>
                </w:tcPr>
                <w:p>
                  <w:pPr>
                    <w:jc w:val="center"/>
                    <w:rPr>
                      <w:i/>
                      <w:iCs/>
                      <w:szCs w:val="21"/>
                      <w:u w:val="single"/>
                    </w:rPr>
                  </w:pPr>
                  <w:r>
                    <w:rPr>
                      <w:rFonts w:hint="eastAsia"/>
                      <w:i/>
                      <w:iCs/>
                      <w:szCs w:val="21"/>
                      <w:u w:val="single"/>
                    </w:rPr>
                    <w:t>3</w:t>
                  </w:r>
                </w:p>
              </w:tc>
            </w:tr>
            <w:tr>
              <w:trPr>
                <w:trHeight w:val="23" w:hRule="atLeast"/>
                <w:jc w:val="center"/>
              </w:trPr>
              <w:tc>
                <w:tcPr>
                  <w:tcW w:w="2064" w:type="dxa"/>
                  <w:vAlign w:val="center"/>
                </w:tcPr>
                <w:p>
                  <w:pPr>
                    <w:widowControl/>
                    <w:jc w:val="center"/>
                    <w:rPr>
                      <w:i/>
                      <w:iCs/>
                      <w:szCs w:val="21"/>
                      <w:u w:val="single"/>
                    </w:rPr>
                  </w:pPr>
                  <w:r>
                    <w:rPr>
                      <w:rFonts w:hint="eastAsia"/>
                      <w:i/>
                      <w:iCs/>
                      <w:szCs w:val="21"/>
                      <w:u w:val="single"/>
                    </w:rPr>
                    <w:t>噪声</w:t>
                  </w:r>
                </w:p>
              </w:tc>
              <w:tc>
                <w:tcPr>
                  <w:tcW w:w="3921" w:type="dxa"/>
                  <w:vAlign w:val="center"/>
                </w:tcPr>
                <w:p>
                  <w:pPr>
                    <w:widowControl/>
                    <w:jc w:val="center"/>
                    <w:rPr>
                      <w:i/>
                      <w:iCs/>
                      <w:szCs w:val="21"/>
                      <w:u w:val="single"/>
                    </w:rPr>
                  </w:pPr>
                  <w:r>
                    <w:rPr>
                      <w:rFonts w:ascii="宋" w:hAnsi="宋" w:eastAsia="宋" w:cs="宋"/>
                      <w:i/>
                      <w:iCs/>
                      <w:kern w:val="0"/>
                      <w:szCs w:val="21"/>
                      <w:u w:val="single"/>
                    </w:rPr>
                    <w:t>隔声</w:t>
                  </w:r>
                  <w:r>
                    <w:rPr>
                      <w:rFonts w:hint="eastAsia" w:ascii="宋" w:hAnsi="宋" w:eastAsia="宋" w:cs="宋"/>
                      <w:i/>
                      <w:iCs/>
                      <w:kern w:val="0"/>
                      <w:szCs w:val="21"/>
                      <w:u w:val="single"/>
                    </w:rPr>
                    <w:t>减</w:t>
                  </w:r>
                  <w:r>
                    <w:rPr>
                      <w:rFonts w:ascii="宋" w:hAnsi="宋" w:eastAsia="宋" w:cs="宋"/>
                      <w:i/>
                      <w:iCs/>
                      <w:kern w:val="0"/>
                      <w:szCs w:val="21"/>
                      <w:u w:val="single"/>
                    </w:rPr>
                    <w:t>振措施</w:t>
                  </w:r>
                </w:p>
              </w:tc>
              <w:tc>
                <w:tcPr>
                  <w:tcW w:w="1649" w:type="dxa"/>
                  <w:vAlign w:val="center"/>
                </w:tcPr>
                <w:p>
                  <w:pPr>
                    <w:widowControl/>
                    <w:jc w:val="center"/>
                    <w:rPr>
                      <w:i/>
                      <w:iCs/>
                      <w:szCs w:val="21"/>
                      <w:u w:val="single"/>
                    </w:rPr>
                  </w:pPr>
                  <w:r>
                    <w:rPr>
                      <w:rFonts w:hint="eastAsia"/>
                      <w:i/>
                      <w:iCs/>
                      <w:szCs w:val="21"/>
                      <w:u w:val="single"/>
                    </w:rPr>
                    <w:t>1</w:t>
                  </w:r>
                </w:p>
              </w:tc>
            </w:tr>
            <w:tr>
              <w:trPr>
                <w:trHeight w:val="251" w:hRule="atLeast"/>
                <w:jc w:val="center"/>
              </w:trPr>
              <w:tc>
                <w:tcPr>
                  <w:tcW w:w="2064" w:type="dxa"/>
                  <w:vAlign w:val="center"/>
                </w:tcPr>
                <w:p>
                  <w:pPr>
                    <w:jc w:val="center"/>
                    <w:rPr>
                      <w:i/>
                      <w:iCs/>
                      <w:szCs w:val="21"/>
                      <w:u w:val="single"/>
                    </w:rPr>
                  </w:pPr>
                  <w:r>
                    <w:rPr>
                      <w:rFonts w:hint="eastAsia"/>
                      <w:i/>
                      <w:iCs/>
                      <w:szCs w:val="21"/>
                      <w:u w:val="single"/>
                    </w:rPr>
                    <w:t>固体废物</w:t>
                  </w:r>
                </w:p>
              </w:tc>
              <w:tc>
                <w:tcPr>
                  <w:tcW w:w="3921" w:type="dxa"/>
                  <w:vAlign w:val="center"/>
                </w:tcPr>
                <w:p>
                  <w:pPr>
                    <w:rPr>
                      <w:i/>
                      <w:iCs/>
                      <w:szCs w:val="21"/>
                      <w:u w:val="single"/>
                    </w:rPr>
                  </w:pPr>
                  <w:r>
                    <w:rPr>
                      <w:i/>
                      <w:iCs/>
                      <w:szCs w:val="21"/>
                      <w:u w:val="single"/>
                    </w:rPr>
                    <w:t>设置密闭</w:t>
                  </w:r>
                  <w:r>
                    <w:rPr>
                      <w:rFonts w:hint="eastAsia"/>
                      <w:i/>
                      <w:iCs/>
                      <w:szCs w:val="21"/>
                      <w:u w:val="single"/>
                    </w:rPr>
                    <w:t>分类收集设施</w:t>
                  </w:r>
                  <w:r>
                    <w:rPr>
                      <w:i/>
                      <w:iCs/>
                      <w:szCs w:val="21"/>
                      <w:u w:val="single"/>
                    </w:rPr>
                    <w:t>，设置</w:t>
                  </w:r>
                  <w:r>
                    <w:rPr>
                      <w:rFonts w:hint="eastAsia"/>
                      <w:i/>
                      <w:iCs/>
                      <w:szCs w:val="21"/>
                      <w:u w:val="single"/>
                    </w:rPr>
                    <w:t>密闭</w:t>
                  </w:r>
                  <w:r>
                    <w:rPr>
                      <w:i/>
                      <w:iCs/>
                      <w:szCs w:val="21"/>
                      <w:u w:val="single"/>
                    </w:rPr>
                    <w:t>危废</w:t>
                  </w:r>
                  <w:r>
                    <w:rPr>
                      <w:rFonts w:hint="eastAsia"/>
                      <w:i/>
                      <w:iCs/>
                      <w:szCs w:val="21"/>
                      <w:u w:val="single"/>
                    </w:rPr>
                    <w:t>贮存库</w:t>
                  </w:r>
                  <w:r>
                    <w:rPr>
                      <w:i/>
                      <w:iCs/>
                      <w:szCs w:val="21"/>
                      <w:u w:val="single"/>
                    </w:rPr>
                    <w:t>，设置要求参照《危险废物贮存污染控制标准》（GB 18597-20</w:t>
                  </w:r>
                  <w:r>
                    <w:rPr>
                      <w:rFonts w:hint="eastAsia"/>
                      <w:i/>
                      <w:iCs/>
                      <w:szCs w:val="21"/>
                      <w:u w:val="single"/>
                    </w:rPr>
                    <w:t>23</w:t>
                  </w:r>
                  <w:r>
                    <w:rPr>
                      <w:i/>
                      <w:iCs/>
                      <w:szCs w:val="21"/>
                      <w:u w:val="single"/>
                    </w:rPr>
                    <w:t>）</w:t>
                  </w:r>
                </w:p>
              </w:tc>
              <w:tc>
                <w:tcPr>
                  <w:tcW w:w="1649" w:type="dxa"/>
                  <w:vAlign w:val="center"/>
                </w:tcPr>
                <w:p>
                  <w:pPr>
                    <w:widowControl/>
                    <w:jc w:val="center"/>
                    <w:rPr>
                      <w:i/>
                      <w:iCs/>
                      <w:szCs w:val="21"/>
                      <w:u w:val="single"/>
                    </w:rPr>
                  </w:pPr>
                  <w:r>
                    <w:rPr>
                      <w:rFonts w:hint="eastAsia"/>
                      <w:i/>
                      <w:iCs/>
                      <w:szCs w:val="21"/>
                      <w:u w:val="single"/>
                    </w:rPr>
                    <w:t>3</w:t>
                  </w:r>
                </w:p>
              </w:tc>
            </w:tr>
            <w:tr>
              <w:trPr>
                <w:trHeight w:val="251" w:hRule="atLeast"/>
                <w:jc w:val="center"/>
              </w:trPr>
              <w:tc>
                <w:tcPr>
                  <w:tcW w:w="2064" w:type="dxa"/>
                  <w:vAlign w:val="center"/>
                </w:tcPr>
                <w:p>
                  <w:pPr>
                    <w:jc w:val="center"/>
                    <w:rPr>
                      <w:i/>
                      <w:iCs/>
                      <w:szCs w:val="21"/>
                      <w:u w:val="single"/>
                    </w:rPr>
                  </w:pPr>
                  <w:r>
                    <w:rPr>
                      <w:rFonts w:hint="eastAsia"/>
                      <w:i/>
                      <w:iCs/>
                      <w:szCs w:val="21"/>
                      <w:u w:val="single"/>
                    </w:rPr>
                    <w:t>环境风险</w:t>
                  </w:r>
                </w:p>
              </w:tc>
              <w:tc>
                <w:tcPr>
                  <w:tcW w:w="3921" w:type="dxa"/>
                  <w:vAlign w:val="center"/>
                </w:tcPr>
                <w:p>
                  <w:pPr>
                    <w:rPr>
                      <w:i/>
                      <w:iCs/>
                      <w:szCs w:val="21"/>
                      <w:u w:val="single"/>
                    </w:rPr>
                  </w:pPr>
                  <w:r>
                    <w:rPr>
                      <w:rFonts w:hint="eastAsia"/>
                      <w:i/>
                      <w:iCs/>
                      <w:szCs w:val="21"/>
                      <w:u w:val="single"/>
                    </w:rPr>
                    <w:t>地面防渗、初期雨水收集、事故应急池、灭火器、吸油毡等</w:t>
                  </w:r>
                </w:p>
              </w:tc>
              <w:tc>
                <w:tcPr>
                  <w:tcW w:w="1649" w:type="dxa"/>
                  <w:vAlign w:val="center"/>
                </w:tcPr>
                <w:p>
                  <w:pPr>
                    <w:widowControl/>
                    <w:jc w:val="center"/>
                    <w:rPr>
                      <w:i/>
                      <w:iCs/>
                      <w:szCs w:val="21"/>
                      <w:u w:val="single"/>
                    </w:rPr>
                  </w:pPr>
                  <w:r>
                    <w:rPr>
                      <w:rFonts w:hint="eastAsia"/>
                      <w:i/>
                      <w:iCs/>
                      <w:szCs w:val="21"/>
                      <w:u w:val="single"/>
                    </w:rPr>
                    <w:t>2</w:t>
                  </w:r>
                </w:p>
              </w:tc>
            </w:tr>
            <w:tr>
              <w:trPr>
                <w:trHeight w:val="251" w:hRule="atLeast"/>
                <w:jc w:val="center"/>
              </w:trPr>
              <w:tc>
                <w:tcPr>
                  <w:tcW w:w="2064" w:type="dxa"/>
                  <w:vAlign w:val="center"/>
                </w:tcPr>
                <w:p>
                  <w:pPr>
                    <w:jc w:val="center"/>
                    <w:rPr>
                      <w:i/>
                      <w:iCs/>
                      <w:szCs w:val="21"/>
                      <w:u w:val="single"/>
                    </w:rPr>
                  </w:pPr>
                  <w:r>
                    <w:rPr>
                      <w:rFonts w:hint="eastAsia"/>
                      <w:i/>
                      <w:iCs/>
                      <w:szCs w:val="21"/>
                      <w:u w:val="single"/>
                    </w:rPr>
                    <w:t>地下水、土壤</w:t>
                  </w:r>
                </w:p>
              </w:tc>
              <w:tc>
                <w:tcPr>
                  <w:tcW w:w="3921" w:type="dxa"/>
                  <w:vAlign w:val="center"/>
                </w:tcPr>
                <w:p>
                  <w:pPr>
                    <w:rPr>
                      <w:i/>
                      <w:iCs/>
                      <w:szCs w:val="21"/>
                      <w:u w:val="single"/>
                    </w:rPr>
                  </w:pPr>
                  <w:r>
                    <w:rPr>
                      <w:rFonts w:hint="eastAsia"/>
                      <w:i/>
                      <w:iCs/>
                      <w:szCs w:val="21"/>
                      <w:u w:val="single"/>
                    </w:rPr>
                    <w:t>厂区地面硬化维护，车间地面防渗处理等措施</w:t>
                  </w:r>
                </w:p>
              </w:tc>
              <w:tc>
                <w:tcPr>
                  <w:tcW w:w="1649" w:type="dxa"/>
                  <w:vAlign w:val="center"/>
                </w:tcPr>
                <w:p>
                  <w:pPr>
                    <w:widowControl/>
                    <w:jc w:val="center"/>
                    <w:rPr>
                      <w:i/>
                      <w:iCs/>
                      <w:szCs w:val="21"/>
                      <w:u w:val="single"/>
                    </w:rPr>
                  </w:pPr>
                  <w:r>
                    <w:rPr>
                      <w:rFonts w:hint="eastAsia"/>
                      <w:i/>
                      <w:iCs/>
                      <w:szCs w:val="21"/>
                      <w:u w:val="single"/>
                    </w:rPr>
                    <w:t>1</w:t>
                  </w:r>
                </w:p>
              </w:tc>
            </w:tr>
            <w:tr>
              <w:trPr>
                <w:trHeight w:val="23" w:hRule="atLeast"/>
                <w:jc w:val="center"/>
              </w:trPr>
              <w:tc>
                <w:tcPr>
                  <w:tcW w:w="5985" w:type="dxa"/>
                  <w:gridSpan w:val="2"/>
                  <w:vAlign w:val="center"/>
                </w:tcPr>
                <w:p>
                  <w:pPr>
                    <w:jc w:val="center"/>
                    <w:rPr>
                      <w:i/>
                      <w:iCs/>
                      <w:szCs w:val="21"/>
                      <w:u w:val="single"/>
                    </w:rPr>
                  </w:pPr>
                  <w:r>
                    <w:rPr>
                      <w:rFonts w:hint="eastAsia"/>
                      <w:i/>
                      <w:iCs/>
                      <w:szCs w:val="21"/>
                      <w:u w:val="single"/>
                    </w:rPr>
                    <w:t>合计</w:t>
                  </w:r>
                </w:p>
              </w:tc>
              <w:tc>
                <w:tcPr>
                  <w:tcW w:w="1649" w:type="dxa"/>
                  <w:vAlign w:val="center"/>
                </w:tcPr>
                <w:p>
                  <w:pPr>
                    <w:jc w:val="center"/>
                    <w:rPr>
                      <w:i/>
                      <w:iCs/>
                      <w:szCs w:val="21"/>
                      <w:u w:val="single"/>
                    </w:rPr>
                  </w:pPr>
                  <w:r>
                    <w:rPr>
                      <w:i/>
                      <w:iCs/>
                      <w:szCs w:val="21"/>
                      <w:u w:val="single"/>
                    </w:rPr>
                    <w:fldChar w:fldCharType="begin"/>
                  </w:r>
                  <w:r>
                    <w:rPr>
                      <w:i/>
                      <w:iCs/>
                      <w:szCs w:val="21"/>
                      <w:u w:val="single"/>
                    </w:rPr>
                    <w:instrText xml:space="preserve"> =SUM(ABOVE) </w:instrText>
                  </w:r>
                  <w:r>
                    <w:rPr>
                      <w:i/>
                      <w:iCs/>
                      <w:szCs w:val="21"/>
                      <w:u w:val="single"/>
                    </w:rPr>
                    <w:fldChar w:fldCharType="separate"/>
                  </w:r>
                  <w:r>
                    <w:rPr>
                      <w:i/>
                      <w:iCs/>
                      <w:szCs w:val="21"/>
                      <w:u w:val="single"/>
                    </w:rPr>
                    <w:t>16</w:t>
                  </w:r>
                  <w:r>
                    <w:rPr>
                      <w:i/>
                      <w:iCs/>
                      <w:szCs w:val="21"/>
                      <w:u w:val="single"/>
                    </w:rPr>
                    <w:fldChar w:fldCharType="end"/>
                  </w:r>
                </w:p>
              </w:tc>
            </w:tr>
          </w:tbl>
          <w:p>
            <w:pPr>
              <w:pStyle w:val="19"/>
              <w:ind w:left="0" w:leftChars="0"/>
              <w:rPr>
                <w:i/>
                <w:iCs/>
                <w:u w:val="single"/>
              </w:rPr>
            </w:pPr>
          </w:p>
          <w:p>
            <w:pPr>
              <w:spacing w:line="360" w:lineRule="auto"/>
              <w:rPr>
                <w:i/>
                <w:iCs/>
                <w:sz w:val="24"/>
                <w:u w:val="single"/>
              </w:rPr>
            </w:pPr>
          </w:p>
        </w:tc>
      </w:tr>
    </w:tbl>
    <w:p>
      <w:pPr>
        <w:rPr>
          <w:rFonts w:ascii="黑体" w:hAnsi="黑体" w:eastAsia="黑体"/>
          <w:snapToGrid w:val="0"/>
          <w:kern w:val="0"/>
          <w:sz w:val="30"/>
          <w:szCs w:val="30"/>
        </w:rPr>
        <w:sectPr>
          <w:pgSz w:w="11906" w:h="16838"/>
          <w:pgMar w:top="1440" w:right="1746" w:bottom="1440" w:left="1746" w:header="851" w:footer="992" w:gutter="0"/>
          <w:cols w:space="720" w:num="1"/>
          <w:docGrid w:type="lines" w:linePitch="312"/>
        </w:sectPr>
      </w:pPr>
    </w:p>
    <w:p>
      <w:pPr>
        <w:jc w:val="center"/>
        <w:rPr>
          <w:rFonts w:ascii="黑体" w:hAnsi="黑体" w:eastAsia="黑体"/>
          <w:snapToGrid w:val="0"/>
          <w:sz w:val="30"/>
          <w:szCs w:val="30"/>
        </w:rPr>
      </w:pPr>
      <w:r>
        <w:rPr>
          <w:rFonts w:hint="eastAsia" w:ascii="黑体" w:hAnsi="黑体" w:eastAsia="黑体"/>
          <w:snapToGrid w:val="0"/>
          <w:sz w:val="30"/>
          <w:szCs w:val="30"/>
        </w:rPr>
        <w:t>六、结论</w:t>
      </w:r>
    </w:p>
    <w:tbl>
      <w:tblPr>
        <w:tblW w:w="8962"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left w:w="108" w:type="dxa"/>
          <w:right w:w="108" w:type="dxa"/>
        </w:tblCellMar>
      </w:tblPr>
      <w:tblGrid>
        <w:gridCol w:w="8962"/>
      </w:tblGrid>
      <w:tr>
        <w:trPr>
          <w:trHeight w:val="11991" w:hRule="atLeast"/>
          <w:jc w:val="center"/>
        </w:trPr>
        <w:tc>
          <w:tcPr>
            <w:tcW w:w="8962" w:type="dxa"/>
            <w:vAlign w:val="top"/>
          </w:tcPr>
          <w:p>
            <w:pPr>
              <w:widowControl/>
              <w:spacing w:line="360" w:lineRule="auto"/>
              <w:ind w:firstLine="480" w:firstLineChars="200"/>
              <w:jc w:val="left"/>
              <w:rPr>
                <w:rFonts w:ascii="宋体" w:hAnsi="宋体" w:cs="宋体"/>
                <w:color w:val="000000"/>
                <w:kern w:val="0"/>
                <w:sz w:val="24"/>
              </w:rPr>
            </w:pPr>
            <w:r>
              <w:rPr>
                <w:rFonts w:ascii="宋体" w:hAnsi="宋体" w:cs="宋体"/>
                <w:color w:val="000000"/>
                <w:kern w:val="0"/>
                <w:sz w:val="24"/>
              </w:rPr>
              <w:t xml:space="preserve"> 本项目符合国家产业政策要求；项目选址</w:t>
            </w:r>
            <w:r>
              <w:rPr>
                <w:rFonts w:hint="eastAsia" w:ascii="宋体" w:hAnsi="宋体" w:cs="宋体"/>
                <w:color w:val="000000"/>
                <w:kern w:val="0"/>
                <w:sz w:val="24"/>
              </w:rPr>
              <w:t>合理。项目针对其废水、废气、噪声、固体废物等各类污染物在采取必要的污染防治措施后，可以实现达标排放。综上项目对区域大气环境、地表水环境、声环境影响较小，不会改变原有环境功能和类别，其影响可在环境标准允许范围之内。在严格执行本环评提出的污染治理措施基础上，各项污染物均可达标排放，从环境保护和可持续发展的角度看，本项目可行。</w:t>
            </w:r>
          </w:p>
          <w:p>
            <w:pPr>
              <w:pStyle w:val="19"/>
              <w:adjustRightInd w:val="0"/>
              <w:snapToGrid w:val="0"/>
              <w:spacing w:line="360" w:lineRule="auto"/>
              <w:ind w:left="0" w:leftChars="0" w:firstLine="420" w:firstLineChars="200"/>
              <w:jc w:val="left"/>
            </w:pPr>
          </w:p>
          <w:p/>
          <w:p>
            <w:pPr>
              <w:pStyle w:val="2"/>
            </w:pPr>
          </w:p>
          <w:p>
            <w:pPr>
              <w:pStyle w:val="16"/>
            </w:pPr>
          </w:p>
          <w:p/>
          <w:p>
            <w:pPr>
              <w:pStyle w:val="19"/>
            </w:pPr>
          </w:p>
          <w:p/>
          <w:p>
            <w:pPr>
              <w:pStyle w:val="19"/>
            </w:pPr>
          </w:p>
          <w:p/>
          <w:p>
            <w:pPr>
              <w:pStyle w:val="19"/>
            </w:pPr>
          </w:p>
          <w:p/>
          <w:p>
            <w:pPr>
              <w:pStyle w:val="19"/>
            </w:pPr>
          </w:p>
          <w:p>
            <w:pPr>
              <w:pStyle w:val="16"/>
            </w:pPr>
          </w:p>
          <w:p/>
          <w:p>
            <w:pPr>
              <w:pStyle w:val="2"/>
            </w:pPr>
          </w:p>
          <w:p>
            <w:pPr>
              <w:pStyle w:val="16"/>
            </w:pPr>
          </w:p>
          <w:p/>
          <w:p>
            <w:pPr>
              <w:pStyle w:val="2"/>
            </w:pPr>
          </w:p>
          <w:p>
            <w:pPr>
              <w:pStyle w:val="16"/>
            </w:pPr>
          </w:p>
          <w:p/>
          <w:p>
            <w:pPr>
              <w:pStyle w:val="16"/>
            </w:pPr>
          </w:p>
          <w:p/>
          <w:p>
            <w:pPr>
              <w:pStyle w:val="2"/>
            </w:pPr>
          </w:p>
          <w:p>
            <w:pPr>
              <w:pStyle w:val="16"/>
            </w:pPr>
          </w:p>
          <w:p/>
          <w:p>
            <w:pPr>
              <w:pStyle w:val="16"/>
            </w:pPr>
          </w:p>
        </w:tc>
      </w:tr>
    </w:tbl>
    <w:p>
      <w:pPr>
        <w:rPr>
          <w:rFonts w:ascii="黑体" w:hAnsi="黑体" w:eastAsia="黑体"/>
          <w:snapToGrid w:val="0"/>
          <w:sz w:val="30"/>
          <w:szCs w:val="30"/>
        </w:rPr>
        <w:sectPr>
          <w:pgSz w:w="11906" w:h="16838"/>
          <w:pgMar w:top="1440" w:right="1800" w:bottom="1440" w:left="1800" w:header="851" w:footer="992" w:gutter="0"/>
          <w:cols w:space="720" w:num="1"/>
          <w:docGrid w:type="lines" w:linePitch="312"/>
        </w:sectPr>
      </w:pPr>
    </w:p>
    <w:p>
      <w:pPr>
        <w:pStyle w:val="21"/>
        <w:adjustRightInd w:val="0"/>
        <w:snapToGrid w:val="0"/>
        <w:spacing w:before="0" w:beforeAutospacing="0" w:after="0" w:afterAutospacing="0" w:line="360" w:lineRule="auto"/>
        <w:outlineLvl w:val="0"/>
        <w:rPr>
          <w:rFonts w:ascii="黑体" w:hAnsi="黑体" w:eastAsia="黑体"/>
          <w:snapToGrid w:val="0"/>
          <w:sz w:val="32"/>
          <w:szCs w:val="32"/>
        </w:rPr>
      </w:pPr>
      <w:r>
        <w:rPr>
          <w:rFonts w:hint="eastAsia" w:ascii="黑体" w:hAnsi="黑体" w:eastAsia="黑体"/>
          <w:snapToGrid w:val="0"/>
          <w:sz w:val="32"/>
          <w:szCs w:val="32"/>
        </w:rPr>
        <w:t>附表</w:t>
      </w:r>
    </w:p>
    <w:p>
      <w:pPr>
        <w:pStyle w:val="21"/>
        <w:widowControl w:val="0"/>
        <w:kinsoku w:val="0"/>
        <w:spacing w:before="0" w:beforeAutospacing="0" w:after="0" w:afterAutospacing="0"/>
        <w:jc w:val="center"/>
        <w:outlineLvl w:val="0"/>
        <w:rPr>
          <w:rFonts w:ascii="方正小标宋_GBK" w:hAnsi="黑体" w:eastAsia="方正小标宋_GBK"/>
          <w:b/>
          <w:bCs/>
          <w:snapToGrid w:val="0"/>
          <w:szCs w:val="24"/>
        </w:rPr>
      </w:pPr>
      <w:r>
        <w:rPr>
          <w:rFonts w:hint="eastAsia" w:ascii="方正小标宋_GBK" w:hAnsi="黑体" w:eastAsia="方正小标宋_GBK"/>
          <w:b/>
          <w:bCs/>
          <w:snapToGrid w:val="0"/>
          <w:szCs w:val="24"/>
        </w:rPr>
        <w:t>建设项目污染物排放量汇总表</w:t>
      </w:r>
    </w:p>
    <w:tbl>
      <w:tblPr>
        <w:tblW w:w="13816"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left w:w="108" w:type="dxa"/>
          <w:right w:w="108" w:type="dxa"/>
        </w:tblCellMar>
      </w:tblPr>
      <w:tblGrid>
        <w:gridCol w:w="1117"/>
        <w:gridCol w:w="1916"/>
        <w:gridCol w:w="1505"/>
        <w:gridCol w:w="1188"/>
        <w:gridCol w:w="1544"/>
        <w:gridCol w:w="1752"/>
        <w:gridCol w:w="1434"/>
        <w:gridCol w:w="2016"/>
        <w:gridCol w:w="1344"/>
      </w:tblGrid>
      <w:tr>
        <w:trPr>
          <w:trHeight w:val="963" w:hRule="atLeast"/>
          <w:jc w:val="center"/>
        </w:trPr>
        <w:tc>
          <w:tcPr>
            <w:tcW w:w="1117" w:type="dxa"/>
            <w:tcBorders>
              <w:tl2br w:val="single" w:color="auto" w:sz="4" w:space="0"/>
            </w:tcBorders>
            <w:tcMar>
              <w:left w:w="28" w:type="dxa"/>
              <w:right w:w="28" w:type="dxa"/>
            </w:tcMar>
            <w:vAlign w:val="center"/>
          </w:tcPr>
          <w:p>
            <w:pPr>
              <w:pStyle w:val="38"/>
              <w:adjustRightInd/>
              <w:snapToGrid/>
              <w:spacing w:beforeLines="0" w:line="0" w:lineRule="atLeast"/>
              <w:ind w:firstLine="0" w:firstLineChars="0"/>
              <w:jc w:val="right"/>
              <w:rPr>
                <w:rFonts w:hAnsi="宋体" w:cs="宋体"/>
                <w:b/>
                <w:bCs/>
                <w:i/>
                <w:iCs/>
                <w:snapToGrid w:val="0"/>
                <w:spacing w:val="-6"/>
                <w:kern w:val="21"/>
                <w:szCs w:val="21"/>
                <w:u w:val="single"/>
              </w:rPr>
            </w:pPr>
            <w:r>
              <w:rPr>
                <w:rFonts w:hint="eastAsia" w:hAnsi="宋体" w:cs="宋体"/>
                <w:b/>
                <w:bCs/>
                <w:i/>
                <w:iCs/>
                <w:snapToGrid w:val="0"/>
                <w:spacing w:val="-6"/>
                <w:kern w:val="21"/>
                <w:szCs w:val="21"/>
                <w:u w:val="single"/>
              </w:rPr>
              <w:t>项目</w:t>
            </w:r>
          </w:p>
          <w:p>
            <w:pPr>
              <w:pStyle w:val="38"/>
              <w:adjustRightInd/>
              <w:snapToGrid/>
              <w:spacing w:beforeLines="0" w:line="0" w:lineRule="atLeast"/>
              <w:ind w:firstLine="0" w:firstLineChars="0"/>
              <w:jc w:val="both"/>
              <w:rPr>
                <w:rFonts w:hAnsi="宋体" w:cs="宋体"/>
                <w:b/>
                <w:bCs/>
                <w:i/>
                <w:iCs/>
                <w:snapToGrid w:val="0"/>
                <w:spacing w:val="-6"/>
                <w:kern w:val="21"/>
                <w:szCs w:val="21"/>
                <w:u w:val="single"/>
              </w:rPr>
            </w:pPr>
            <w:r>
              <w:rPr>
                <w:rFonts w:hint="eastAsia" w:hAnsi="宋体" w:cs="宋体"/>
                <w:b/>
                <w:bCs/>
                <w:i/>
                <w:iCs/>
                <w:snapToGrid w:val="0"/>
                <w:spacing w:val="-6"/>
                <w:kern w:val="21"/>
                <w:szCs w:val="21"/>
                <w:u w:val="single"/>
              </w:rPr>
              <w:t>分类</w:t>
            </w:r>
          </w:p>
        </w:tc>
        <w:tc>
          <w:tcPr>
            <w:tcW w:w="1916" w:type="dxa"/>
            <w:tcMar>
              <w:left w:w="28" w:type="dxa"/>
              <w:right w:w="28" w:type="dxa"/>
            </w:tcMar>
            <w:vAlign w:val="center"/>
          </w:tcPr>
          <w:p>
            <w:pPr>
              <w:pStyle w:val="38"/>
              <w:adjustRightInd/>
              <w:snapToGrid/>
              <w:spacing w:beforeLines="0" w:line="0" w:lineRule="atLeast"/>
              <w:ind w:firstLine="0" w:firstLineChars="0"/>
              <w:rPr>
                <w:rFonts w:hAnsi="宋体" w:cs="宋体"/>
                <w:b/>
                <w:bCs/>
                <w:i/>
                <w:iCs/>
                <w:snapToGrid w:val="0"/>
                <w:spacing w:val="-6"/>
                <w:kern w:val="21"/>
                <w:szCs w:val="21"/>
                <w:u w:val="single"/>
              </w:rPr>
            </w:pPr>
            <w:r>
              <w:rPr>
                <w:rFonts w:hint="eastAsia" w:hAnsi="宋体" w:cs="宋体"/>
                <w:b/>
                <w:bCs/>
                <w:i/>
                <w:iCs/>
                <w:snapToGrid w:val="0"/>
                <w:spacing w:val="-6"/>
                <w:kern w:val="21"/>
                <w:szCs w:val="21"/>
                <w:u w:val="single"/>
              </w:rPr>
              <w:t>污染物名称</w:t>
            </w:r>
          </w:p>
        </w:tc>
        <w:tc>
          <w:tcPr>
            <w:tcW w:w="1505" w:type="dxa"/>
            <w:tcMar>
              <w:left w:w="28" w:type="dxa"/>
              <w:right w:w="28" w:type="dxa"/>
            </w:tcMar>
            <w:vAlign w:val="center"/>
          </w:tcPr>
          <w:p>
            <w:pPr>
              <w:pStyle w:val="38"/>
              <w:adjustRightInd/>
              <w:snapToGrid/>
              <w:spacing w:beforeLines="0" w:line="0" w:lineRule="atLeast"/>
              <w:ind w:firstLine="0" w:firstLineChars="0"/>
              <w:rPr>
                <w:rFonts w:hAnsi="宋体" w:cs="宋体"/>
                <w:b/>
                <w:bCs/>
                <w:i/>
                <w:iCs/>
                <w:snapToGrid w:val="0"/>
                <w:spacing w:val="-6"/>
                <w:kern w:val="21"/>
                <w:szCs w:val="21"/>
                <w:u w:val="single"/>
              </w:rPr>
            </w:pPr>
            <w:r>
              <w:rPr>
                <w:rFonts w:hint="eastAsia" w:hAnsi="宋体" w:cs="宋体"/>
                <w:b/>
                <w:bCs/>
                <w:i/>
                <w:iCs/>
                <w:snapToGrid w:val="0"/>
                <w:spacing w:val="-6"/>
                <w:kern w:val="21"/>
                <w:szCs w:val="21"/>
                <w:u w:val="single"/>
              </w:rPr>
              <w:t>现有工程排放量</w:t>
            </w:r>
          </w:p>
          <w:p>
            <w:pPr>
              <w:pStyle w:val="38"/>
              <w:adjustRightInd/>
              <w:snapToGrid/>
              <w:spacing w:beforeLines="0" w:line="0" w:lineRule="atLeast"/>
              <w:ind w:firstLine="0" w:firstLineChars="0"/>
              <w:rPr>
                <w:rFonts w:hAnsi="宋体" w:cs="宋体"/>
                <w:b/>
                <w:bCs/>
                <w:i/>
                <w:iCs/>
                <w:snapToGrid w:val="0"/>
                <w:spacing w:val="-6"/>
                <w:kern w:val="21"/>
                <w:szCs w:val="21"/>
                <w:u w:val="single"/>
              </w:rPr>
            </w:pPr>
            <w:r>
              <w:rPr>
                <w:rFonts w:hint="eastAsia" w:hAnsi="宋体" w:cs="宋体"/>
                <w:b/>
                <w:bCs/>
                <w:i/>
                <w:iCs/>
                <w:snapToGrid w:val="0"/>
                <w:spacing w:val="-6"/>
                <w:kern w:val="21"/>
                <w:szCs w:val="21"/>
                <w:u w:val="single"/>
              </w:rPr>
              <w:t>（固体废物产生量）</w:t>
            </w:r>
            <w:r>
              <w:rPr>
                <w:rFonts w:hint="eastAsia" w:hAnsi="宋体" w:cs="宋体"/>
                <w:b/>
                <w:bCs/>
                <w:i/>
                <w:iCs/>
                <w:snapToGrid w:val="0"/>
                <w:spacing w:val="-6"/>
                <w:kern w:val="21"/>
                <w:szCs w:val="21"/>
                <w:u w:val="single"/>
              </w:rPr>
              <w:fldChar w:fldCharType="begin"/>
            </w:r>
            <w:r>
              <w:rPr>
                <w:rFonts w:hint="eastAsia" w:hAnsi="宋体" w:cs="宋体"/>
                <w:b/>
                <w:bCs/>
                <w:i/>
                <w:iCs/>
                <w:snapToGrid w:val="0"/>
                <w:spacing w:val="-6"/>
                <w:kern w:val="21"/>
                <w:szCs w:val="21"/>
                <w:u w:val="single"/>
              </w:rPr>
              <w:instrText xml:space="preserve"> = 1 \* GB3 \* MERGEFORMAT </w:instrText>
            </w:r>
            <w:r>
              <w:rPr>
                <w:rFonts w:hint="eastAsia" w:hAnsi="宋体" w:cs="宋体"/>
                <w:b/>
                <w:bCs/>
                <w:i/>
                <w:iCs/>
                <w:snapToGrid w:val="0"/>
                <w:spacing w:val="-6"/>
                <w:kern w:val="21"/>
                <w:szCs w:val="21"/>
                <w:u w:val="single"/>
              </w:rPr>
              <w:fldChar w:fldCharType="separate"/>
            </w:r>
            <w:r>
              <w:rPr>
                <w:rFonts w:hint="eastAsia" w:hAnsi="宋体" w:cs="宋体"/>
                <w:b/>
                <w:bCs/>
                <w:i/>
                <w:iCs/>
                <w:kern w:val="2"/>
                <w:szCs w:val="21"/>
                <w:u w:val="single"/>
              </w:rPr>
              <w:t>①</w:t>
            </w:r>
            <w:r>
              <w:rPr>
                <w:rFonts w:hint="eastAsia" w:hAnsi="宋体" w:cs="宋体"/>
                <w:b/>
                <w:bCs/>
                <w:i/>
                <w:iCs/>
                <w:snapToGrid w:val="0"/>
                <w:spacing w:val="-6"/>
                <w:kern w:val="21"/>
                <w:szCs w:val="21"/>
                <w:u w:val="single"/>
              </w:rPr>
              <w:fldChar w:fldCharType="end"/>
            </w:r>
          </w:p>
        </w:tc>
        <w:tc>
          <w:tcPr>
            <w:tcW w:w="1188" w:type="dxa"/>
            <w:tcMar>
              <w:left w:w="28" w:type="dxa"/>
              <w:right w:w="28" w:type="dxa"/>
            </w:tcMar>
            <w:vAlign w:val="center"/>
          </w:tcPr>
          <w:p>
            <w:pPr>
              <w:pStyle w:val="38"/>
              <w:adjustRightInd/>
              <w:snapToGrid/>
              <w:spacing w:beforeLines="0" w:line="0" w:lineRule="atLeast"/>
              <w:ind w:firstLine="0" w:firstLineChars="0"/>
              <w:rPr>
                <w:rFonts w:hAnsi="宋体" w:cs="宋体"/>
                <w:b/>
                <w:bCs/>
                <w:i/>
                <w:iCs/>
                <w:snapToGrid w:val="0"/>
                <w:spacing w:val="-6"/>
                <w:kern w:val="21"/>
                <w:szCs w:val="21"/>
                <w:u w:val="single"/>
              </w:rPr>
            </w:pPr>
            <w:r>
              <w:rPr>
                <w:rFonts w:hint="eastAsia" w:hAnsi="宋体" w:cs="宋体"/>
                <w:b/>
                <w:bCs/>
                <w:i/>
                <w:iCs/>
                <w:snapToGrid w:val="0"/>
                <w:spacing w:val="-6"/>
                <w:kern w:val="21"/>
                <w:szCs w:val="21"/>
                <w:u w:val="single"/>
              </w:rPr>
              <w:t>现有工程</w:t>
            </w:r>
          </w:p>
          <w:p>
            <w:pPr>
              <w:pStyle w:val="38"/>
              <w:adjustRightInd/>
              <w:snapToGrid/>
              <w:spacing w:beforeLines="0" w:line="0" w:lineRule="atLeast"/>
              <w:ind w:firstLine="0" w:firstLineChars="0"/>
              <w:rPr>
                <w:rFonts w:hAnsi="宋体" w:cs="宋体"/>
                <w:b/>
                <w:bCs/>
                <w:i/>
                <w:iCs/>
                <w:snapToGrid w:val="0"/>
                <w:spacing w:val="-6"/>
                <w:kern w:val="21"/>
                <w:szCs w:val="21"/>
                <w:u w:val="single"/>
              </w:rPr>
            </w:pPr>
            <w:r>
              <w:rPr>
                <w:rFonts w:hint="eastAsia" w:hAnsi="宋体" w:cs="宋体"/>
                <w:b/>
                <w:bCs/>
                <w:i/>
                <w:iCs/>
                <w:snapToGrid w:val="0"/>
                <w:spacing w:val="-6"/>
                <w:kern w:val="21"/>
                <w:szCs w:val="21"/>
                <w:u w:val="single"/>
              </w:rPr>
              <w:t>许可排放量</w:t>
            </w:r>
          </w:p>
          <w:p>
            <w:pPr>
              <w:pStyle w:val="38"/>
              <w:adjustRightInd/>
              <w:snapToGrid/>
              <w:spacing w:beforeLines="0" w:line="0" w:lineRule="atLeast"/>
              <w:ind w:firstLine="0" w:firstLineChars="0"/>
              <w:rPr>
                <w:rFonts w:hAnsi="宋体" w:cs="宋体"/>
                <w:b/>
                <w:bCs/>
                <w:i/>
                <w:iCs/>
                <w:snapToGrid w:val="0"/>
                <w:spacing w:val="-6"/>
                <w:kern w:val="21"/>
                <w:szCs w:val="21"/>
                <w:u w:val="single"/>
              </w:rPr>
            </w:pPr>
            <w:r>
              <w:rPr>
                <w:rFonts w:hint="eastAsia" w:hAnsi="宋体" w:cs="宋体"/>
                <w:b/>
                <w:bCs/>
                <w:i/>
                <w:iCs/>
                <w:snapToGrid w:val="0"/>
                <w:spacing w:val="-6"/>
                <w:kern w:val="21"/>
                <w:szCs w:val="21"/>
                <w:u w:val="single"/>
              </w:rPr>
              <w:fldChar w:fldCharType="begin"/>
            </w:r>
            <w:r>
              <w:rPr>
                <w:rFonts w:hint="eastAsia" w:hAnsi="宋体" w:cs="宋体"/>
                <w:b/>
                <w:bCs/>
                <w:i/>
                <w:iCs/>
                <w:snapToGrid w:val="0"/>
                <w:spacing w:val="-6"/>
                <w:kern w:val="21"/>
                <w:szCs w:val="21"/>
                <w:u w:val="single"/>
              </w:rPr>
              <w:instrText xml:space="preserve"> = 2 \* GB3 \* MERGEFORMAT </w:instrText>
            </w:r>
            <w:r>
              <w:rPr>
                <w:rFonts w:hint="eastAsia" w:hAnsi="宋体" w:cs="宋体"/>
                <w:b/>
                <w:bCs/>
                <w:i/>
                <w:iCs/>
                <w:snapToGrid w:val="0"/>
                <w:spacing w:val="-6"/>
                <w:kern w:val="21"/>
                <w:szCs w:val="21"/>
                <w:u w:val="single"/>
              </w:rPr>
              <w:fldChar w:fldCharType="separate"/>
            </w:r>
            <w:r>
              <w:rPr>
                <w:rFonts w:hint="eastAsia" w:hAnsi="宋体" w:cs="宋体"/>
                <w:b/>
                <w:bCs/>
                <w:i/>
                <w:iCs/>
                <w:snapToGrid w:val="0"/>
                <w:spacing w:val="-6"/>
                <w:kern w:val="21"/>
                <w:szCs w:val="21"/>
                <w:u w:val="single"/>
              </w:rPr>
              <w:t>②</w:t>
            </w:r>
            <w:r>
              <w:rPr>
                <w:rFonts w:hint="eastAsia" w:hAnsi="宋体" w:cs="宋体"/>
                <w:b/>
                <w:bCs/>
                <w:i/>
                <w:iCs/>
                <w:snapToGrid w:val="0"/>
                <w:spacing w:val="-6"/>
                <w:kern w:val="21"/>
                <w:szCs w:val="21"/>
                <w:u w:val="single"/>
              </w:rPr>
              <w:fldChar w:fldCharType="end"/>
            </w:r>
          </w:p>
        </w:tc>
        <w:tc>
          <w:tcPr>
            <w:tcW w:w="1544" w:type="dxa"/>
            <w:tcMar>
              <w:left w:w="28" w:type="dxa"/>
              <w:right w:w="28" w:type="dxa"/>
            </w:tcMar>
            <w:vAlign w:val="center"/>
          </w:tcPr>
          <w:p>
            <w:pPr>
              <w:pStyle w:val="38"/>
              <w:adjustRightInd/>
              <w:snapToGrid/>
              <w:spacing w:beforeLines="0" w:line="0" w:lineRule="atLeast"/>
              <w:ind w:firstLine="0" w:firstLineChars="0"/>
              <w:rPr>
                <w:rFonts w:hAnsi="宋体" w:cs="宋体"/>
                <w:b/>
                <w:bCs/>
                <w:i/>
                <w:iCs/>
                <w:snapToGrid w:val="0"/>
                <w:spacing w:val="-6"/>
                <w:kern w:val="21"/>
                <w:szCs w:val="21"/>
                <w:u w:val="single"/>
              </w:rPr>
            </w:pPr>
            <w:r>
              <w:rPr>
                <w:rFonts w:hint="eastAsia" w:hAnsi="宋体" w:cs="宋体"/>
                <w:b/>
                <w:bCs/>
                <w:i/>
                <w:iCs/>
                <w:snapToGrid w:val="0"/>
                <w:spacing w:val="-6"/>
                <w:kern w:val="21"/>
                <w:szCs w:val="21"/>
                <w:u w:val="single"/>
              </w:rPr>
              <w:t>在建工程排放量</w:t>
            </w:r>
          </w:p>
          <w:p>
            <w:pPr>
              <w:pStyle w:val="38"/>
              <w:adjustRightInd/>
              <w:snapToGrid/>
              <w:spacing w:beforeLines="0" w:line="0" w:lineRule="atLeast"/>
              <w:ind w:firstLine="0" w:firstLineChars="0"/>
              <w:rPr>
                <w:rFonts w:hAnsi="宋体" w:cs="宋体"/>
                <w:b/>
                <w:bCs/>
                <w:i/>
                <w:iCs/>
                <w:snapToGrid w:val="0"/>
                <w:spacing w:val="-6"/>
                <w:kern w:val="21"/>
                <w:szCs w:val="21"/>
                <w:u w:val="single"/>
              </w:rPr>
            </w:pPr>
            <w:r>
              <w:rPr>
                <w:rFonts w:hint="eastAsia" w:hAnsi="宋体" w:cs="宋体"/>
                <w:b/>
                <w:bCs/>
                <w:i/>
                <w:iCs/>
                <w:snapToGrid w:val="0"/>
                <w:spacing w:val="-6"/>
                <w:kern w:val="21"/>
                <w:szCs w:val="21"/>
                <w:u w:val="single"/>
              </w:rPr>
              <w:t>（固体废物产生量）</w:t>
            </w:r>
            <w:r>
              <w:rPr>
                <w:rFonts w:hint="eastAsia" w:hAnsi="宋体" w:cs="宋体"/>
                <w:b/>
                <w:bCs/>
                <w:i/>
                <w:iCs/>
                <w:snapToGrid w:val="0"/>
                <w:spacing w:val="-6"/>
                <w:kern w:val="21"/>
                <w:szCs w:val="21"/>
                <w:u w:val="single"/>
              </w:rPr>
              <w:fldChar w:fldCharType="begin"/>
            </w:r>
            <w:r>
              <w:rPr>
                <w:rFonts w:hint="eastAsia" w:hAnsi="宋体" w:cs="宋体"/>
                <w:b/>
                <w:bCs/>
                <w:i/>
                <w:iCs/>
                <w:snapToGrid w:val="0"/>
                <w:spacing w:val="-6"/>
                <w:kern w:val="21"/>
                <w:szCs w:val="21"/>
                <w:u w:val="single"/>
              </w:rPr>
              <w:instrText xml:space="preserve"> = 3 \* GB3 \* MERGEFORMAT </w:instrText>
            </w:r>
            <w:r>
              <w:rPr>
                <w:rFonts w:hint="eastAsia" w:hAnsi="宋体" w:cs="宋体"/>
                <w:b/>
                <w:bCs/>
                <w:i/>
                <w:iCs/>
                <w:snapToGrid w:val="0"/>
                <w:spacing w:val="-6"/>
                <w:kern w:val="21"/>
                <w:szCs w:val="21"/>
                <w:u w:val="single"/>
              </w:rPr>
              <w:fldChar w:fldCharType="separate"/>
            </w:r>
            <w:r>
              <w:rPr>
                <w:rFonts w:hint="eastAsia" w:hAnsi="宋体" w:cs="宋体"/>
                <w:b/>
                <w:bCs/>
                <w:i/>
                <w:iCs/>
                <w:kern w:val="2"/>
                <w:szCs w:val="21"/>
                <w:u w:val="single"/>
              </w:rPr>
              <w:t>③</w:t>
            </w:r>
            <w:r>
              <w:rPr>
                <w:rFonts w:hint="eastAsia" w:hAnsi="宋体" w:cs="宋体"/>
                <w:b/>
                <w:bCs/>
                <w:i/>
                <w:iCs/>
                <w:snapToGrid w:val="0"/>
                <w:spacing w:val="-6"/>
                <w:kern w:val="21"/>
                <w:szCs w:val="21"/>
                <w:u w:val="single"/>
              </w:rPr>
              <w:fldChar w:fldCharType="end"/>
            </w:r>
          </w:p>
        </w:tc>
        <w:tc>
          <w:tcPr>
            <w:tcW w:w="1752" w:type="dxa"/>
            <w:tcMar>
              <w:left w:w="28" w:type="dxa"/>
              <w:right w:w="28" w:type="dxa"/>
            </w:tcMar>
            <w:vAlign w:val="center"/>
          </w:tcPr>
          <w:p>
            <w:pPr>
              <w:pStyle w:val="38"/>
              <w:adjustRightInd/>
              <w:snapToGrid/>
              <w:spacing w:beforeLines="0" w:line="0" w:lineRule="atLeast"/>
              <w:ind w:firstLine="0" w:firstLineChars="0"/>
              <w:rPr>
                <w:rFonts w:hAnsi="宋体" w:cs="宋体"/>
                <w:b/>
                <w:bCs/>
                <w:i/>
                <w:iCs/>
                <w:snapToGrid w:val="0"/>
                <w:spacing w:val="-6"/>
                <w:kern w:val="21"/>
                <w:szCs w:val="21"/>
                <w:u w:val="single"/>
              </w:rPr>
            </w:pPr>
            <w:r>
              <w:rPr>
                <w:rFonts w:hint="eastAsia" w:hAnsi="宋体" w:cs="宋体"/>
                <w:b/>
                <w:bCs/>
                <w:i/>
                <w:iCs/>
                <w:snapToGrid w:val="0"/>
                <w:spacing w:val="-6"/>
                <w:kern w:val="21"/>
                <w:szCs w:val="21"/>
                <w:u w:val="single"/>
              </w:rPr>
              <w:t>本项目排放量</w:t>
            </w:r>
          </w:p>
          <w:p>
            <w:pPr>
              <w:pStyle w:val="38"/>
              <w:adjustRightInd/>
              <w:snapToGrid/>
              <w:spacing w:beforeLines="0" w:line="0" w:lineRule="atLeast"/>
              <w:ind w:firstLine="0" w:firstLineChars="0"/>
              <w:rPr>
                <w:rFonts w:hAnsi="宋体" w:cs="宋体"/>
                <w:b/>
                <w:bCs/>
                <w:i/>
                <w:iCs/>
                <w:snapToGrid w:val="0"/>
                <w:spacing w:val="-6"/>
                <w:kern w:val="21"/>
                <w:szCs w:val="21"/>
                <w:u w:val="single"/>
              </w:rPr>
            </w:pPr>
            <w:r>
              <w:rPr>
                <w:rFonts w:hint="eastAsia" w:hAnsi="宋体" w:cs="宋体"/>
                <w:b/>
                <w:bCs/>
                <w:i/>
                <w:iCs/>
                <w:snapToGrid w:val="0"/>
                <w:spacing w:val="-6"/>
                <w:kern w:val="21"/>
                <w:szCs w:val="21"/>
                <w:u w:val="single"/>
              </w:rPr>
              <w:t>（固体废物产生量）</w:t>
            </w:r>
          </w:p>
          <w:p>
            <w:pPr>
              <w:pStyle w:val="38"/>
              <w:adjustRightInd/>
              <w:snapToGrid/>
              <w:spacing w:beforeLines="0" w:line="0" w:lineRule="atLeast"/>
              <w:ind w:firstLine="0" w:firstLineChars="0"/>
              <w:rPr>
                <w:rFonts w:hAnsi="宋体" w:cs="宋体"/>
                <w:b/>
                <w:bCs/>
                <w:i/>
                <w:iCs/>
                <w:snapToGrid w:val="0"/>
                <w:spacing w:val="-6"/>
                <w:kern w:val="21"/>
                <w:szCs w:val="21"/>
                <w:u w:val="single"/>
              </w:rPr>
            </w:pPr>
            <w:r>
              <w:rPr>
                <w:rFonts w:hint="eastAsia" w:hAnsi="宋体" w:cs="宋体"/>
                <w:b/>
                <w:bCs/>
                <w:i/>
                <w:iCs/>
                <w:snapToGrid w:val="0"/>
                <w:spacing w:val="-6"/>
                <w:kern w:val="21"/>
                <w:szCs w:val="21"/>
                <w:u w:val="single"/>
              </w:rPr>
              <w:fldChar w:fldCharType="begin"/>
            </w:r>
            <w:r>
              <w:rPr>
                <w:rFonts w:hint="eastAsia" w:hAnsi="宋体" w:cs="宋体"/>
                <w:b/>
                <w:bCs/>
                <w:i/>
                <w:iCs/>
                <w:snapToGrid w:val="0"/>
                <w:spacing w:val="-6"/>
                <w:kern w:val="21"/>
                <w:szCs w:val="21"/>
                <w:u w:val="single"/>
              </w:rPr>
              <w:instrText xml:space="preserve"> = 4 \* GB3 \* MERGEFORMAT </w:instrText>
            </w:r>
            <w:r>
              <w:rPr>
                <w:rFonts w:hint="eastAsia" w:hAnsi="宋体" w:cs="宋体"/>
                <w:b/>
                <w:bCs/>
                <w:i/>
                <w:iCs/>
                <w:snapToGrid w:val="0"/>
                <w:spacing w:val="-6"/>
                <w:kern w:val="21"/>
                <w:szCs w:val="21"/>
                <w:u w:val="single"/>
              </w:rPr>
              <w:fldChar w:fldCharType="separate"/>
            </w:r>
            <w:r>
              <w:rPr>
                <w:rFonts w:hint="eastAsia" w:hAnsi="宋体" w:cs="宋体"/>
                <w:b/>
                <w:bCs/>
                <w:i/>
                <w:iCs/>
                <w:kern w:val="2"/>
                <w:szCs w:val="21"/>
                <w:u w:val="single"/>
              </w:rPr>
              <w:t>④</w:t>
            </w:r>
            <w:r>
              <w:rPr>
                <w:rFonts w:hint="eastAsia" w:hAnsi="宋体" w:cs="宋体"/>
                <w:b/>
                <w:bCs/>
                <w:i/>
                <w:iCs/>
                <w:snapToGrid w:val="0"/>
                <w:spacing w:val="-6"/>
                <w:kern w:val="21"/>
                <w:szCs w:val="21"/>
                <w:u w:val="single"/>
              </w:rPr>
              <w:fldChar w:fldCharType="end"/>
            </w:r>
          </w:p>
        </w:tc>
        <w:tc>
          <w:tcPr>
            <w:tcW w:w="1434" w:type="dxa"/>
            <w:tcMar>
              <w:left w:w="28" w:type="dxa"/>
              <w:right w:w="28" w:type="dxa"/>
            </w:tcMar>
            <w:vAlign w:val="center"/>
          </w:tcPr>
          <w:p>
            <w:pPr>
              <w:pStyle w:val="38"/>
              <w:adjustRightInd/>
              <w:snapToGrid/>
              <w:spacing w:beforeLines="0" w:line="0" w:lineRule="atLeast"/>
              <w:ind w:firstLine="0" w:firstLineChars="0"/>
              <w:rPr>
                <w:rFonts w:hAnsi="宋体" w:cs="宋体"/>
                <w:b/>
                <w:bCs/>
                <w:i/>
                <w:iCs/>
                <w:snapToGrid w:val="0"/>
                <w:spacing w:val="-16"/>
                <w:kern w:val="21"/>
                <w:szCs w:val="21"/>
                <w:u w:val="single"/>
              </w:rPr>
            </w:pPr>
            <w:r>
              <w:rPr>
                <w:rFonts w:hint="eastAsia" w:hAnsi="宋体" w:cs="宋体"/>
                <w:b/>
                <w:bCs/>
                <w:i/>
                <w:iCs/>
                <w:snapToGrid w:val="0"/>
                <w:spacing w:val="-16"/>
                <w:kern w:val="21"/>
                <w:szCs w:val="21"/>
                <w:u w:val="single"/>
              </w:rPr>
              <w:t>以新带老削减量</w:t>
            </w:r>
          </w:p>
          <w:p>
            <w:pPr>
              <w:pStyle w:val="38"/>
              <w:adjustRightInd/>
              <w:snapToGrid/>
              <w:spacing w:beforeLines="0" w:line="0" w:lineRule="atLeast"/>
              <w:ind w:firstLine="0" w:firstLineChars="0"/>
              <w:rPr>
                <w:rFonts w:hAnsi="宋体" w:cs="宋体"/>
                <w:b/>
                <w:bCs/>
                <w:i/>
                <w:iCs/>
                <w:snapToGrid w:val="0"/>
                <w:spacing w:val="-16"/>
                <w:kern w:val="21"/>
                <w:szCs w:val="21"/>
                <w:u w:val="single"/>
              </w:rPr>
            </w:pPr>
            <w:r>
              <w:rPr>
                <w:rFonts w:hint="eastAsia" w:hAnsi="宋体" w:cs="宋体"/>
                <w:b/>
                <w:bCs/>
                <w:i/>
                <w:iCs/>
                <w:snapToGrid w:val="0"/>
                <w:spacing w:val="-16"/>
                <w:kern w:val="21"/>
                <w:szCs w:val="21"/>
                <w:u w:val="single"/>
              </w:rPr>
              <w:t>（新建项目不填）</w:t>
            </w:r>
          </w:p>
          <w:p>
            <w:pPr>
              <w:pStyle w:val="38"/>
              <w:adjustRightInd/>
              <w:snapToGrid/>
              <w:spacing w:beforeLines="0" w:line="0" w:lineRule="atLeast"/>
              <w:ind w:firstLine="0" w:firstLineChars="0"/>
              <w:rPr>
                <w:rFonts w:hAnsi="宋体" w:cs="宋体"/>
                <w:b/>
                <w:bCs/>
                <w:i/>
                <w:iCs/>
                <w:snapToGrid w:val="0"/>
                <w:spacing w:val="-16"/>
                <w:kern w:val="21"/>
                <w:szCs w:val="21"/>
                <w:u w:val="single"/>
              </w:rPr>
            </w:pPr>
            <w:r>
              <w:rPr>
                <w:rFonts w:hint="eastAsia" w:hAnsi="宋体" w:cs="宋体"/>
                <w:b/>
                <w:bCs/>
                <w:i/>
                <w:iCs/>
                <w:snapToGrid w:val="0"/>
                <w:spacing w:val="-16"/>
                <w:kern w:val="21"/>
                <w:szCs w:val="21"/>
                <w:u w:val="single"/>
              </w:rPr>
              <w:fldChar w:fldCharType="begin"/>
            </w:r>
            <w:r>
              <w:rPr>
                <w:rFonts w:hint="eastAsia" w:hAnsi="宋体" w:cs="宋体"/>
                <w:b/>
                <w:bCs/>
                <w:i/>
                <w:iCs/>
                <w:snapToGrid w:val="0"/>
                <w:spacing w:val="-16"/>
                <w:kern w:val="21"/>
                <w:szCs w:val="21"/>
                <w:u w:val="single"/>
              </w:rPr>
              <w:instrText xml:space="preserve"> = 5 \* GB3 \* MERGEFORMAT </w:instrText>
            </w:r>
            <w:r>
              <w:rPr>
                <w:rFonts w:hint="eastAsia" w:hAnsi="宋体" w:cs="宋体"/>
                <w:b/>
                <w:bCs/>
                <w:i/>
                <w:iCs/>
                <w:snapToGrid w:val="0"/>
                <w:spacing w:val="-16"/>
                <w:kern w:val="21"/>
                <w:szCs w:val="21"/>
                <w:u w:val="single"/>
              </w:rPr>
              <w:fldChar w:fldCharType="separate"/>
            </w:r>
            <w:r>
              <w:rPr>
                <w:rFonts w:hint="eastAsia" w:hAnsi="宋体" w:cs="宋体"/>
                <w:b/>
                <w:bCs/>
                <w:i/>
                <w:iCs/>
                <w:kern w:val="2"/>
                <w:szCs w:val="21"/>
                <w:u w:val="single"/>
              </w:rPr>
              <w:t>⑤</w:t>
            </w:r>
            <w:r>
              <w:rPr>
                <w:rFonts w:hint="eastAsia" w:hAnsi="宋体" w:cs="宋体"/>
                <w:b/>
                <w:bCs/>
                <w:i/>
                <w:iCs/>
                <w:snapToGrid w:val="0"/>
                <w:spacing w:val="-16"/>
                <w:kern w:val="21"/>
                <w:szCs w:val="21"/>
                <w:u w:val="single"/>
              </w:rPr>
              <w:fldChar w:fldCharType="end"/>
            </w:r>
          </w:p>
        </w:tc>
        <w:tc>
          <w:tcPr>
            <w:tcW w:w="2016" w:type="dxa"/>
            <w:tcMar>
              <w:left w:w="28" w:type="dxa"/>
              <w:right w:w="28" w:type="dxa"/>
            </w:tcMar>
            <w:vAlign w:val="center"/>
          </w:tcPr>
          <w:p>
            <w:pPr>
              <w:pStyle w:val="38"/>
              <w:adjustRightInd/>
              <w:snapToGrid/>
              <w:spacing w:beforeLines="0" w:line="0" w:lineRule="atLeast"/>
              <w:ind w:firstLine="0" w:firstLineChars="0"/>
              <w:rPr>
                <w:rFonts w:hAnsi="宋体" w:cs="宋体"/>
                <w:b/>
                <w:bCs/>
                <w:i/>
                <w:iCs/>
                <w:snapToGrid w:val="0"/>
                <w:spacing w:val="-16"/>
                <w:kern w:val="21"/>
                <w:szCs w:val="21"/>
                <w:u w:val="single"/>
              </w:rPr>
            </w:pPr>
            <w:r>
              <w:rPr>
                <w:rFonts w:hint="eastAsia" w:hAnsi="宋体" w:cs="宋体"/>
                <w:b/>
                <w:bCs/>
                <w:i/>
                <w:iCs/>
                <w:snapToGrid w:val="0"/>
                <w:spacing w:val="-16"/>
                <w:kern w:val="21"/>
                <w:szCs w:val="21"/>
                <w:u w:val="single"/>
              </w:rPr>
              <w:t>本项目建成后全厂排放量（固体废物产生量）</w:t>
            </w:r>
          </w:p>
          <w:p>
            <w:pPr>
              <w:pStyle w:val="38"/>
              <w:adjustRightInd/>
              <w:snapToGrid/>
              <w:spacing w:beforeLines="0" w:line="0" w:lineRule="atLeast"/>
              <w:ind w:firstLine="0" w:firstLineChars="0"/>
              <w:rPr>
                <w:rFonts w:hAnsi="宋体" w:cs="宋体"/>
                <w:b/>
                <w:bCs/>
                <w:i/>
                <w:iCs/>
                <w:snapToGrid w:val="0"/>
                <w:spacing w:val="-16"/>
                <w:kern w:val="21"/>
                <w:szCs w:val="21"/>
                <w:u w:val="single"/>
              </w:rPr>
            </w:pPr>
            <w:r>
              <w:rPr>
                <w:rFonts w:hint="eastAsia" w:hAnsi="宋体" w:cs="宋体"/>
                <w:b/>
                <w:bCs/>
                <w:i/>
                <w:iCs/>
                <w:snapToGrid w:val="0"/>
                <w:spacing w:val="-16"/>
                <w:kern w:val="21"/>
                <w:szCs w:val="21"/>
                <w:u w:val="single"/>
              </w:rPr>
              <w:fldChar w:fldCharType="begin"/>
            </w:r>
            <w:r>
              <w:rPr>
                <w:rFonts w:hint="eastAsia" w:hAnsi="宋体" w:cs="宋体"/>
                <w:b/>
                <w:bCs/>
                <w:i/>
                <w:iCs/>
                <w:snapToGrid w:val="0"/>
                <w:spacing w:val="-16"/>
                <w:kern w:val="21"/>
                <w:szCs w:val="21"/>
                <w:u w:val="single"/>
              </w:rPr>
              <w:instrText xml:space="preserve"> = 6 \* GB3 \* MERGEFORMAT </w:instrText>
            </w:r>
            <w:r>
              <w:rPr>
                <w:rFonts w:hint="eastAsia" w:hAnsi="宋体" w:cs="宋体"/>
                <w:b/>
                <w:bCs/>
                <w:i/>
                <w:iCs/>
                <w:snapToGrid w:val="0"/>
                <w:spacing w:val="-16"/>
                <w:kern w:val="21"/>
                <w:szCs w:val="21"/>
                <w:u w:val="single"/>
              </w:rPr>
              <w:fldChar w:fldCharType="separate"/>
            </w:r>
            <w:r>
              <w:rPr>
                <w:rFonts w:hint="eastAsia" w:hAnsi="宋体" w:cs="宋体"/>
                <w:b/>
                <w:bCs/>
                <w:i/>
                <w:iCs/>
                <w:kern w:val="2"/>
                <w:szCs w:val="21"/>
                <w:u w:val="single"/>
              </w:rPr>
              <w:t>⑥</w:t>
            </w:r>
            <w:r>
              <w:rPr>
                <w:rFonts w:hint="eastAsia" w:hAnsi="宋体" w:cs="宋体"/>
                <w:b/>
                <w:bCs/>
                <w:i/>
                <w:iCs/>
                <w:snapToGrid w:val="0"/>
                <w:spacing w:val="-16"/>
                <w:kern w:val="21"/>
                <w:szCs w:val="21"/>
                <w:u w:val="single"/>
              </w:rPr>
              <w:fldChar w:fldCharType="end"/>
            </w:r>
          </w:p>
        </w:tc>
        <w:tc>
          <w:tcPr>
            <w:tcW w:w="1344" w:type="dxa"/>
            <w:tcMar>
              <w:left w:w="28" w:type="dxa"/>
              <w:right w:w="28" w:type="dxa"/>
            </w:tcMar>
            <w:vAlign w:val="center"/>
          </w:tcPr>
          <w:p>
            <w:pPr>
              <w:pStyle w:val="38"/>
              <w:adjustRightInd/>
              <w:snapToGrid/>
              <w:spacing w:beforeLines="0" w:line="0" w:lineRule="atLeast"/>
              <w:ind w:firstLine="0" w:firstLineChars="0"/>
              <w:rPr>
                <w:rFonts w:hAnsi="宋体" w:cs="宋体"/>
                <w:b/>
                <w:bCs/>
                <w:i/>
                <w:iCs/>
                <w:snapToGrid w:val="0"/>
                <w:spacing w:val="-6"/>
                <w:kern w:val="21"/>
                <w:szCs w:val="21"/>
                <w:u w:val="single"/>
              </w:rPr>
            </w:pPr>
            <w:r>
              <w:rPr>
                <w:rFonts w:hint="eastAsia" w:hAnsi="宋体" w:cs="宋体"/>
                <w:b/>
                <w:bCs/>
                <w:i/>
                <w:iCs/>
                <w:snapToGrid w:val="0"/>
                <w:spacing w:val="-6"/>
                <w:kern w:val="21"/>
                <w:szCs w:val="21"/>
                <w:u w:val="single"/>
              </w:rPr>
              <w:t>变化量</w:t>
            </w:r>
          </w:p>
          <w:p>
            <w:pPr>
              <w:pStyle w:val="38"/>
              <w:adjustRightInd/>
              <w:snapToGrid/>
              <w:spacing w:beforeLines="0" w:line="0" w:lineRule="atLeast"/>
              <w:ind w:firstLine="0" w:firstLineChars="0"/>
              <w:rPr>
                <w:rFonts w:hAnsi="宋体" w:cs="宋体"/>
                <w:b/>
                <w:bCs/>
                <w:i/>
                <w:iCs/>
                <w:snapToGrid w:val="0"/>
                <w:spacing w:val="-6"/>
                <w:kern w:val="21"/>
                <w:szCs w:val="21"/>
                <w:u w:val="single"/>
              </w:rPr>
            </w:pPr>
            <w:r>
              <w:rPr>
                <w:rFonts w:hint="eastAsia" w:hAnsi="宋体" w:cs="宋体"/>
                <w:b/>
                <w:bCs/>
                <w:i/>
                <w:iCs/>
                <w:snapToGrid w:val="0"/>
                <w:spacing w:val="-6"/>
                <w:kern w:val="21"/>
                <w:szCs w:val="21"/>
                <w:u w:val="single"/>
              </w:rPr>
              <w:t>⑦</w:t>
            </w:r>
          </w:p>
        </w:tc>
      </w:tr>
      <w:tr>
        <w:trPr>
          <w:trHeight w:val="340" w:hRule="atLeast"/>
          <w:jc w:val="center"/>
        </w:trPr>
        <w:tc>
          <w:tcPr>
            <w:tcW w:w="1117" w:type="dxa"/>
            <w:vMerge w:val="restart"/>
            <w:vAlign w:val="center"/>
          </w:tcPr>
          <w:p>
            <w:pPr>
              <w:pStyle w:val="38"/>
              <w:adjustRightInd/>
              <w:snapToGrid/>
              <w:spacing w:beforeLines="0" w:line="0" w:lineRule="atLeast"/>
              <w:ind w:firstLine="0" w:firstLineChars="0"/>
              <w:rPr>
                <w:rFonts w:hAnsi="宋体" w:cs="宋体"/>
                <w:i/>
                <w:iCs/>
                <w:snapToGrid w:val="0"/>
                <w:kern w:val="21"/>
                <w:szCs w:val="21"/>
                <w:u w:val="single"/>
              </w:rPr>
            </w:pPr>
            <w:r>
              <w:rPr>
                <w:rFonts w:hint="eastAsia" w:hAnsi="宋体" w:cs="宋体"/>
                <w:i/>
                <w:iCs/>
                <w:snapToGrid w:val="0"/>
                <w:kern w:val="21"/>
                <w:szCs w:val="21"/>
                <w:u w:val="single"/>
              </w:rPr>
              <w:t>废气</w:t>
            </w:r>
          </w:p>
        </w:tc>
        <w:tc>
          <w:tcPr>
            <w:tcW w:w="1916" w:type="dxa"/>
            <w:vAlign w:val="center"/>
          </w:tcPr>
          <w:p>
            <w:pPr>
              <w:pStyle w:val="38"/>
              <w:adjustRightInd/>
              <w:snapToGrid/>
              <w:spacing w:beforeLines="0" w:line="0" w:lineRule="atLeast"/>
              <w:ind w:firstLine="0" w:firstLineChars="0"/>
              <w:rPr>
                <w:rFonts w:hAnsi="宋体" w:cs="宋体"/>
                <w:i/>
                <w:iCs/>
                <w:snapToGrid w:val="0"/>
                <w:kern w:val="21"/>
                <w:szCs w:val="21"/>
                <w:u w:val="single"/>
              </w:rPr>
            </w:pPr>
            <w:r>
              <w:rPr>
                <w:rFonts w:hint="eastAsia" w:hAnsi="宋体" w:cs="宋体"/>
                <w:i/>
                <w:iCs/>
                <w:snapToGrid w:val="0"/>
                <w:kern w:val="21"/>
                <w:szCs w:val="21"/>
                <w:u w:val="single"/>
              </w:rPr>
              <w:t>颗粒物</w:t>
            </w:r>
          </w:p>
        </w:tc>
        <w:tc>
          <w:tcPr>
            <w:tcW w:w="1505" w:type="dxa"/>
            <w:vAlign w:val="center"/>
          </w:tcPr>
          <w:p>
            <w:pPr>
              <w:spacing w:line="0" w:lineRule="atLeast"/>
              <w:jc w:val="center"/>
              <w:rPr>
                <w:rFonts w:ascii="宋体" w:hAnsi="宋体" w:cs="宋体"/>
                <w:i/>
                <w:iCs/>
                <w:snapToGrid w:val="0"/>
                <w:kern w:val="21"/>
                <w:szCs w:val="21"/>
                <w:u w:val="single"/>
              </w:rPr>
            </w:pPr>
            <w:r>
              <w:rPr>
                <w:rFonts w:hint="eastAsia" w:ascii="宋体" w:hAnsi="宋体" w:cs="宋体"/>
                <w:i/>
                <w:iCs/>
                <w:snapToGrid w:val="0"/>
                <w:kern w:val="21"/>
                <w:szCs w:val="21"/>
                <w:u w:val="single"/>
              </w:rPr>
              <w:t>——</w:t>
            </w:r>
          </w:p>
        </w:tc>
        <w:tc>
          <w:tcPr>
            <w:tcW w:w="1188" w:type="dxa"/>
            <w:vAlign w:val="center"/>
          </w:tcPr>
          <w:p>
            <w:pPr>
              <w:spacing w:line="0" w:lineRule="atLeast"/>
              <w:jc w:val="center"/>
              <w:rPr>
                <w:rFonts w:ascii="宋体" w:hAnsi="宋体" w:cs="宋体"/>
                <w:i/>
                <w:iCs/>
                <w:snapToGrid w:val="0"/>
                <w:kern w:val="21"/>
                <w:szCs w:val="21"/>
                <w:u w:val="single"/>
              </w:rPr>
            </w:pPr>
            <w:r>
              <w:rPr>
                <w:rFonts w:hint="eastAsia" w:ascii="宋体" w:hAnsi="宋体" w:cs="宋体"/>
                <w:i/>
                <w:iCs/>
                <w:snapToGrid w:val="0"/>
                <w:kern w:val="21"/>
                <w:szCs w:val="21"/>
                <w:u w:val="single"/>
              </w:rPr>
              <w:t>——</w:t>
            </w:r>
          </w:p>
        </w:tc>
        <w:tc>
          <w:tcPr>
            <w:tcW w:w="1544" w:type="dxa"/>
            <w:vAlign w:val="center"/>
          </w:tcPr>
          <w:p>
            <w:pPr>
              <w:spacing w:line="0" w:lineRule="atLeast"/>
              <w:jc w:val="center"/>
              <w:rPr>
                <w:rFonts w:ascii="宋体" w:hAnsi="宋体" w:cs="宋体"/>
                <w:i/>
                <w:iCs/>
                <w:snapToGrid w:val="0"/>
                <w:kern w:val="21"/>
                <w:szCs w:val="21"/>
                <w:u w:val="single"/>
              </w:rPr>
            </w:pPr>
            <w:r>
              <w:rPr>
                <w:rFonts w:hint="eastAsia" w:ascii="宋体" w:hAnsi="宋体" w:cs="宋体"/>
                <w:i/>
                <w:iCs/>
                <w:snapToGrid w:val="0"/>
                <w:kern w:val="21"/>
                <w:szCs w:val="21"/>
                <w:u w:val="single"/>
              </w:rPr>
              <w:t>——</w:t>
            </w:r>
          </w:p>
        </w:tc>
        <w:tc>
          <w:tcPr>
            <w:tcW w:w="1752" w:type="dxa"/>
            <w:vAlign w:val="center"/>
          </w:tcPr>
          <w:p>
            <w:pPr>
              <w:spacing w:line="0" w:lineRule="atLeast"/>
              <w:jc w:val="center"/>
              <w:rPr>
                <w:rFonts w:ascii="宋体" w:hAnsi="宋体" w:cs="宋体"/>
                <w:i/>
                <w:iCs/>
                <w:snapToGrid w:val="0"/>
                <w:kern w:val="21"/>
                <w:szCs w:val="21"/>
                <w:u w:val="single"/>
              </w:rPr>
            </w:pPr>
            <w:r>
              <w:rPr>
                <w:rFonts w:hint="eastAsia" w:ascii="宋体" w:hAnsi="宋体" w:cs="宋体"/>
                <w:i/>
                <w:iCs/>
                <w:snapToGrid w:val="0"/>
                <w:kern w:val="21"/>
                <w:szCs w:val="21"/>
                <w:u w:val="single"/>
              </w:rPr>
              <w:t>0.0023</w:t>
            </w:r>
          </w:p>
        </w:tc>
        <w:tc>
          <w:tcPr>
            <w:tcW w:w="1434" w:type="dxa"/>
            <w:vAlign w:val="center"/>
          </w:tcPr>
          <w:p>
            <w:pPr>
              <w:spacing w:line="0" w:lineRule="atLeast"/>
              <w:jc w:val="center"/>
              <w:rPr>
                <w:rFonts w:ascii="宋体" w:hAnsi="宋体" w:cs="宋体"/>
                <w:i/>
                <w:iCs/>
                <w:snapToGrid w:val="0"/>
                <w:kern w:val="21"/>
                <w:szCs w:val="21"/>
                <w:u w:val="single"/>
              </w:rPr>
            </w:pPr>
            <w:r>
              <w:rPr>
                <w:rFonts w:hint="eastAsia" w:ascii="宋体" w:hAnsi="宋体" w:cs="宋体"/>
                <w:i/>
                <w:iCs/>
                <w:snapToGrid w:val="0"/>
                <w:kern w:val="21"/>
                <w:szCs w:val="21"/>
                <w:u w:val="single"/>
              </w:rPr>
              <w:t>——</w:t>
            </w:r>
          </w:p>
        </w:tc>
        <w:tc>
          <w:tcPr>
            <w:tcW w:w="2016" w:type="dxa"/>
            <w:vAlign w:val="center"/>
          </w:tcPr>
          <w:p>
            <w:pPr>
              <w:spacing w:line="0" w:lineRule="atLeast"/>
              <w:jc w:val="center"/>
              <w:rPr>
                <w:rFonts w:ascii="宋体" w:hAnsi="宋体" w:cs="宋体"/>
                <w:i/>
                <w:iCs/>
                <w:snapToGrid w:val="0"/>
                <w:kern w:val="21"/>
                <w:szCs w:val="21"/>
                <w:u w:val="single"/>
              </w:rPr>
            </w:pPr>
            <w:r>
              <w:rPr>
                <w:rFonts w:hint="eastAsia" w:ascii="宋体" w:hAnsi="宋体" w:cs="宋体"/>
                <w:i/>
                <w:iCs/>
                <w:snapToGrid w:val="0"/>
                <w:kern w:val="21"/>
                <w:szCs w:val="21"/>
                <w:u w:val="single"/>
              </w:rPr>
              <w:t>0.001</w:t>
            </w:r>
          </w:p>
        </w:tc>
        <w:tc>
          <w:tcPr>
            <w:tcW w:w="1344" w:type="dxa"/>
            <w:vAlign w:val="center"/>
          </w:tcPr>
          <w:p>
            <w:pPr>
              <w:spacing w:line="0" w:lineRule="atLeast"/>
              <w:jc w:val="center"/>
              <w:rPr>
                <w:rFonts w:ascii="宋体" w:hAnsi="宋体" w:cs="宋体"/>
                <w:i/>
                <w:iCs/>
                <w:snapToGrid w:val="0"/>
                <w:kern w:val="21"/>
                <w:szCs w:val="21"/>
                <w:u w:val="single"/>
              </w:rPr>
            </w:pPr>
            <w:r>
              <w:rPr>
                <w:rFonts w:hint="eastAsia" w:ascii="宋体" w:hAnsi="宋体" w:cs="宋体"/>
                <w:i/>
                <w:iCs/>
                <w:snapToGrid w:val="0"/>
                <w:kern w:val="21"/>
                <w:szCs w:val="21"/>
                <w:u w:val="single"/>
              </w:rPr>
              <w:t>0.001</w:t>
            </w:r>
          </w:p>
        </w:tc>
      </w:tr>
      <w:tr>
        <w:trPr>
          <w:trHeight w:val="340" w:hRule="atLeast"/>
          <w:jc w:val="center"/>
        </w:trPr>
        <w:tc>
          <w:tcPr>
            <w:tcW w:w="1117" w:type="dxa"/>
            <w:vMerge w:val="continue"/>
            <w:vAlign w:val="center"/>
          </w:tcPr>
          <w:p>
            <w:pPr>
              <w:pStyle w:val="38"/>
              <w:adjustRightInd/>
              <w:snapToGrid/>
              <w:spacing w:beforeLines="0" w:line="0" w:lineRule="atLeast"/>
              <w:ind w:firstLine="0" w:firstLineChars="0"/>
              <w:rPr>
                <w:rFonts w:hAnsi="宋体" w:cs="宋体"/>
                <w:i/>
                <w:iCs/>
                <w:snapToGrid w:val="0"/>
                <w:kern w:val="21"/>
                <w:szCs w:val="21"/>
                <w:u w:val="single"/>
              </w:rPr>
            </w:pPr>
          </w:p>
        </w:tc>
        <w:tc>
          <w:tcPr>
            <w:tcW w:w="1916" w:type="dxa"/>
            <w:vAlign w:val="center"/>
          </w:tcPr>
          <w:p>
            <w:pPr>
              <w:pStyle w:val="38"/>
              <w:adjustRightInd/>
              <w:snapToGrid/>
              <w:spacing w:beforeLines="0" w:line="0" w:lineRule="atLeast"/>
              <w:ind w:firstLine="0" w:firstLineChars="0"/>
              <w:rPr>
                <w:rFonts w:hAnsi="宋体" w:cs="宋体"/>
                <w:i/>
                <w:iCs/>
                <w:snapToGrid w:val="0"/>
                <w:kern w:val="21"/>
                <w:szCs w:val="21"/>
                <w:u w:val="single"/>
                <w:vertAlign w:val="subscript"/>
              </w:rPr>
            </w:pPr>
            <w:r>
              <w:rPr>
                <w:rFonts w:hint="eastAsia" w:hAnsi="宋体" w:cs="宋体"/>
                <w:i/>
                <w:iCs/>
                <w:snapToGrid w:val="0"/>
                <w:kern w:val="21"/>
                <w:szCs w:val="21"/>
                <w:u w:val="single"/>
              </w:rPr>
              <w:t>非甲烷总烃</w:t>
            </w:r>
          </w:p>
        </w:tc>
        <w:tc>
          <w:tcPr>
            <w:tcW w:w="1505" w:type="dxa"/>
            <w:vAlign w:val="center"/>
          </w:tcPr>
          <w:p>
            <w:pPr>
              <w:spacing w:line="0" w:lineRule="atLeast"/>
              <w:jc w:val="center"/>
              <w:rPr>
                <w:rFonts w:ascii="宋体" w:hAnsi="宋体" w:cs="宋体"/>
                <w:i/>
                <w:iCs/>
                <w:snapToGrid w:val="0"/>
                <w:kern w:val="21"/>
                <w:szCs w:val="21"/>
                <w:u w:val="single"/>
              </w:rPr>
            </w:pPr>
            <w:r>
              <w:rPr>
                <w:rFonts w:hint="eastAsia" w:ascii="宋体" w:hAnsi="宋体" w:cs="宋体"/>
                <w:i/>
                <w:iCs/>
                <w:snapToGrid w:val="0"/>
                <w:kern w:val="21"/>
                <w:szCs w:val="21"/>
                <w:u w:val="single"/>
              </w:rPr>
              <w:t>——</w:t>
            </w:r>
          </w:p>
        </w:tc>
        <w:tc>
          <w:tcPr>
            <w:tcW w:w="1188" w:type="dxa"/>
            <w:vAlign w:val="center"/>
          </w:tcPr>
          <w:p>
            <w:pPr>
              <w:spacing w:line="0" w:lineRule="atLeast"/>
              <w:jc w:val="center"/>
              <w:rPr>
                <w:rFonts w:ascii="宋体" w:hAnsi="宋体" w:cs="宋体"/>
                <w:i/>
                <w:iCs/>
                <w:snapToGrid w:val="0"/>
                <w:kern w:val="21"/>
                <w:szCs w:val="21"/>
                <w:u w:val="single"/>
              </w:rPr>
            </w:pPr>
            <w:r>
              <w:rPr>
                <w:rFonts w:hint="eastAsia" w:ascii="宋体" w:hAnsi="宋体" w:cs="宋体"/>
                <w:i/>
                <w:iCs/>
                <w:snapToGrid w:val="0"/>
                <w:kern w:val="21"/>
                <w:szCs w:val="21"/>
                <w:u w:val="single"/>
              </w:rPr>
              <w:t>——</w:t>
            </w:r>
          </w:p>
        </w:tc>
        <w:tc>
          <w:tcPr>
            <w:tcW w:w="1544" w:type="dxa"/>
            <w:vAlign w:val="center"/>
          </w:tcPr>
          <w:p>
            <w:pPr>
              <w:spacing w:line="0" w:lineRule="atLeast"/>
              <w:jc w:val="center"/>
              <w:rPr>
                <w:rFonts w:ascii="宋体" w:hAnsi="宋体" w:cs="宋体"/>
                <w:i/>
                <w:iCs/>
                <w:snapToGrid w:val="0"/>
                <w:kern w:val="21"/>
                <w:szCs w:val="21"/>
                <w:u w:val="single"/>
              </w:rPr>
            </w:pPr>
            <w:r>
              <w:rPr>
                <w:rFonts w:hint="eastAsia" w:ascii="宋体" w:hAnsi="宋体" w:cs="宋体"/>
                <w:i/>
                <w:iCs/>
                <w:snapToGrid w:val="0"/>
                <w:kern w:val="21"/>
                <w:szCs w:val="21"/>
                <w:u w:val="single"/>
              </w:rPr>
              <w:t>——</w:t>
            </w:r>
          </w:p>
        </w:tc>
        <w:tc>
          <w:tcPr>
            <w:tcW w:w="1752" w:type="dxa"/>
            <w:vAlign w:val="center"/>
          </w:tcPr>
          <w:p>
            <w:pPr>
              <w:spacing w:line="0" w:lineRule="atLeast"/>
              <w:jc w:val="center"/>
              <w:rPr>
                <w:rFonts w:ascii="宋体" w:hAnsi="宋体" w:cs="宋体"/>
                <w:i/>
                <w:iCs/>
                <w:snapToGrid w:val="0"/>
                <w:kern w:val="21"/>
                <w:szCs w:val="21"/>
                <w:u w:val="single"/>
              </w:rPr>
            </w:pPr>
            <w:r>
              <w:rPr>
                <w:rFonts w:hint="eastAsia" w:ascii="宋体" w:hAnsi="宋体" w:cs="宋体"/>
                <w:i/>
                <w:iCs/>
                <w:color w:val="000000"/>
                <w:kern w:val="0"/>
                <w:szCs w:val="21"/>
                <w:u w:val="single"/>
              </w:rPr>
              <w:t>0.0084</w:t>
            </w:r>
          </w:p>
        </w:tc>
        <w:tc>
          <w:tcPr>
            <w:tcW w:w="1434" w:type="dxa"/>
            <w:vAlign w:val="center"/>
          </w:tcPr>
          <w:p>
            <w:pPr>
              <w:spacing w:line="0" w:lineRule="atLeast"/>
              <w:jc w:val="center"/>
              <w:rPr>
                <w:rFonts w:ascii="宋体" w:hAnsi="宋体" w:cs="宋体"/>
                <w:i/>
                <w:iCs/>
                <w:snapToGrid w:val="0"/>
                <w:kern w:val="21"/>
                <w:szCs w:val="21"/>
                <w:u w:val="single"/>
              </w:rPr>
            </w:pPr>
            <w:r>
              <w:rPr>
                <w:rFonts w:hint="eastAsia" w:ascii="宋体" w:hAnsi="宋体" w:cs="宋体"/>
                <w:i/>
                <w:iCs/>
                <w:snapToGrid w:val="0"/>
                <w:kern w:val="21"/>
                <w:szCs w:val="21"/>
                <w:u w:val="single"/>
              </w:rPr>
              <w:t>——</w:t>
            </w:r>
          </w:p>
        </w:tc>
        <w:tc>
          <w:tcPr>
            <w:tcW w:w="2016" w:type="dxa"/>
            <w:vAlign w:val="top"/>
          </w:tcPr>
          <w:p>
            <w:pPr>
              <w:spacing w:line="0" w:lineRule="atLeast"/>
              <w:jc w:val="center"/>
              <w:rPr>
                <w:rFonts w:ascii="宋体" w:hAnsi="宋体" w:cs="宋体"/>
                <w:i/>
                <w:iCs/>
                <w:snapToGrid w:val="0"/>
                <w:kern w:val="21"/>
                <w:szCs w:val="21"/>
                <w:u w:val="single"/>
              </w:rPr>
            </w:pPr>
            <w:r>
              <w:rPr>
                <w:rFonts w:hint="eastAsia" w:ascii="宋体" w:hAnsi="宋体" w:cs="宋体"/>
                <w:i/>
                <w:iCs/>
                <w:color w:val="000000"/>
                <w:kern w:val="0"/>
                <w:szCs w:val="21"/>
                <w:u w:val="single"/>
              </w:rPr>
              <w:t>0.00536</w:t>
            </w:r>
          </w:p>
        </w:tc>
        <w:tc>
          <w:tcPr>
            <w:tcW w:w="1344" w:type="dxa"/>
            <w:vAlign w:val="top"/>
          </w:tcPr>
          <w:p>
            <w:pPr>
              <w:spacing w:line="0" w:lineRule="atLeast"/>
              <w:jc w:val="center"/>
              <w:rPr>
                <w:rFonts w:ascii="宋体" w:hAnsi="宋体" w:cs="宋体"/>
                <w:i/>
                <w:iCs/>
                <w:snapToGrid w:val="0"/>
                <w:kern w:val="21"/>
                <w:szCs w:val="21"/>
                <w:u w:val="single"/>
              </w:rPr>
            </w:pPr>
            <w:r>
              <w:rPr>
                <w:rFonts w:hint="eastAsia" w:ascii="宋体" w:hAnsi="宋体" w:cs="宋体"/>
                <w:i/>
                <w:iCs/>
                <w:color w:val="000000"/>
                <w:kern w:val="0"/>
                <w:szCs w:val="21"/>
                <w:u w:val="single"/>
              </w:rPr>
              <w:t>0.00536</w:t>
            </w:r>
          </w:p>
        </w:tc>
      </w:tr>
      <w:tr>
        <w:trPr>
          <w:trHeight w:val="340" w:hRule="atLeast"/>
          <w:jc w:val="center"/>
        </w:trPr>
        <w:tc>
          <w:tcPr>
            <w:tcW w:w="1117" w:type="dxa"/>
            <w:vMerge w:val="continue"/>
            <w:vAlign w:val="center"/>
          </w:tcPr>
          <w:p>
            <w:pPr>
              <w:pStyle w:val="38"/>
              <w:adjustRightInd/>
              <w:snapToGrid/>
              <w:spacing w:beforeLines="0" w:line="0" w:lineRule="atLeast"/>
              <w:ind w:firstLine="0" w:firstLineChars="0"/>
              <w:rPr>
                <w:rFonts w:hAnsi="宋体" w:cs="宋体"/>
                <w:i/>
                <w:iCs/>
                <w:snapToGrid w:val="0"/>
                <w:kern w:val="21"/>
                <w:szCs w:val="21"/>
                <w:u w:val="single"/>
              </w:rPr>
            </w:pPr>
          </w:p>
        </w:tc>
        <w:tc>
          <w:tcPr>
            <w:tcW w:w="1916" w:type="dxa"/>
            <w:vAlign w:val="center"/>
          </w:tcPr>
          <w:p>
            <w:pPr>
              <w:pStyle w:val="38"/>
              <w:adjustRightInd/>
              <w:snapToGrid/>
              <w:spacing w:beforeLines="0" w:line="0" w:lineRule="atLeast"/>
              <w:ind w:firstLine="0" w:firstLineChars="0"/>
              <w:rPr>
                <w:rFonts w:hAnsi="宋体" w:cs="宋体"/>
                <w:i/>
                <w:iCs/>
                <w:snapToGrid w:val="0"/>
                <w:kern w:val="21"/>
                <w:szCs w:val="21"/>
                <w:u w:val="single"/>
                <w:vertAlign w:val="subscript"/>
              </w:rPr>
            </w:pPr>
            <w:r>
              <w:rPr>
                <w:rFonts w:hint="eastAsia" w:hAnsi="宋体" w:cs="宋体"/>
                <w:i/>
                <w:iCs/>
                <w:snapToGrid w:val="0"/>
                <w:kern w:val="21"/>
                <w:szCs w:val="21"/>
                <w:u w:val="single"/>
              </w:rPr>
              <w:t>硫酸雾</w:t>
            </w:r>
          </w:p>
        </w:tc>
        <w:tc>
          <w:tcPr>
            <w:tcW w:w="1505" w:type="dxa"/>
            <w:vAlign w:val="center"/>
          </w:tcPr>
          <w:p>
            <w:pPr>
              <w:spacing w:line="0" w:lineRule="atLeast"/>
              <w:jc w:val="center"/>
              <w:rPr>
                <w:rFonts w:ascii="宋体" w:hAnsi="宋体" w:cs="宋体"/>
                <w:i/>
                <w:iCs/>
                <w:snapToGrid w:val="0"/>
                <w:kern w:val="21"/>
                <w:szCs w:val="21"/>
                <w:u w:val="single"/>
              </w:rPr>
            </w:pPr>
            <w:r>
              <w:rPr>
                <w:rFonts w:hint="eastAsia" w:ascii="宋体" w:hAnsi="宋体" w:cs="宋体"/>
                <w:i/>
                <w:iCs/>
                <w:snapToGrid w:val="0"/>
                <w:kern w:val="21"/>
                <w:szCs w:val="21"/>
                <w:u w:val="single"/>
              </w:rPr>
              <w:t>——</w:t>
            </w:r>
          </w:p>
        </w:tc>
        <w:tc>
          <w:tcPr>
            <w:tcW w:w="1188" w:type="dxa"/>
            <w:vAlign w:val="center"/>
          </w:tcPr>
          <w:p>
            <w:pPr>
              <w:spacing w:line="0" w:lineRule="atLeast"/>
              <w:jc w:val="center"/>
              <w:rPr>
                <w:rFonts w:ascii="宋体" w:hAnsi="宋体" w:cs="宋体"/>
                <w:i/>
                <w:iCs/>
                <w:snapToGrid w:val="0"/>
                <w:kern w:val="21"/>
                <w:szCs w:val="21"/>
                <w:u w:val="single"/>
              </w:rPr>
            </w:pPr>
            <w:r>
              <w:rPr>
                <w:rFonts w:hint="eastAsia" w:ascii="宋体" w:hAnsi="宋体" w:cs="宋体"/>
                <w:i/>
                <w:iCs/>
                <w:snapToGrid w:val="0"/>
                <w:kern w:val="21"/>
                <w:szCs w:val="21"/>
                <w:u w:val="single"/>
              </w:rPr>
              <w:t>——</w:t>
            </w:r>
          </w:p>
        </w:tc>
        <w:tc>
          <w:tcPr>
            <w:tcW w:w="1544" w:type="dxa"/>
            <w:vAlign w:val="center"/>
          </w:tcPr>
          <w:p>
            <w:pPr>
              <w:spacing w:line="0" w:lineRule="atLeast"/>
              <w:jc w:val="center"/>
              <w:rPr>
                <w:rFonts w:ascii="宋体" w:hAnsi="宋体" w:cs="宋体"/>
                <w:i/>
                <w:iCs/>
                <w:snapToGrid w:val="0"/>
                <w:kern w:val="21"/>
                <w:szCs w:val="21"/>
                <w:u w:val="single"/>
              </w:rPr>
            </w:pPr>
            <w:r>
              <w:rPr>
                <w:rFonts w:hint="eastAsia" w:ascii="宋体" w:hAnsi="宋体" w:cs="宋体"/>
                <w:i/>
                <w:iCs/>
                <w:snapToGrid w:val="0"/>
                <w:kern w:val="21"/>
                <w:szCs w:val="21"/>
                <w:u w:val="single"/>
              </w:rPr>
              <w:t>——</w:t>
            </w:r>
          </w:p>
        </w:tc>
        <w:tc>
          <w:tcPr>
            <w:tcW w:w="1752" w:type="dxa"/>
            <w:vAlign w:val="center"/>
          </w:tcPr>
          <w:p>
            <w:pPr>
              <w:spacing w:line="0" w:lineRule="atLeast"/>
              <w:jc w:val="center"/>
              <w:rPr>
                <w:rFonts w:ascii="宋体" w:hAnsi="宋体" w:cs="宋体"/>
                <w:i/>
                <w:iCs/>
                <w:snapToGrid w:val="0"/>
                <w:kern w:val="21"/>
                <w:szCs w:val="21"/>
                <w:u w:val="single"/>
              </w:rPr>
            </w:pPr>
            <w:r>
              <w:rPr>
                <w:rFonts w:hint="eastAsia" w:ascii="宋体" w:hAnsi="宋体" w:cs="宋体"/>
                <w:i/>
                <w:iCs/>
                <w:color w:val="000000"/>
                <w:kern w:val="0"/>
                <w:szCs w:val="21"/>
                <w:u w:val="single"/>
              </w:rPr>
              <w:t>0.0000003</w:t>
            </w:r>
          </w:p>
        </w:tc>
        <w:tc>
          <w:tcPr>
            <w:tcW w:w="1434" w:type="dxa"/>
            <w:vAlign w:val="center"/>
          </w:tcPr>
          <w:p>
            <w:pPr>
              <w:spacing w:line="0" w:lineRule="atLeast"/>
              <w:jc w:val="center"/>
              <w:rPr>
                <w:rFonts w:ascii="宋体" w:hAnsi="宋体" w:cs="宋体"/>
                <w:i/>
                <w:iCs/>
                <w:snapToGrid w:val="0"/>
                <w:kern w:val="21"/>
                <w:szCs w:val="21"/>
                <w:u w:val="single"/>
              </w:rPr>
            </w:pPr>
            <w:r>
              <w:rPr>
                <w:rFonts w:hint="eastAsia" w:ascii="宋体" w:hAnsi="宋体" w:cs="宋体"/>
                <w:i/>
                <w:iCs/>
                <w:snapToGrid w:val="0"/>
                <w:kern w:val="21"/>
                <w:szCs w:val="21"/>
                <w:u w:val="single"/>
              </w:rPr>
              <w:t>——</w:t>
            </w:r>
          </w:p>
        </w:tc>
        <w:tc>
          <w:tcPr>
            <w:tcW w:w="2016" w:type="dxa"/>
            <w:vAlign w:val="top"/>
          </w:tcPr>
          <w:p>
            <w:pPr>
              <w:spacing w:line="0" w:lineRule="atLeast"/>
              <w:jc w:val="center"/>
              <w:rPr>
                <w:rFonts w:ascii="宋体" w:hAnsi="宋体" w:cs="宋体"/>
                <w:i/>
                <w:iCs/>
                <w:snapToGrid w:val="0"/>
                <w:kern w:val="21"/>
                <w:szCs w:val="21"/>
                <w:u w:val="single"/>
              </w:rPr>
            </w:pPr>
            <w:r>
              <w:rPr>
                <w:rFonts w:hint="eastAsia" w:ascii="宋体" w:hAnsi="宋体" w:cs="宋体"/>
                <w:i/>
                <w:iCs/>
                <w:color w:val="000000"/>
                <w:kern w:val="0"/>
                <w:szCs w:val="21"/>
                <w:u w:val="single"/>
              </w:rPr>
              <w:t>0.00000054</w:t>
            </w:r>
          </w:p>
        </w:tc>
        <w:tc>
          <w:tcPr>
            <w:tcW w:w="1344" w:type="dxa"/>
            <w:vAlign w:val="top"/>
          </w:tcPr>
          <w:p>
            <w:pPr>
              <w:spacing w:line="0" w:lineRule="atLeast"/>
              <w:jc w:val="center"/>
              <w:rPr>
                <w:rFonts w:ascii="宋体" w:hAnsi="宋体" w:cs="宋体"/>
                <w:i/>
                <w:iCs/>
                <w:snapToGrid w:val="0"/>
                <w:kern w:val="21"/>
                <w:szCs w:val="21"/>
                <w:u w:val="single"/>
              </w:rPr>
            </w:pPr>
            <w:r>
              <w:rPr>
                <w:rFonts w:hint="eastAsia" w:ascii="宋体" w:hAnsi="宋体" w:cs="宋体"/>
                <w:i/>
                <w:iCs/>
                <w:color w:val="000000"/>
                <w:kern w:val="0"/>
                <w:szCs w:val="21"/>
                <w:u w:val="single"/>
              </w:rPr>
              <w:t>0.00000054</w:t>
            </w:r>
          </w:p>
        </w:tc>
      </w:tr>
      <w:tr>
        <w:trPr>
          <w:trHeight w:val="340" w:hRule="atLeast"/>
          <w:jc w:val="center"/>
        </w:trPr>
        <w:tc>
          <w:tcPr>
            <w:tcW w:w="1117" w:type="dxa"/>
            <w:vMerge w:val="restart"/>
            <w:vAlign w:val="center"/>
          </w:tcPr>
          <w:p>
            <w:pPr>
              <w:pStyle w:val="38"/>
              <w:adjustRightInd/>
              <w:snapToGrid/>
              <w:spacing w:beforeLines="0" w:line="0" w:lineRule="atLeast"/>
              <w:ind w:firstLine="0" w:firstLineChars="0"/>
              <w:rPr>
                <w:rFonts w:hAnsi="宋体" w:cs="宋体"/>
                <w:i/>
                <w:iCs/>
                <w:snapToGrid w:val="0"/>
                <w:kern w:val="21"/>
                <w:szCs w:val="21"/>
                <w:u w:val="single"/>
              </w:rPr>
            </w:pPr>
            <w:r>
              <w:rPr>
                <w:rFonts w:hint="eastAsia" w:hAnsi="宋体" w:cs="宋体"/>
                <w:i/>
                <w:iCs/>
                <w:snapToGrid w:val="0"/>
                <w:kern w:val="21"/>
                <w:szCs w:val="21"/>
                <w:u w:val="single"/>
              </w:rPr>
              <w:t>废水</w:t>
            </w:r>
          </w:p>
        </w:tc>
        <w:tc>
          <w:tcPr>
            <w:tcW w:w="1916" w:type="dxa"/>
            <w:vAlign w:val="center"/>
          </w:tcPr>
          <w:p>
            <w:pPr>
              <w:spacing w:line="0" w:lineRule="atLeast"/>
              <w:jc w:val="center"/>
              <w:rPr>
                <w:rFonts w:ascii="宋体" w:hAnsi="宋体" w:cs="宋体"/>
                <w:i/>
                <w:iCs/>
                <w:snapToGrid w:val="0"/>
                <w:kern w:val="21"/>
                <w:szCs w:val="21"/>
                <w:u w:val="single"/>
              </w:rPr>
            </w:pPr>
            <w:r>
              <w:rPr>
                <w:rFonts w:hint="eastAsia" w:ascii="宋体" w:hAnsi="宋体" w:cs="宋体"/>
                <w:i/>
                <w:iCs/>
                <w:szCs w:val="21"/>
                <w:u w:val="single"/>
              </w:rPr>
              <w:t>COD</w:t>
            </w:r>
          </w:p>
        </w:tc>
        <w:tc>
          <w:tcPr>
            <w:tcW w:w="1505" w:type="dxa"/>
            <w:vAlign w:val="center"/>
          </w:tcPr>
          <w:p>
            <w:pPr>
              <w:spacing w:line="0" w:lineRule="atLeast"/>
              <w:jc w:val="center"/>
              <w:rPr>
                <w:rFonts w:ascii="宋体" w:hAnsi="宋体" w:cs="宋体"/>
                <w:i/>
                <w:iCs/>
                <w:snapToGrid w:val="0"/>
                <w:kern w:val="21"/>
                <w:szCs w:val="21"/>
                <w:u w:val="single"/>
              </w:rPr>
            </w:pPr>
            <w:r>
              <w:rPr>
                <w:rFonts w:hint="eastAsia" w:ascii="宋体" w:hAnsi="宋体" w:cs="宋体"/>
                <w:i/>
                <w:iCs/>
                <w:snapToGrid w:val="0"/>
                <w:kern w:val="21"/>
                <w:szCs w:val="21"/>
                <w:u w:val="single"/>
              </w:rPr>
              <w:t>——</w:t>
            </w:r>
          </w:p>
        </w:tc>
        <w:tc>
          <w:tcPr>
            <w:tcW w:w="1188" w:type="dxa"/>
            <w:vAlign w:val="center"/>
          </w:tcPr>
          <w:p>
            <w:pPr>
              <w:spacing w:line="0" w:lineRule="atLeast"/>
              <w:jc w:val="center"/>
              <w:rPr>
                <w:rFonts w:ascii="宋体" w:hAnsi="宋体" w:cs="宋体"/>
                <w:i/>
                <w:iCs/>
                <w:snapToGrid w:val="0"/>
                <w:kern w:val="21"/>
                <w:szCs w:val="21"/>
                <w:u w:val="single"/>
              </w:rPr>
            </w:pPr>
            <w:r>
              <w:rPr>
                <w:rFonts w:hint="eastAsia" w:ascii="宋体" w:hAnsi="宋体" w:cs="宋体"/>
                <w:i/>
                <w:iCs/>
                <w:snapToGrid w:val="0"/>
                <w:kern w:val="21"/>
                <w:szCs w:val="21"/>
                <w:u w:val="single"/>
              </w:rPr>
              <w:t>——</w:t>
            </w:r>
          </w:p>
        </w:tc>
        <w:tc>
          <w:tcPr>
            <w:tcW w:w="1544" w:type="dxa"/>
            <w:vAlign w:val="center"/>
          </w:tcPr>
          <w:p>
            <w:pPr>
              <w:spacing w:line="0" w:lineRule="atLeast"/>
              <w:jc w:val="center"/>
              <w:rPr>
                <w:rFonts w:ascii="宋体" w:hAnsi="宋体" w:cs="宋体"/>
                <w:i/>
                <w:iCs/>
                <w:snapToGrid w:val="0"/>
                <w:kern w:val="21"/>
                <w:szCs w:val="21"/>
                <w:u w:val="single"/>
              </w:rPr>
            </w:pPr>
            <w:r>
              <w:rPr>
                <w:rFonts w:hint="eastAsia" w:ascii="宋体" w:hAnsi="宋体" w:cs="宋体"/>
                <w:i/>
                <w:iCs/>
                <w:snapToGrid w:val="0"/>
                <w:kern w:val="21"/>
                <w:szCs w:val="21"/>
                <w:u w:val="single"/>
              </w:rPr>
              <w:t>——</w:t>
            </w:r>
          </w:p>
        </w:tc>
        <w:tc>
          <w:tcPr>
            <w:tcW w:w="1752" w:type="dxa"/>
            <w:vAlign w:val="center"/>
          </w:tcPr>
          <w:p>
            <w:pPr>
              <w:spacing w:line="0" w:lineRule="atLeast"/>
              <w:jc w:val="center"/>
              <w:rPr>
                <w:rFonts w:ascii="宋体" w:hAnsi="宋体" w:cs="宋体"/>
                <w:i/>
                <w:iCs/>
                <w:snapToGrid w:val="0"/>
                <w:kern w:val="21"/>
                <w:szCs w:val="21"/>
                <w:u w:val="single"/>
              </w:rPr>
            </w:pPr>
            <w:r>
              <w:rPr>
                <w:rFonts w:hint="eastAsia" w:ascii="宋体" w:hAnsi="宋体" w:cs="宋体"/>
                <w:i/>
                <w:iCs/>
                <w:szCs w:val="21"/>
                <w:u w:val="single"/>
              </w:rPr>
              <w:t>0.033</w:t>
            </w:r>
          </w:p>
        </w:tc>
        <w:tc>
          <w:tcPr>
            <w:tcW w:w="1434" w:type="dxa"/>
            <w:vAlign w:val="center"/>
          </w:tcPr>
          <w:p>
            <w:pPr>
              <w:spacing w:line="0" w:lineRule="atLeast"/>
              <w:jc w:val="center"/>
              <w:rPr>
                <w:rFonts w:ascii="宋体" w:hAnsi="宋体" w:cs="宋体"/>
                <w:i/>
                <w:iCs/>
                <w:snapToGrid w:val="0"/>
                <w:kern w:val="21"/>
                <w:szCs w:val="21"/>
                <w:u w:val="single"/>
              </w:rPr>
            </w:pPr>
            <w:r>
              <w:rPr>
                <w:rFonts w:hint="eastAsia" w:ascii="宋体" w:hAnsi="宋体" w:cs="宋体"/>
                <w:i/>
                <w:iCs/>
                <w:snapToGrid w:val="0"/>
                <w:kern w:val="21"/>
                <w:szCs w:val="21"/>
                <w:u w:val="single"/>
              </w:rPr>
              <w:t>——</w:t>
            </w:r>
          </w:p>
        </w:tc>
        <w:tc>
          <w:tcPr>
            <w:tcW w:w="2016" w:type="dxa"/>
            <w:vAlign w:val="center"/>
          </w:tcPr>
          <w:p>
            <w:pPr>
              <w:spacing w:line="0" w:lineRule="atLeast"/>
              <w:jc w:val="center"/>
              <w:rPr>
                <w:rFonts w:ascii="宋体" w:hAnsi="宋体" w:cs="宋体"/>
                <w:i/>
                <w:iCs/>
                <w:snapToGrid w:val="0"/>
                <w:kern w:val="21"/>
                <w:szCs w:val="21"/>
                <w:u w:val="single"/>
              </w:rPr>
            </w:pPr>
            <w:r>
              <w:rPr>
                <w:rFonts w:hint="eastAsia" w:ascii="宋体" w:hAnsi="宋体" w:cs="宋体"/>
                <w:i/>
                <w:iCs/>
                <w:szCs w:val="21"/>
                <w:u w:val="single"/>
              </w:rPr>
              <w:t>0.0406</w:t>
            </w:r>
          </w:p>
        </w:tc>
        <w:tc>
          <w:tcPr>
            <w:tcW w:w="1344" w:type="dxa"/>
            <w:vAlign w:val="center"/>
          </w:tcPr>
          <w:p>
            <w:pPr>
              <w:spacing w:line="0" w:lineRule="atLeast"/>
              <w:jc w:val="center"/>
              <w:rPr>
                <w:rFonts w:ascii="宋体" w:hAnsi="宋体" w:cs="宋体"/>
                <w:i/>
                <w:iCs/>
                <w:snapToGrid w:val="0"/>
                <w:kern w:val="21"/>
                <w:szCs w:val="21"/>
                <w:u w:val="single"/>
              </w:rPr>
            </w:pPr>
            <w:r>
              <w:rPr>
                <w:rFonts w:hint="eastAsia" w:ascii="宋体" w:hAnsi="宋体" w:cs="宋体"/>
                <w:i/>
                <w:iCs/>
                <w:szCs w:val="21"/>
                <w:u w:val="single"/>
              </w:rPr>
              <w:t>0.046</w:t>
            </w:r>
          </w:p>
        </w:tc>
      </w:tr>
      <w:tr>
        <w:trPr>
          <w:trHeight w:val="340" w:hRule="atLeast"/>
          <w:jc w:val="center"/>
        </w:trPr>
        <w:tc>
          <w:tcPr>
            <w:tcW w:w="1117" w:type="dxa"/>
            <w:vMerge w:val="continue"/>
            <w:vAlign w:val="center"/>
          </w:tcPr>
          <w:p>
            <w:pPr>
              <w:pStyle w:val="38"/>
              <w:adjustRightInd/>
              <w:snapToGrid/>
              <w:spacing w:beforeLines="0" w:line="0" w:lineRule="atLeast"/>
              <w:ind w:firstLine="0" w:firstLineChars="0"/>
              <w:rPr>
                <w:rFonts w:hAnsi="宋体" w:cs="宋体"/>
                <w:i/>
                <w:iCs/>
                <w:snapToGrid w:val="0"/>
                <w:kern w:val="21"/>
                <w:szCs w:val="21"/>
                <w:u w:val="single"/>
              </w:rPr>
            </w:pPr>
          </w:p>
        </w:tc>
        <w:tc>
          <w:tcPr>
            <w:tcW w:w="1916" w:type="dxa"/>
            <w:vAlign w:val="center"/>
          </w:tcPr>
          <w:p>
            <w:pPr>
              <w:spacing w:line="0" w:lineRule="atLeast"/>
              <w:jc w:val="center"/>
              <w:rPr>
                <w:rFonts w:ascii="宋体" w:hAnsi="宋体" w:cs="宋体"/>
                <w:i/>
                <w:iCs/>
                <w:snapToGrid w:val="0"/>
                <w:kern w:val="21"/>
                <w:szCs w:val="21"/>
                <w:u w:val="single"/>
              </w:rPr>
            </w:pPr>
            <w:r>
              <w:rPr>
                <w:rFonts w:hint="eastAsia" w:ascii="宋体" w:hAnsi="宋体" w:cs="宋体"/>
                <w:i/>
                <w:iCs/>
                <w:szCs w:val="21"/>
                <w:u w:val="single"/>
              </w:rPr>
              <w:t>BOD</w:t>
            </w:r>
          </w:p>
        </w:tc>
        <w:tc>
          <w:tcPr>
            <w:tcW w:w="1505" w:type="dxa"/>
            <w:vAlign w:val="center"/>
          </w:tcPr>
          <w:p>
            <w:pPr>
              <w:spacing w:line="0" w:lineRule="atLeast"/>
              <w:jc w:val="center"/>
              <w:rPr>
                <w:rFonts w:ascii="宋体" w:hAnsi="宋体" w:cs="宋体"/>
                <w:i/>
                <w:iCs/>
                <w:snapToGrid w:val="0"/>
                <w:kern w:val="21"/>
                <w:szCs w:val="21"/>
                <w:u w:val="single"/>
              </w:rPr>
            </w:pPr>
            <w:r>
              <w:rPr>
                <w:rFonts w:hint="eastAsia" w:ascii="宋体" w:hAnsi="宋体" w:cs="宋体"/>
                <w:i/>
                <w:iCs/>
                <w:snapToGrid w:val="0"/>
                <w:kern w:val="21"/>
                <w:szCs w:val="21"/>
                <w:u w:val="single"/>
              </w:rPr>
              <w:t>——</w:t>
            </w:r>
          </w:p>
        </w:tc>
        <w:tc>
          <w:tcPr>
            <w:tcW w:w="1188" w:type="dxa"/>
            <w:vAlign w:val="center"/>
          </w:tcPr>
          <w:p>
            <w:pPr>
              <w:spacing w:line="0" w:lineRule="atLeast"/>
              <w:jc w:val="center"/>
              <w:rPr>
                <w:rFonts w:ascii="宋体" w:hAnsi="宋体" w:cs="宋体"/>
                <w:i/>
                <w:iCs/>
                <w:snapToGrid w:val="0"/>
                <w:kern w:val="21"/>
                <w:szCs w:val="21"/>
                <w:u w:val="single"/>
              </w:rPr>
            </w:pPr>
            <w:r>
              <w:rPr>
                <w:rFonts w:hint="eastAsia" w:ascii="宋体" w:hAnsi="宋体" w:cs="宋体"/>
                <w:i/>
                <w:iCs/>
                <w:snapToGrid w:val="0"/>
                <w:kern w:val="21"/>
                <w:szCs w:val="21"/>
                <w:u w:val="single"/>
              </w:rPr>
              <w:t>——</w:t>
            </w:r>
          </w:p>
        </w:tc>
        <w:tc>
          <w:tcPr>
            <w:tcW w:w="1544" w:type="dxa"/>
            <w:vAlign w:val="center"/>
          </w:tcPr>
          <w:p>
            <w:pPr>
              <w:spacing w:line="0" w:lineRule="atLeast"/>
              <w:jc w:val="center"/>
              <w:rPr>
                <w:rFonts w:ascii="宋体" w:hAnsi="宋体" w:cs="宋体"/>
                <w:i/>
                <w:iCs/>
                <w:snapToGrid w:val="0"/>
                <w:kern w:val="21"/>
                <w:szCs w:val="21"/>
                <w:u w:val="single"/>
              </w:rPr>
            </w:pPr>
            <w:r>
              <w:rPr>
                <w:rFonts w:hint="eastAsia" w:ascii="宋体" w:hAnsi="宋体" w:cs="宋体"/>
                <w:i/>
                <w:iCs/>
                <w:snapToGrid w:val="0"/>
                <w:kern w:val="21"/>
                <w:szCs w:val="21"/>
                <w:u w:val="single"/>
              </w:rPr>
              <w:t>——</w:t>
            </w:r>
          </w:p>
        </w:tc>
        <w:tc>
          <w:tcPr>
            <w:tcW w:w="1752" w:type="dxa"/>
            <w:vAlign w:val="center"/>
          </w:tcPr>
          <w:p>
            <w:pPr>
              <w:spacing w:line="0" w:lineRule="atLeast"/>
              <w:jc w:val="center"/>
              <w:rPr>
                <w:rFonts w:ascii="宋体" w:hAnsi="宋体" w:cs="宋体"/>
                <w:i/>
                <w:iCs/>
                <w:snapToGrid w:val="0"/>
                <w:kern w:val="21"/>
                <w:szCs w:val="21"/>
                <w:u w:val="single"/>
              </w:rPr>
            </w:pPr>
            <w:r>
              <w:rPr>
                <w:rFonts w:hint="eastAsia" w:ascii="宋体" w:hAnsi="宋体" w:cs="宋体"/>
                <w:i/>
                <w:iCs/>
                <w:szCs w:val="21"/>
                <w:u w:val="single"/>
              </w:rPr>
              <w:t>0.037</w:t>
            </w:r>
          </w:p>
        </w:tc>
        <w:tc>
          <w:tcPr>
            <w:tcW w:w="1434" w:type="dxa"/>
            <w:vAlign w:val="center"/>
          </w:tcPr>
          <w:p>
            <w:pPr>
              <w:spacing w:line="0" w:lineRule="atLeast"/>
              <w:jc w:val="center"/>
              <w:rPr>
                <w:rFonts w:ascii="宋体" w:hAnsi="宋体" w:cs="宋体"/>
                <w:i/>
                <w:iCs/>
                <w:snapToGrid w:val="0"/>
                <w:kern w:val="21"/>
                <w:szCs w:val="21"/>
                <w:u w:val="single"/>
              </w:rPr>
            </w:pPr>
            <w:r>
              <w:rPr>
                <w:rFonts w:hint="eastAsia" w:ascii="宋体" w:hAnsi="宋体" w:cs="宋体"/>
                <w:i/>
                <w:iCs/>
                <w:snapToGrid w:val="0"/>
                <w:kern w:val="21"/>
                <w:szCs w:val="21"/>
                <w:u w:val="single"/>
              </w:rPr>
              <w:t>——</w:t>
            </w:r>
          </w:p>
        </w:tc>
        <w:tc>
          <w:tcPr>
            <w:tcW w:w="2016" w:type="dxa"/>
            <w:vAlign w:val="center"/>
          </w:tcPr>
          <w:p>
            <w:pPr>
              <w:spacing w:line="0" w:lineRule="atLeast"/>
              <w:jc w:val="center"/>
              <w:rPr>
                <w:rFonts w:ascii="宋体" w:hAnsi="宋体" w:cs="宋体"/>
                <w:i/>
                <w:iCs/>
                <w:snapToGrid w:val="0"/>
                <w:kern w:val="21"/>
                <w:szCs w:val="21"/>
                <w:u w:val="single"/>
              </w:rPr>
            </w:pPr>
            <w:r>
              <w:rPr>
                <w:rFonts w:hint="eastAsia" w:ascii="宋体" w:hAnsi="宋体" w:cs="宋体"/>
                <w:i/>
                <w:iCs/>
                <w:szCs w:val="21"/>
                <w:u w:val="single"/>
              </w:rPr>
              <w:t>0.0065</w:t>
            </w:r>
          </w:p>
        </w:tc>
        <w:tc>
          <w:tcPr>
            <w:tcW w:w="1344" w:type="dxa"/>
            <w:vAlign w:val="center"/>
          </w:tcPr>
          <w:p>
            <w:pPr>
              <w:spacing w:line="0" w:lineRule="atLeast"/>
              <w:jc w:val="center"/>
              <w:rPr>
                <w:rFonts w:ascii="宋体" w:hAnsi="宋体" w:cs="宋体"/>
                <w:i/>
                <w:iCs/>
                <w:snapToGrid w:val="0"/>
                <w:kern w:val="21"/>
                <w:szCs w:val="21"/>
                <w:u w:val="single"/>
              </w:rPr>
            </w:pPr>
            <w:r>
              <w:rPr>
                <w:rFonts w:hint="eastAsia" w:ascii="宋体" w:hAnsi="宋体" w:cs="宋体"/>
                <w:i/>
                <w:iCs/>
                <w:szCs w:val="21"/>
                <w:u w:val="single"/>
              </w:rPr>
              <w:t>0.0065</w:t>
            </w:r>
          </w:p>
        </w:tc>
      </w:tr>
      <w:tr>
        <w:trPr>
          <w:trHeight w:val="340" w:hRule="atLeast"/>
          <w:jc w:val="center"/>
        </w:trPr>
        <w:tc>
          <w:tcPr>
            <w:tcW w:w="1117" w:type="dxa"/>
            <w:vMerge w:val="continue"/>
            <w:vAlign w:val="center"/>
          </w:tcPr>
          <w:p>
            <w:pPr>
              <w:pStyle w:val="38"/>
              <w:adjustRightInd/>
              <w:snapToGrid/>
              <w:spacing w:beforeLines="0" w:line="0" w:lineRule="atLeast"/>
              <w:ind w:firstLine="0" w:firstLineChars="0"/>
              <w:rPr>
                <w:rFonts w:hAnsi="宋体" w:cs="宋体"/>
                <w:i/>
                <w:iCs/>
                <w:snapToGrid w:val="0"/>
                <w:kern w:val="21"/>
                <w:szCs w:val="21"/>
                <w:u w:val="single"/>
              </w:rPr>
            </w:pPr>
          </w:p>
        </w:tc>
        <w:tc>
          <w:tcPr>
            <w:tcW w:w="1916" w:type="dxa"/>
            <w:vAlign w:val="center"/>
          </w:tcPr>
          <w:p>
            <w:pPr>
              <w:spacing w:line="0" w:lineRule="atLeast"/>
              <w:jc w:val="center"/>
              <w:rPr>
                <w:rFonts w:ascii="宋体" w:hAnsi="宋体" w:cs="宋体"/>
                <w:i/>
                <w:iCs/>
                <w:snapToGrid w:val="0"/>
                <w:kern w:val="21"/>
                <w:szCs w:val="21"/>
                <w:u w:val="single"/>
              </w:rPr>
            </w:pPr>
            <w:r>
              <w:rPr>
                <w:rFonts w:hint="eastAsia" w:ascii="宋体" w:hAnsi="宋体" w:cs="宋体"/>
                <w:i/>
                <w:iCs/>
                <w:szCs w:val="21"/>
                <w:u w:val="single"/>
              </w:rPr>
              <w:t>SS</w:t>
            </w:r>
          </w:p>
        </w:tc>
        <w:tc>
          <w:tcPr>
            <w:tcW w:w="1505" w:type="dxa"/>
            <w:vAlign w:val="center"/>
          </w:tcPr>
          <w:p>
            <w:pPr>
              <w:spacing w:line="0" w:lineRule="atLeast"/>
              <w:jc w:val="center"/>
              <w:rPr>
                <w:rFonts w:ascii="宋体" w:hAnsi="宋体" w:cs="宋体"/>
                <w:i/>
                <w:iCs/>
                <w:snapToGrid w:val="0"/>
                <w:kern w:val="21"/>
                <w:szCs w:val="21"/>
                <w:u w:val="single"/>
              </w:rPr>
            </w:pPr>
            <w:r>
              <w:rPr>
                <w:rFonts w:hint="eastAsia" w:ascii="宋体" w:hAnsi="宋体" w:cs="宋体"/>
                <w:i/>
                <w:iCs/>
                <w:snapToGrid w:val="0"/>
                <w:kern w:val="21"/>
                <w:szCs w:val="21"/>
                <w:u w:val="single"/>
              </w:rPr>
              <w:t>——</w:t>
            </w:r>
          </w:p>
        </w:tc>
        <w:tc>
          <w:tcPr>
            <w:tcW w:w="1188" w:type="dxa"/>
            <w:vAlign w:val="center"/>
          </w:tcPr>
          <w:p>
            <w:pPr>
              <w:spacing w:line="0" w:lineRule="atLeast"/>
              <w:jc w:val="center"/>
              <w:rPr>
                <w:rFonts w:ascii="宋体" w:hAnsi="宋体" w:cs="宋体"/>
                <w:i/>
                <w:iCs/>
                <w:snapToGrid w:val="0"/>
                <w:kern w:val="21"/>
                <w:szCs w:val="21"/>
                <w:u w:val="single"/>
              </w:rPr>
            </w:pPr>
            <w:r>
              <w:rPr>
                <w:rFonts w:hint="eastAsia" w:ascii="宋体" w:hAnsi="宋体" w:cs="宋体"/>
                <w:i/>
                <w:iCs/>
                <w:snapToGrid w:val="0"/>
                <w:kern w:val="21"/>
                <w:szCs w:val="21"/>
                <w:u w:val="single"/>
              </w:rPr>
              <w:t>——</w:t>
            </w:r>
          </w:p>
        </w:tc>
        <w:tc>
          <w:tcPr>
            <w:tcW w:w="1544" w:type="dxa"/>
            <w:vAlign w:val="center"/>
          </w:tcPr>
          <w:p>
            <w:pPr>
              <w:spacing w:line="0" w:lineRule="atLeast"/>
              <w:jc w:val="center"/>
              <w:rPr>
                <w:rFonts w:ascii="宋体" w:hAnsi="宋体" w:cs="宋体"/>
                <w:i/>
                <w:iCs/>
                <w:snapToGrid w:val="0"/>
                <w:kern w:val="21"/>
                <w:szCs w:val="21"/>
                <w:u w:val="single"/>
              </w:rPr>
            </w:pPr>
            <w:r>
              <w:rPr>
                <w:rFonts w:hint="eastAsia" w:ascii="宋体" w:hAnsi="宋体" w:cs="宋体"/>
                <w:i/>
                <w:iCs/>
                <w:snapToGrid w:val="0"/>
                <w:kern w:val="21"/>
                <w:szCs w:val="21"/>
                <w:u w:val="single"/>
              </w:rPr>
              <w:t>——</w:t>
            </w:r>
          </w:p>
        </w:tc>
        <w:tc>
          <w:tcPr>
            <w:tcW w:w="1752" w:type="dxa"/>
            <w:vAlign w:val="center"/>
          </w:tcPr>
          <w:p>
            <w:pPr>
              <w:spacing w:line="0" w:lineRule="atLeast"/>
              <w:jc w:val="center"/>
              <w:rPr>
                <w:rFonts w:ascii="宋体" w:hAnsi="宋体" w:cs="宋体"/>
                <w:i/>
                <w:iCs/>
                <w:snapToGrid w:val="0"/>
                <w:kern w:val="21"/>
                <w:szCs w:val="21"/>
                <w:u w:val="single"/>
              </w:rPr>
            </w:pPr>
            <w:r>
              <w:rPr>
                <w:rFonts w:hint="eastAsia" w:ascii="宋体" w:hAnsi="宋体" w:cs="宋体"/>
                <w:i/>
                <w:iCs/>
                <w:szCs w:val="21"/>
                <w:u w:val="single"/>
              </w:rPr>
              <w:t>0.034</w:t>
            </w:r>
          </w:p>
        </w:tc>
        <w:tc>
          <w:tcPr>
            <w:tcW w:w="1434" w:type="dxa"/>
            <w:vAlign w:val="center"/>
          </w:tcPr>
          <w:p>
            <w:pPr>
              <w:spacing w:line="0" w:lineRule="atLeast"/>
              <w:jc w:val="center"/>
              <w:rPr>
                <w:rFonts w:ascii="宋体" w:hAnsi="宋体" w:cs="宋体"/>
                <w:i/>
                <w:iCs/>
                <w:snapToGrid w:val="0"/>
                <w:kern w:val="21"/>
                <w:szCs w:val="21"/>
                <w:u w:val="single"/>
              </w:rPr>
            </w:pPr>
            <w:r>
              <w:rPr>
                <w:rFonts w:hint="eastAsia" w:ascii="宋体" w:hAnsi="宋体" w:cs="宋体"/>
                <w:i/>
                <w:iCs/>
                <w:snapToGrid w:val="0"/>
                <w:kern w:val="21"/>
                <w:szCs w:val="21"/>
                <w:u w:val="single"/>
              </w:rPr>
              <w:t>——</w:t>
            </w:r>
          </w:p>
        </w:tc>
        <w:tc>
          <w:tcPr>
            <w:tcW w:w="2016" w:type="dxa"/>
            <w:vAlign w:val="center"/>
          </w:tcPr>
          <w:p>
            <w:pPr>
              <w:spacing w:line="0" w:lineRule="atLeast"/>
              <w:jc w:val="center"/>
              <w:rPr>
                <w:rFonts w:ascii="宋体" w:hAnsi="宋体" w:cs="宋体"/>
                <w:i/>
                <w:iCs/>
                <w:snapToGrid w:val="0"/>
                <w:kern w:val="21"/>
                <w:szCs w:val="21"/>
                <w:u w:val="single"/>
              </w:rPr>
            </w:pPr>
            <w:r>
              <w:rPr>
                <w:rFonts w:hint="eastAsia" w:ascii="宋体" w:hAnsi="宋体" w:cs="宋体"/>
                <w:i/>
                <w:iCs/>
                <w:szCs w:val="21"/>
                <w:u w:val="single"/>
              </w:rPr>
              <w:t>0.047</w:t>
            </w:r>
          </w:p>
        </w:tc>
        <w:tc>
          <w:tcPr>
            <w:tcW w:w="1344" w:type="dxa"/>
            <w:vAlign w:val="center"/>
          </w:tcPr>
          <w:p>
            <w:pPr>
              <w:spacing w:line="0" w:lineRule="atLeast"/>
              <w:jc w:val="center"/>
              <w:rPr>
                <w:rFonts w:ascii="宋体" w:hAnsi="宋体" w:cs="宋体"/>
                <w:i/>
                <w:iCs/>
                <w:snapToGrid w:val="0"/>
                <w:kern w:val="21"/>
                <w:szCs w:val="21"/>
                <w:u w:val="single"/>
              </w:rPr>
            </w:pPr>
            <w:r>
              <w:rPr>
                <w:rFonts w:hint="eastAsia" w:ascii="宋体" w:hAnsi="宋体" w:cs="宋体"/>
                <w:i/>
                <w:iCs/>
                <w:szCs w:val="21"/>
                <w:u w:val="single"/>
              </w:rPr>
              <w:t>0.052</w:t>
            </w:r>
          </w:p>
        </w:tc>
      </w:tr>
      <w:tr>
        <w:trPr>
          <w:trHeight w:val="340" w:hRule="atLeast"/>
          <w:jc w:val="center"/>
        </w:trPr>
        <w:tc>
          <w:tcPr>
            <w:tcW w:w="1117" w:type="dxa"/>
            <w:vMerge w:val="continue"/>
            <w:vAlign w:val="center"/>
          </w:tcPr>
          <w:p>
            <w:pPr>
              <w:pStyle w:val="38"/>
              <w:adjustRightInd/>
              <w:snapToGrid/>
              <w:spacing w:beforeLines="0" w:line="0" w:lineRule="atLeast"/>
              <w:ind w:firstLine="0" w:firstLineChars="0"/>
              <w:rPr>
                <w:rFonts w:hAnsi="宋体" w:cs="宋体"/>
                <w:i/>
                <w:iCs/>
                <w:snapToGrid w:val="0"/>
                <w:kern w:val="21"/>
                <w:szCs w:val="21"/>
                <w:u w:val="single"/>
              </w:rPr>
            </w:pPr>
          </w:p>
        </w:tc>
        <w:tc>
          <w:tcPr>
            <w:tcW w:w="1916" w:type="dxa"/>
            <w:vAlign w:val="center"/>
          </w:tcPr>
          <w:p>
            <w:pPr>
              <w:spacing w:line="0" w:lineRule="atLeast"/>
              <w:jc w:val="center"/>
              <w:rPr>
                <w:rFonts w:ascii="宋体" w:hAnsi="宋体" w:cs="宋体"/>
                <w:i/>
                <w:iCs/>
                <w:snapToGrid w:val="0"/>
                <w:kern w:val="21"/>
                <w:szCs w:val="21"/>
                <w:u w:val="single"/>
              </w:rPr>
            </w:pPr>
            <w:r>
              <w:rPr>
                <w:rFonts w:hint="eastAsia" w:ascii="宋体" w:hAnsi="宋体" w:cs="宋体"/>
                <w:i/>
                <w:iCs/>
                <w:szCs w:val="21"/>
                <w:u w:val="single"/>
              </w:rPr>
              <w:t>氨氮</w:t>
            </w:r>
          </w:p>
        </w:tc>
        <w:tc>
          <w:tcPr>
            <w:tcW w:w="1505" w:type="dxa"/>
            <w:vAlign w:val="center"/>
          </w:tcPr>
          <w:p>
            <w:pPr>
              <w:spacing w:line="0" w:lineRule="atLeast"/>
              <w:jc w:val="center"/>
              <w:rPr>
                <w:rFonts w:ascii="宋体" w:hAnsi="宋体" w:cs="宋体"/>
                <w:i/>
                <w:iCs/>
                <w:snapToGrid w:val="0"/>
                <w:kern w:val="21"/>
                <w:szCs w:val="21"/>
                <w:u w:val="single"/>
              </w:rPr>
            </w:pPr>
            <w:r>
              <w:rPr>
                <w:rFonts w:hint="eastAsia" w:ascii="宋体" w:hAnsi="宋体" w:cs="宋体"/>
                <w:i/>
                <w:iCs/>
                <w:snapToGrid w:val="0"/>
                <w:kern w:val="21"/>
                <w:szCs w:val="21"/>
                <w:u w:val="single"/>
              </w:rPr>
              <w:t>——</w:t>
            </w:r>
          </w:p>
        </w:tc>
        <w:tc>
          <w:tcPr>
            <w:tcW w:w="1188" w:type="dxa"/>
            <w:vAlign w:val="center"/>
          </w:tcPr>
          <w:p>
            <w:pPr>
              <w:spacing w:line="0" w:lineRule="atLeast"/>
              <w:jc w:val="center"/>
              <w:rPr>
                <w:rFonts w:ascii="宋体" w:hAnsi="宋体" w:cs="宋体"/>
                <w:i/>
                <w:iCs/>
                <w:snapToGrid w:val="0"/>
                <w:kern w:val="21"/>
                <w:szCs w:val="21"/>
                <w:u w:val="single"/>
              </w:rPr>
            </w:pPr>
            <w:r>
              <w:rPr>
                <w:rFonts w:hint="eastAsia" w:ascii="宋体" w:hAnsi="宋体" w:cs="宋体"/>
                <w:i/>
                <w:iCs/>
                <w:snapToGrid w:val="0"/>
                <w:kern w:val="21"/>
                <w:szCs w:val="21"/>
                <w:u w:val="single"/>
              </w:rPr>
              <w:t>——</w:t>
            </w:r>
          </w:p>
        </w:tc>
        <w:tc>
          <w:tcPr>
            <w:tcW w:w="1544" w:type="dxa"/>
            <w:vAlign w:val="center"/>
          </w:tcPr>
          <w:p>
            <w:pPr>
              <w:spacing w:line="0" w:lineRule="atLeast"/>
              <w:jc w:val="center"/>
              <w:rPr>
                <w:rFonts w:ascii="宋体" w:hAnsi="宋体" w:cs="宋体"/>
                <w:i/>
                <w:iCs/>
                <w:snapToGrid w:val="0"/>
                <w:kern w:val="21"/>
                <w:szCs w:val="21"/>
                <w:u w:val="single"/>
              </w:rPr>
            </w:pPr>
            <w:r>
              <w:rPr>
                <w:rFonts w:hint="eastAsia" w:ascii="宋体" w:hAnsi="宋体" w:cs="宋体"/>
                <w:i/>
                <w:iCs/>
                <w:snapToGrid w:val="0"/>
                <w:kern w:val="21"/>
                <w:szCs w:val="21"/>
                <w:u w:val="single"/>
              </w:rPr>
              <w:t>——</w:t>
            </w:r>
          </w:p>
        </w:tc>
        <w:tc>
          <w:tcPr>
            <w:tcW w:w="1752" w:type="dxa"/>
            <w:vAlign w:val="center"/>
          </w:tcPr>
          <w:p>
            <w:pPr>
              <w:spacing w:line="0" w:lineRule="atLeast"/>
              <w:jc w:val="center"/>
              <w:rPr>
                <w:rFonts w:ascii="宋体" w:hAnsi="宋体" w:cs="宋体"/>
                <w:i/>
                <w:iCs/>
                <w:snapToGrid w:val="0"/>
                <w:kern w:val="21"/>
                <w:szCs w:val="21"/>
                <w:u w:val="single"/>
              </w:rPr>
            </w:pPr>
            <w:r>
              <w:rPr>
                <w:rFonts w:hint="eastAsia" w:ascii="宋体" w:hAnsi="宋体" w:cs="宋体"/>
                <w:i/>
                <w:iCs/>
                <w:szCs w:val="21"/>
                <w:u w:val="single"/>
              </w:rPr>
              <w:t>0.001</w:t>
            </w:r>
          </w:p>
        </w:tc>
        <w:tc>
          <w:tcPr>
            <w:tcW w:w="1434" w:type="dxa"/>
            <w:vAlign w:val="center"/>
          </w:tcPr>
          <w:p>
            <w:pPr>
              <w:spacing w:line="0" w:lineRule="atLeast"/>
              <w:jc w:val="center"/>
              <w:rPr>
                <w:rFonts w:ascii="宋体" w:hAnsi="宋体" w:cs="宋体"/>
                <w:i/>
                <w:iCs/>
                <w:snapToGrid w:val="0"/>
                <w:kern w:val="21"/>
                <w:szCs w:val="21"/>
                <w:u w:val="single"/>
              </w:rPr>
            </w:pPr>
            <w:r>
              <w:rPr>
                <w:rFonts w:hint="eastAsia" w:ascii="宋体" w:hAnsi="宋体" w:cs="宋体"/>
                <w:i/>
                <w:iCs/>
                <w:snapToGrid w:val="0"/>
                <w:kern w:val="21"/>
                <w:szCs w:val="21"/>
                <w:u w:val="single"/>
              </w:rPr>
              <w:t>——</w:t>
            </w:r>
          </w:p>
        </w:tc>
        <w:tc>
          <w:tcPr>
            <w:tcW w:w="2016" w:type="dxa"/>
            <w:vAlign w:val="center"/>
          </w:tcPr>
          <w:p>
            <w:pPr>
              <w:spacing w:line="0" w:lineRule="atLeast"/>
              <w:jc w:val="center"/>
              <w:rPr>
                <w:rFonts w:ascii="宋体" w:hAnsi="宋体" w:cs="宋体"/>
                <w:i/>
                <w:iCs/>
                <w:snapToGrid w:val="0"/>
                <w:kern w:val="21"/>
                <w:szCs w:val="21"/>
                <w:u w:val="single"/>
              </w:rPr>
            </w:pPr>
            <w:r>
              <w:rPr>
                <w:rFonts w:hint="eastAsia" w:ascii="宋体" w:hAnsi="宋体" w:cs="宋体"/>
                <w:i/>
                <w:iCs/>
                <w:szCs w:val="21"/>
                <w:u w:val="single"/>
              </w:rPr>
              <w:t>0.001</w:t>
            </w:r>
          </w:p>
        </w:tc>
        <w:tc>
          <w:tcPr>
            <w:tcW w:w="1344" w:type="dxa"/>
            <w:vAlign w:val="center"/>
          </w:tcPr>
          <w:p>
            <w:pPr>
              <w:spacing w:line="0" w:lineRule="atLeast"/>
              <w:jc w:val="center"/>
              <w:rPr>
                <w:rFonts w:ascii="宋体" w:hAnsi="宋体" w:cs="宋体"/>
                <w:i/>
                <w:iCs/>
                <w:snapToGrid w:val="0"/>
                <w:kern w:val="21"/>
                <w:szCs w:val="21"/>
                <w:u w:val="single"/>
              </w:rPr>
            </w:pPr>
            <w:r>
              <w:rPr>
                <w:rFonts w:hint="eastAsia" w:ascii="宋体" w:hAnsi="宋体" w:cs="宋体"/>
                <w:i/>
                <w:iCs/>
                <w:szCs w:val="21"/>
                <w:u w:val="single"/>
              </w:rPr>
              <w:t>0.001</w:t>
            </w:r>
          </w:p>
        </w:tc>
      </w:tr>
      <w:tr>
        <w:trPr>
          <w:trHeight w:val="340" w:hRule="atLeast"/>
          <w:jc w:val="center"/>
        </w:trPr>
        <w:tc>
          <w:tcPr>
            <w:tcW w:w="1117" w:type="dxa"/>
            <w:vMerge w:val="continue"/>
            <w:vAlign w:val="center"/>
          </w:tcPr>
          <w:p>
            <w:pPr>
              <w:pStyle w:val="38"/>
              <w:adjustRightInd/>
              <w:snapToGrid/>
              <w:spacing w:beforeLines="0" w:line="0" w:lineRule="atLeast"/>
              <w:ind w:firstLine="0" w:firstLineChars="0"/>
              <w:rPr>
                <w:rFonts w:hAnsi="宋体" w:cs="宋体"/>
                <w:i/>
                <w:iCs/>
                <w:snapToGrid w:val="0"/>
                <w:kern w:val="21"/>
                <w:szCs w:val="21"/>
                <w:u w:val="single"/>
              </w:rPr>
            </w:pPr>
          </w:p>
        </w:tc>
        <w:tc>
          <w:tcPr>
            <w:tcW w:w="1916" w:type="dxa"/>
            <w:vAlign w:val="center"/>
          </w:tcPr>
          <w:p>
            <w:pPr>
              <w:spacing w:line="0" w:lineRule="atLeast"/>
              <w:jc w:val="center"/>
              <w:rPr>
                <w:rFonts w:ascii="宋体" w:hAnsi="宋体" w:cs="宋体"/>
                <w:i/>
                <w:iCs/>
                <w:snapToGrid w:val="0"/>
                <w:kern w:val="21"/>
                <w:szCs w:val="21"/>
                <w:u w:val="single"/>
              </w:rPr>
            </w:pPr>
            <w:r>
              <w:rPr>
                <w:rFonts w:hint="eastAsia" w:ascii="宋体" w:hAnsi="宋体" w:cs="宋体"/>
                <w:i/>
                <w:iCs/>
                <w:szCs w:val="21"/>
                <w:u w:val="single"/>
              </w:rPr>
              <w:t>石油类</w:t>
            </w:r>
          </w:p>
        </w:tc>
        <w:tc>
          <w:tcPr>
            <w:tcW w:w="1505" w:type="dxa"/>
            <w:vAlign w:val="center"/>
          </w:tcPr>
          <w:p>
            <w:pPr>
              <w:spacing w:line="0" w:lineRule="atLeast"/>
              <w:jc w:val="center"/>
              <w:rPr>
                <w:rFonts w:ascii="宋体" w:hAnsi="宋体" w:cs="宋体"/>
                <w:i/>
                <w:iCs/>
                <w:snapToGrid w:val="0"/>
                <w:kern w:val="21"/>
                <w:szCs w:val="21"/>
                <w:u w:val="single"/>
              </w:rPr>
            </w:pPr>
            <w:r>
              <w:rPr>
                <w:rFonts w:hint="eastAsia" w:ascii="宋体" w:hAnsi="宋体" w:cs="宋体"/>
                <w:i/>
                <w:iCs/>
                <w:snapToGrid w:val="0"/>
                <w:kern w:val="21"/>
                <w:szCs w:val="21"/>
                <w:u w:val="single"/>
              </w:rPr>
              <w:t>——</w:t>
            </w:r>
          </w:p>
        </w:tc>
        <w:tc>
          <w:tcPr>
            <w:tcW w:w="1188" w:type="dxa"/>
            <w:vAlign w:val="center"/>
          </w:tcPr>
          <w:p>
            <w:pPr>
              <w:spacing w:line="0" w:lineRule="atLeast"/>
              <w:jc w:val="center"/>
              <w:rPr>
                <w:rFonts w:ascii="宋体" w:hAnsi="宋体" w:cs="宋体"/>
                <w:i/>
                <w:iCs/>
                <w:snapToGrid w:val="0"/>
                <w:kern w:val="21"/>
                <w:szCs w:val="21"/>
                <w:u w:val="single"/>
              </w:rPr>
            </w:pPr>
            <w:r>
              <w:rPr>
                <w:rFonts w:hint="eastAsia" w:ascii="宋体" w:hAnsi="宋体" w:cs="宋体"/>
                <w:i/>
                <w:iCs/>
                <w:snapToGrid w:val="0"/>
                <w:kern w:val="21"/>
                <w:szCs w:val="21"/>
                <w:u w:val="single"/>
              </w:rPr>
              <w:t>——</w:t>
            </w:r>
          </w:p>
        </w:tc>
        <w:tc>
          <w:tcPr>
            <w:tcW w:w="1544" w:type="dxa"/>
            <w:vAlign w:val="center"/>
          </w:tcPr>
          <w:p>
            <w:pPr>
              <w:spacing w:line="0" w:lineRule="atLeast"/>
              <w:jc w:val="center"/>
              <w:rPr>
                <w:rFonts w:ascii="宋体" w:hAnsi="宋体" w:cs="宋体"/>
                <w:i/>
                <w:iCs/>
                <w:snapToGrid w:val="0"/>
                <w:kern w:val="21"/>
                <w:szCs w:val="21"/>
                <w:u w:val="single"/>
              </w:rPr>
            </w:pPr>
            <w:r>
              <w:rPr>
                <w:rFonts w:hint="eastAsia" w:ascii="宋体" w:hAnsi="宋体" w:cs="宋体"/>
                <w:i/>
                <w:iCs/>
                <w:snapToGrid w:val="0"/>
                <w:kern w:val="21"/>
                <w:szCs w:val="21"/>
                <w:u w:val="single"/>
              </w:rPr>
              <w:t>——</w:t>
            </w:r>
          </w:p>
        </w:tc>
        <w:tc>
          <w:tcPr>
            <w:tcW w:w="1752" w:type="dxa"/>
            <w:vAlign w:val="center"/>
          </w:tcPr>
          <w:p>
            <w:pPr>
              <w:spacing w:line="0" w:lineRule="atLeast"/>
              <w:jc w:val="center"/>
              <w:rPr>
                <w:rFonts w:ascii="宋体" w:hAnsi="宋体" w:cs="宋体"/>
                <w:i/>
                <w:iCs/>
                <w:snapToGrid w:val="0"/>
                <w:kern w:val="21"/>
                <w:szCs w:val="21"/>
                <w:u w:val="single"/>
              </w:rPr>
            </w:pPr>
            <w:r>
              <w:rPr>
                <w:rFonts w:hint="eastAsia" w:ascii="宋体" w:hAnsi="宋体" w:cs="宋体"/>
                <w:i/>
                <w:iCs/>
                <w:szCs w:val="21"/>
                <w:u w:val="single"/>
              </w:rPr>
              <w:t>0.0004</w:t>
            </w:r>
          </w:p>
        </w:tc>
        <w:tc>
          <w:tcPr>
            <w:tcW w:w="1434" w:type="dxa"/>
            <w:vAlign w:val="center"/>
          </w:tcPr>
          <w:p>
            <w:pPr>
              <w:spacing w:line="0" w:lineRule="atLeast"/>
              <w:jc w:val="center"/>
              <w:rPr>
                <w:rFonts w:ascii="宋体" w:hAnsi="宋体" w:cs="宋体"/>
                <w:i/>
                <w:iCs/>
                <w:snapToGrid w:val="0"/>
                <w:kern w:val="21"/>
                <w:szCs w:val="21"/>
                <w:u w:val="single"/>
              </w:rPr>
            </w:pPr>
            <w:r>
              <w:rPr>
                <w:rFonts w:hint="eastAsia" w:ascii="宋体" w:hAnsi="宋体" w:cs="宋体"/>
                <w:i/>
                <w:iCs/>
                <w:snapToGrid w:val="0"/>
                <w:kern w:val="21"/>
                <w:szCs w:val="21"/>
                <w:u w:val="single"/>
              </w:rPr>
              <w:t>——</w:t>
            </w:r>
          </w:p>
        </w:tc>
        <w:tc>
          <w:tcPr>
            <w:tcW w:w="2016" w:type="dxa"/>
            <w:vAlign w:val="center"/>
          </w:tcPr>
          <w:p>
            <w:pPr>
              <w:spacing w:line="0" w:lineRule="atLeast"/>
              <w:jc w:val="center"/>
              <w:rPr>
                <w:rFonts w:ascii="宋体" w:hAnsi="宋体" w:cs="宋体"/>
                <w:i/>
                <w:iCs/>
                <w:snapToGrid w:val="0"/>
                <w:kern w:val="21"/>
                <w:szCs w:val="21"/>
                <w:u w:val="single"/>
              </w:rPr>
            </w:pPr>
            <w:r>
              <w:rPr>
                <w:rFonts w:hint="eastAsia" w:ascii="宋体" w:hAnsi="宋体" w:cs="宋体"/>
                <w:i/>
                <w:iCs/>
                <w:szCs w:val="21"/>
                <w:u w:val="single"/>
              </w:rPr>
              <w:t>0.005</w:t>
            </w:r>
          </w:p>
        </w:tc>
        <w:tc>
          <w:tcPr>
            <w:tcW w:w="1344" w:type="dxa"/>
            <w:vAlign w:val="center"/>
          </w:tcPr>
          <w:p>
            <w:pPr>
              <w:spacing w:line="0" w:lineRule="atLeast"/>
              <w:jc w:val="center"/>
              <w:rPr>
                <w:rFonts w:ascii="宋体" w:hAnsi="宋体" w:cs="宋体"/>
                <w:i/>
                <w:iCs/>
                <w:snapToGrid w:val="0"/>
                <w:kern w:val="21"/>
                <w:szCs w:val="21"/>
                <w:u w:val="single"/>
              </w:rPr>
            </w:pPr>
            <w:r>
              <w:rPr>
                <w:rFonts w:hint="eastAsia" w:ascii="宋体" w:hAnsi="宋体" w:cs="宋体"/>
                <w:i/>
                <w:iCs/>
                <w:szCs w:val="21"/>
                <w:u w:val="single"/>
              </w:rPr>
              <w:t>0.0005</w:t>
            </w:r>
          </w:p>
        </w:tc>
      </w:tr>
      <w:tr>
        <w:trPr>
          <w:trHeight w:val="340" w:hRule="atLeast"/>
          <w:jc w:val="center"/>
        </w:trPr>
        <w:tc>
          <w:tcPr>
            <w:tcW w:w="1117" w:type="dxa"/>
            <w:vMerge w:val="restart"/>
            <w:vAlign w:val="center"/>
          </w:tcPr>
          <w:p>
            <w:pPr>
              <w:pStyle w:val="38"/>
              <w:adjustRightInd/>
              <w:snapToGrid/>
              <w:spacing w:beforeLines="0" w:line="0" w:lineRule="atLeast"/>
              <w:ind w:firstLine="0" w:firstLineChars="0"/>
              <w:rPr>
                <w:rFonts w:hAnsi="宋体" w:cs="宋体"/>
                <w:i/>
                <w:iCs/>
                <w:snapToGrid w:val="0"/>
                <w:kern w:val="21"/>
                <w:szCs w:val="21"/>
                <w:u w:val="single"/>
              </w:rPr>
            </w:pPr>
            <w:r>
              <w:rPr>
                <w:rFonts w:hint="eastAsia" w:hAnsi="宋体" w:cs="宋体"/>
                <w:i/>
                <w:iCs/>
                <w:snapToGrid w:val="0"/>
                <w:kern w:val="21"/>
                <w:szCs w:val="21"/>
                <w:u w:val="single"/>
              </w:rPr>
              <w:t>一般工业</w:t>
            </w:r>
          </w:p>
          <w:p>
            <w:pPr>
              <w:pStyle w:val="38"/>
              <w:adjustRightInd/>
              <w:snapToGrid/>
              <w:spacing w:beforeLines="0" w:line="0" w:lineRule="atLeast"/>
              <w:ind w:firstLine="0" w:firstLineChars="0"/>
              <w:rPr>
                <w:rFonts w:hAnsi="宋体" w:cs="宋体"/>
                <w:i/>
                <w:iCs/>
                <w:snapToGrid w:val="0"/>
                <w:kern w:val="21"/>
                <w:szCs w:val="21"/>
                <w:u w:val="single"/>
              </w:rPr>
            </w:pPr>
            <w:r>
              <w:rPr>
                <w:rFonts w:hint="eastAsia" w:hAnsi="宋体" w:cs="宋体"/>
                <w:i/>
                <w:iCs/>
                <w:snapToGrid w:val="0"/>
                <w:kern w:val="21"/>
                <w:szCs w:val="21"/>
                <w:u w:val="single"/>
              </w:rPr>
              <w:t>固体废物</w:t>
            </w:r>
          </w:p>
        </w:tc>
        <w:tc>
          <w:tcPr>
            <w:tcW w:w="1916" w:type="dxa"/>
            <w:vAlign w:val="center"/>
          </w:tcPr>
          <w:p>
            <w:pPr>
              <w:widowControl/>
              <w:jc w:val="center"/>
              <w:rPr>
                <w:rFonts w:ascii="宋体" w:hAnsi="宋体" w:cs="宋体"/>
                <w:i/>
                <w:iCs/>
                <w:szCs w:val="21"/>
                <w:u w:val="single"/>
              </w:rPr>
            </w:pPr>
            <w:r>
              <w:rPr>
                <w:rFonts w:hint="eastAsia" w:ascii="宋体" w:hAnsi="宋体" w:cs="宋体"/>
                <w:i/>
                <w:iCs/>
                <w:kern w:val="0"/>
                <w:szCs w:val="21"/>
                <w:u w:val="single"/>
              </w:rPr>
              <w:t>废总成</w:t>
            </w:r>
          </w:p>
        </w:tc>
        <w:tc>
          <w:tcPr>
            <w:tcW w:w="1505" w:type="dxa"/>
            <w:vAlign w:val="center"/>
          </w:tcPr>
          <w:p>
            <w:pPr>
              <w:spacing w:line="0" w:lineRule="atLeast"/>
              <w:jc w:val="center"/>
              <w:rPr>
                <w:rFonts w:ascii="宋体" w:hAnsi="宋体" w:cs="宋体"/>
                <w:i/>
                <w:iCs/>
                <w:snapToGrid w:val="0"/>
                <w:kern w:val="21"/>
                <w:szCs w:val="21"/>
                <w:u w:val="single"/>
              </w:rPr>
            </w:pPr>
            <w:r>
              <w:rPr>
                <w:rFonts w:hint="eastAsia" w:ascii="宋体" w:hAnsi="宋体" w:cs="宋体"/>
                <w:i/>
                <w:iCs/>
                <w:snapToGrid w:val="0"/>
                <w:kern w:val="21"/>
                <w:szCs w:val="21"/>
                <w:u w:val="single"/>
              </w:rPr>
              <w:t>——</w:t>
            </w:r>
          </w:p>
        </w:tc>
        <w:tc>
          <w:tcPr>
            <w:tcW w:w="1188" w:type="dxa"/>
            <w:vAlign w:val="center"/>
          </w:tcPr>
          <w:p>
            <w:pPr>
              <w:spacing w:line="0" w:lineRule="atLeast"/>
              <w:jc w:val="center"/>
              <w:rPr>
                <w:rFonts w:ascii="宋体" w:hAnsi="宋体" w:cs="宋体"/>
                <w:i/>
                <w:iCs/>
                <w:snapToGrid w:val="0"/>
                <w:kern w:val="21"/>
                <w:szCs w:val="21"/>
                <w:u w:val="single"/>
              </w:rPr>
            </w:pPr>
            <w:r>
              <w:rPr>
                <w:rFonts w:hint="eastAsia" w:ascii="宋体" w:hAnsi="宋体" w:cs="宋体"/>
                <w:i/>
                <w:iCs/>
                <w:snapToGrid w:val="0"/>
                <w:kern w:val="21"/>
                <w:szCs w:val="21"/>
                <w:u w:val="single"/>
              </w:rPr>
              <w:t>——</w:t>
            </w:r>
          </w:p>
        </w:tc>
        <w:tc>
          <w:tcPr>
            <w:tcW w:w="1544" w:type="dxa"/>
            <w:vAlign w:val="center"/>
          </w:tcPr>
          <w:p>
            <w:pPr>
              <w:spacing w:line="0" w:lineRule="atLeast"/>
              <w:jc w:val="center"/>
              <w:rPr>
                <w:rFonts w:ascii="宋体" w:hAnsi="宋体" w:cs="宋体"/>
                <w:i/>
                <w:iCs/>
                <w:snapToGrid w:val="0"/>
                <w:kern w:val="21"/>
                <w:szCs w:val="21"/>
                <w:u w:val="single"/>
              </w:rPr>
            </w:pPr>
            <w:r>
              <w:rPr>
                <w:rFonts w:hint="eastAsia" w:ascii="宋体" w:hAnsi="宋体" w:cs="宋体"/>
                <w:i/>
                <w:iCs/>
                <w:snapToGrid w:val="0"/>
                <w:kern w:val="21"/>
                <w:szCs w:val="21"/>
                <w:u w:val="single"/>
              </w:rPr>
              <w:t>——</w:t>
            </w:r>
          </w:p>
        </w:tc>
        <w:tc>
          <w:tcPr>
            <w:tcW w:w="1752" w:type="dxa"/>
            <w:vAlign w:val="center"/>
          </w:tcPr>
          <w:p>
            <w:pPr>
              <w:widowControl/>
              <w:jc w:val="center"/>
              <w:rPr>
                <w:rFonts w:ascii="宋体" w:hAnsi="宋体" w:cs="宋体"/>
                <w:i/>
                <w:iCs/>
                <w:szCs w:val="21"/>
                <w:u w:val="single"/>
              </w:rPr>
            </w:pPr>
            <w:r>
              <w:rPr>
                <w:rFonts w:hint="eastAsia" w:ascii="宋体" w:hAnsi="宋体" w:cs="宋体"/>
                <w:i/>
                <w:iCs/>
                <w:szCs w:val="21"/>
                <w:u w:val="single"/>
              </w:rPr>
              <w:t>825</w:t>
            </w:r>
          </w:p>
        </w:tc>
        <w:tc>
          <w:tcPr>
            <w:tcW w:w="1434" w:type="dxa"/>
            <w:vAlign w:val="center"/>
          </w:tcPr>
          <w:p>
            <w:pPr>
              <w:spacing w:line="0" w:lineRule="atLeast"/>
              <w:jc w:val="center"/>
              <w:rPr>
                <w:rFonts w:ascii="宋体" w:hAnsi="宋体" w:cs="宋体"/>
                <w:i/>
                <w:iCs/>
                <w:snapToGrid w:val="0"/>
                <w:kern w:val="21"/>
                <w:szCs w:val="21"/>
                <w:u w:val="single"/>
              </w:rPr>
            </w:pPr>
            <w:r>
              <w:rPr>
                <w:rFonts w:hint="eastAsia" w:ascii="宋体" w:hAnsi="宋体" w:cs="宋体"/>
                <w:i/>
                <w:iCs/>
                <w:snapToGrid w:val="0"/>
                <w:kern w:val="21"/>
                <w:szCs w:val="21"/>
                <w:u w:val="single"/>
              </w:rPr>
              <w:t>——</w:t>
            </w:r>
          </w:p>
        </w:tc>
        <w:tc>
          <w:tcPr>
            <w:tcW w:w="2016" w:type="dxa"/>
            <w:vAlign w:val="center"/>
          </w:tcPr>
          <w:p>
            <w:pPr>
              <w:widowControl/>
              <w:jc w:val="center"/>
              <w:rPr>
                <w:rFonts w:ascii="宋体" w:hAnsi="宋体" w:cs="宋体"/>
                <w:i/>
                <w:iCs/>
                <w:szCs w:val="21"/>
                <w:u w:val="single"/>
              </w:rPr>
            </w:pPr>
            <w:r>
              <w:rPr>
                <w:rFonts w:hint="eastAsia" w:ascii="宋体" w:hAnsi="宋体" w:cs="宋体"/>
                <w:i/>
                <w:iCs/>
                <w:szCs w:val="21"/>
                <w:u w:val="single"/>
              </w:rPr>
              <w:t>1650</w:t>
            </w:r>
          </w:p>
        </w:tc>
        <w:tc>
          <w:tcPr>
            <w:tcW w:w="1344" w:type="dxa"/>
            <w:vAlign w:val="center"/>
          </w:tcPr>
          <w:p>
            <w:pPr>
              <w:widowControl/>
              <w:jc w:val="center"/>
              <w:rPr>
                <w:rFonts w:ascii="宋体" w:hAnsi="宋体" w:cs="宋体"/>
                <w:i/>
                <w:iCs/>
                <w:szCs w:val="21"/>
                <w:u w:val="single"/>
              </w:rPr>
            </w:pPr>
            <w:r>
              <w:rPr>
                <w:rFonts w:hint="eastAsia" w:ascii="宋体" w:hAnsi="宋体" w:cs="宋体"/>
                <w:i/>
                <w:iCs/>
                <w:szCs w:val="21"/>
                <w:u w:val="single"/>
              </w:rPr>
              <w:t>1650</w:t>
            </w:r>
          </w:p>
        </w:tc>
      </w:tr>
      <w:tr>
        <w:trPr>
          <w:trHeight w:val="340" w:hRule="atLeast"/>
          <w:jc w:val="center"/>
        </w:trPr>
        <w:tc>
          <w:tcPr>
            <w:tcW w:w="1117" w:type="dxa"/>
            <w:vMerge w:val="continue"/>
            <w:vAlign w:val="center"/>
          </w:tcPr>
          <w:p>
            <w:pPr>
              <w:pStyle w:val="38"/>
              <w:adjustRightInd/>
              <w:snapToGrid/>
              <w:spacing w:beforeLines="0" w:line="0" w:lineRule="atLeast"/>
              <w:ind w:firstLine="0" w:firstLineChars="0"/>
              <w:rPr>
                <w:rFonts w:hAnsi="宋体" w:cs="宋体"/>
                <w:i/>
                <w:iCs/>
                <w:snapToGrid w:val="0"/>
                <w:kern w:val="21"/>
                <w:szCs w:val="21"/>
                <w:u w:val="single"/>
              </w:rPr>
            </w:pPr>
          </w:p>
        </w:tc>
        <w:tc>
          <w:tcPr>
            <w:tcW w:w="1916" w:type="dxa"/>
            <w:vAlign w:val="center"/>
          </w:tcPr>
          <w:p>
            <w:pPr>
              <w:widowControl/>
              <w:jc w:val="center"/>
              <w:rPr>
                <w:rFonts w:ascii="宋体" w:hAnsi="宋体" w:cs="宋体"/>
                <w:i/>
                <w:iCs/>
                <w:szCs w:val="21"/>
                <w:u w:val="single"/>
              </w:rPr>
            </w:pPr>
            <w:r>
              <w:rPr>
                <w:rFonts w:hint="eastAsia" w:ascii="宋体" w:hAnsi="宋体" w:cs="宋体"/>
                <w:i/>
                <w:iCs/>
                <w:kern w:val="0"/>
                <w:szCs w:val="21"/>
                <w:u w:val="single"/>
              </w:rPr>
              <w:t>钢铁</w:t>
            </w:r>
          </w:p>
        </w:tc>
        <w:tc>
          <w:tcPr>
            <w:tcW w:w="1505" w:type="dxa"/>
            <w:vAlign w:val="center"/>
          </w:tcPr>
          <w:p>
            <w:pPr>
              <w:spacing w:line="0" w:lineRule="atLeast"/>
              <w:jc w:val="center"/>
              <w:rPr>
                <w:rFonts w:ascii="宋体" w:hAnsi="宋体" w:cs="宋体"/>
                <w:i/>
                <w:iCs/>
                <w:snapToGrid w:val="0"/>
                <w:kern w:val="21"/>
                <w:szCs w:val="21"/>
                <w:u w:val="single"/>
              </w:rPr>
            </w:pPr>
            <w:r>
              <w:rPr>
                <w:rFonts w:hint="eastAsia" w:ascii="宋体" w:hAnsi="宋体" w:cs="宋体"/>
                <w:i/>
                <w:iCs/>
                <w:snapToGrid w:val="0"/>
                <w:kern w:val="21"/>
                <w:szCs w:val="21"/>
                <w:u w:val="single"/>
              </w:rPr>
              <w:t>——</w:t>
            </w:r>
          </w:p>
        </w:tc>
        <w:tc>
          <w:tcPr>
            <w:tcW w:w="1188" w:type="dxa"/>
            <w:vAlign w:val="center"/>
          </w:tcPr>
          <w:p>
            <w:pPr>
              <w:spacing w:line="0" w:lineRule="atLeast"/>
              <w:jc w:val="center"/>
              <w:rPr>
                <w:rFonts w:ascii="宋体" w:hAnsi="宋体" w:cs="宋体"/>
                <w:i/>
                <w:iCs/>
                <w:snapToGrid w:val="0"/>
                <w:kern w:val="21"/>
                <w:szCs w:val="21"/>
                <w:u w:val="single"/>
              </w:rPr>
            </w:pPr>
            <w:r>
              <w:rPr>
                <w:rFonts w:hint="eastAsia" w:ascii="宋体" w:hAnsi="宋体" w:cs="宋体"/>
                <w:i/>
                <w:iCs/>
                <w:snapToGrid w:val="0"/>
                <w:kern w:val="21"/>
                <w:szCs w:val="21"/>
                <w:u w:val="single"/>
              </w:rPr>
              <w:t>——</w:t>
            </w:r>
          </w:p>
        </w:tc>
        <w:tc>
          <w:tcPr>
            <w:tcW w:w="1544" w:type="dxa"/>
            <w:vAlign w:val="center"/>
          </w:tcPr>
          <w:p>
            <w:pPr>
              <w:spacing w:line="0" w:lineRule="atLeast"/>
              <w:jc w:val="center"/>
              <w:rPr>
                <w:rFonts w:ascii="宋体" w:hAnsi="宋体" w:cs="宋体"/>
                <w:i/>
                <w:iCs/>
                <w:snapToGrid w:val="0"/>
                <w:kern w:val="21"/>
                <w:szCs w:val="21"/>
                <w:u w:val="single"/>
              </w:rPr>
            </w:pPr>
            <w:r>
              <w:rPr>
                <w:rFonts w:hint="eastAsia" w:ascii="宋体" w:hAnsi="宋体" w:cs="宋体"/>
                <w:i/>
                <w:iCs/>
                <w:snapToGrid w:val="0"/>
                <w:kern w:val="21"/>
                <w:szCs w:val="21"/>
                <w:u w:val="single"/>
              </w:rPr>
              <w:t>——</w:t>
            </w:r>
          </w:p>
        </w:tc>
        <w:tc>
          <w:tcPr>
            <w:tcW w:w="1752" w:type="dxa"/>
            <w:vAlign w:val="center"/>
          </w:tcPr>
          <w:p>
            <w:pPr>
              <w:widowControl/>
              <w:jc w:val="center"/>
              <w:rPr>
                <w:rFonts w:ascii="宋体" w:hAnsi="宋体" w:cs="宋体"/>
                <w:i/>
                <w:iCs/>
                <w:szCs w:val="21"/>
                <w:u w:val="single"/>
              </w:rPr>
            </w:pPr>
            <w:r>
              <w:rPr>
                <w:rFonts w:hint="eastAsia" w:ascii="宋体" w:hAnsi="宋体" w:cs="宋体"/>
                <w:i/>
                <w:iCs/>
                <w:szCs w:val="21"/>
                <w:u w:val="single"/>
              </w:rPr>
              <w:t>1370.5</w:t>
            </w:r>
          </w:p>
        </w:tc>
        <w:tc>
          <w:tcPr>
            <w:tcW w:w="1434" w:type="dxa"/>
            <w:vAlign w:val="center"/>
          </w:tcPr>
          <w:p>
            <w:pPr>
              <w:spacing w:line="0" w:lineRule="atLeast"/>
              <w:jc w:val="center"/>
              <w:rPr>
                <w:rFonts w:ascii="宋体" w:hAnsi="宋体" w:cs="宋体"/>
                <w:i/>
                <w:iCs/>
                <w:snapToGrid w:val="0"/>
                <w:kern w:val="21"/>
                <w:szCs w:val="21"/>
                <w:u w:val="single"/>
              </w:rPr>
            </w:pPr>
          </w:p>
        </w:tc>
        <w:tc>
          <w:tcPr>
            <w:tcW w:w="2016" w:type="dxa"/>
            <w:vAlign w:val="center"/>
          </w:tcPr>
          <w:p>
            <w:pPr>
              <w:widowControl/>
              <w:jc w:val="center"/>
              <w:rPr>
                <w:rFonts w:ascii="宋体" w:hAnsi="宋体" w:cs="宋体"/>
                <w:i/>
                <w:iCs/>
                <w:szCs w:val="21"/>
                <w:u w:val="single"/>
              </w:rPr>
            </w:pPr>
            <w:r>
              <w:rPr>
                <w:rFonts w:hint="eastAsia" w:ascii="宋体" w:hAnsi="宋体" w:cs="宋体"/>
                <w:i/>
                <w:iCs/>
                <w:szCs w:val="21"/>
                <w:u w:val="single"/>
              </w:rPr>
              <w:t>2741</w:t>
            </w:r>
          </w:p>
        </w:tc>
        <w:tc>
          <w:tcPr>
            <w:tcW w:w="1344" w:type="dxa"/>
            <w:vAlign w:val="center"/>
          </w:tcPr>
          <w:p>
            <w:pPr>
              <w:widowControl/>
              <w:jc w:val="center"/>
              <w:rPr>
                <w:rFonts w:ascii="宋体" w:hAnsi="宋体" w:cs="宋体"/>
                <w:i/>
                <w:iCs/>
                <w:szCs w:val="21"/>
                <w:u w:val="single"/>
              </w:rPr>
            </w:pPr>
            <w:r>
              <w:rPr>
                <w:rFonts w:hint="eastAsia" w:ascii="宋体" w:hAnsi="宋体" w:cs="宋体"/>
                <w:i/>
                <w:iCs/>
                <w:szCs w:val="21"/>
                <w:u w:val="single"/>
              </w:rPr>
              <w:t>2741</w:t>
            </w:r>
          </w:p>
        </w:tc>
      </w:tr>
      <w:tr>
        <w:trPr>
          <w:trHeight w:val="340" w:hRule="atLeast"/>
          <w:jc w:val="center"/>
        </w:trPr>
        <w:tc>
          <w:tcPr>
            <w:tcW w:w="1117" w:type="dxa"/>
            <w:vMerge w:val="continue"/>
            <w:vAlign w:val="center"/>
          </w:tcPr>
          <w:p>
            <w:pPr>
              <w:pStyle w:val="38"/>
              <w:adjustRightInd/>
              <w:snapToGrid/>
              <w:spacing w:beforeLines="0" w:line="0" w:lineRule="atLeast"/>
              <w:ind w:firstLine="0" w:firstLineChars="0"/>
              <w:rPr>
                <w:rFonts w:hAnsi="宋体" w:cs="宋体"/>
                <w:i/>
                <w:iCs/>
                <w:snapToGrid w:val="0"/>
                <w:kern w:val="21"/>
                <w:szCs w:val="21"/>
                <w:u w:val="single"/>
              </w:rPr>
            </w:pPr>
          </w:p>
        </w:tc>
        <w:tc>
          <w:tcPr>
            <w:tcW w:w="1916" w:type="dxa"/>
            <w:vAlign w:val="center"/>
          </w:tcPr>
          <w:p>
            <w:pPr>
              <w:widowControl/>
              <w:jc w:val="center"/>
              <w:rPr>
                <w:rFonts w:ascii="宋体" w:hAnsi="宋体" w:cs="宋体"/>
                <w:i/>
                <w:iCs/>
                <w:szCs w:val="21"/>
                <w:u w:val="single"/>
              </w:rPr>
            </w:pPr>
            <w:r>
              <w:rPr>
                <w:rFonts w:hint="eastAsia" w:ascii="宋体" w:hAnsi="宋体" w:cs="宋体"/>
                <w:i/>
                <w:iCs/>
                <w:kern w:val="0"/>
                <w:szCs w:val="21"/>
                <w:u w:val="single"/>
              </w:rPr>
              <w:t>废玻璃</w:t>
            </w:r>
          </w:p>
        </w:tc>
        <w:tc>
          <w:tcPr>
            <w:tcW w:w="1505" w:type="dxa"/>
            <w:vAlign w:val="center"/>
          </w:tcPr>
          <w:p>
            <w:pPr>
              <w:spacing w:line="0" w:lineRule="atLeast"/>
              <w:jc w:val="center"/>
              <w:rPr>
                <w:rFonts w:ascii="宋体" w:hAnsi="宋体" w:cs="宋体"/>
                <w:i/>
                <w:iCs/>
                <w:snapToGrid w:val="0"/>
                <w:kern w:val="21"/>
                <w:szCs w:val="21"/>
                <w:u w:val="single"/>
              </w:rPr>
            </w:pPr>
            <w:r>
              <w:rPr>
                <w:rFonts w:hint="eastAsia" w:ascii="宋体" w:hAnsi="宋体" w:cs="宋体"/>
                <w:i/>
                <w:iCs/>
                <w:snapToGrid w:val="0"/>
                <w:kern w:val="21"/>
                <w:szCs w:val="21"/>
                <w:u w:val="single"/>
              </w:rPr>
              <w:t>——</w:t>
            </w:r>
          </w:p>
        </w:tc>
        <w:tc>
          <w:tcPr>
            <w:tcW w:w="1188" w:type="dxa"/>
            <w:vAlign w:val="center"/>
          </w:tcPr>
          <w:p>
            <w:pPr>
              <w:spacing w:line="0" w:lineRule="atLeast"/>
              <w:jc w:val="center"/>
              <w:rPr>
                <w:rFonts w:ascii="宋体" w:hAnsi="宋体" w:cs="宋体"/>
                <w:i/>
                <w:iCs/>
                <w:snapToGrid w:val="0"/>
                <w:kern w:val="21"/>
                <w:szCs w:val="21"/>
                <w:u w:val="single"/>
              </w:rPr>
            </w:pPr>
            <w:r>
              <w:rPr>
                <w:rFonts w:hint="eastAsia" w:ascii="宋体" w:hAnsi="宋体" w:cs="宋体"/>
                <w:i/>
                <w:iCs/>
                <w:snapToGrid w:val="0"/>
                <w:kern w:val="21"/>
                <w:szCs w:val="21"/>
                <w:u w:val="single"/>
              </w:rPr>
              <w:t>——</w:t>
            </w:r>
          </w:p>
        </w:tc>
        <w:tc>
          <w:tcPr>
            <w:tcW w:w="1544" w:type="dxa"/>
            <w:vAlign w:val="center"/>
          </w:tcPr>
          <w:p>
            <w:pPr>
              <w:spacing w:line="0" w:lineRule="atLeast"/>
              <w:jc w:val="center"/>
              <w:rPr>
                <w:rFonts w:ascii="宋体" w:hAnsi="宋体" w:cs="宋体"/>
                <w:i/>
                <w:iCs/>
                <w:snapToGrid w:val="0"/>
                <w:kern w:val="21"/>
                <w:szCs w:val="21"/>
                <w:u w:val="single"/>
              </w:rPr>
            </w:pPr>
            <w:r>
              <w:rPr>
                <w:rFonts w:hint="eastAsia" w:ascii="宋体" w:hAnsi="宋体" w:cs="宋体"/>
                <w:i/>
                <w:iCs/>
                <w:snapToGrid w:val="0"/>
                <w:kern w:val="21"/>
                <w:szCs w:val="21"/>
                <w:u w:val="single"/>
              </w:rPr>
              <w:t>——</w:t>
            </w:r>
          </w:p>
        </w:tc>
        <w:tc>
          <w:tcPr>
            <w:tcW w:w="1752" w:type="dxa"/>
            <w:vAlign w:val="center"/>
          </w:tcPr>
          <w:p>
            <w:pPr>
              <w:widowControl/>
              <w:jc w:val="center"/>
              <w:rPr>
                <w:rFonts w:ascii="宋体" w:hAnsi="宋体" w:cs="宋体"/>
                <w:i/>
                <w:iCs/>
                <w:szCs w:val="21"/>
                <w:u w:val="single"/>
              </w:rPr>
            </w:pPr>
            <w:r>
              <w:rPr>
                <w:rFonts w:hint="eastAsia" w:ascii="宋体" w:hAnsi="宋体" w:cs="宋体"/>
                <w:i/>
                <w:iCs/>
                <w:szCs w:val="21"/>
                <w:u w:val="single"/>
              </w:rPr>
              <w:t>58.5</w:t>
            </w:r>
          </w:p>
        </w:tc>
        <w:tc>
          <w:tcPr>
            <w:tcW w:w="1434" w:type="dxa"/>
            <w:vAlign w:val="center"/>
          </w:tcPr>
          <w:p>
            <w:pPr>
              <w:spacing w:line="0" w:lineRule="atLeast"/>
              <w:jc w:val="center"/>
              <w:rPr>
                <w:rFonts w:ascii="宋体" w:hAnsi="宋体" w:cs="宋体"/>
                <w:i/>
                <w:iCs/>
                <w:snapToGrid w:val="0"/>
                <w:kern w:val="21"/>
                <w:szCs w:val="21"/>
                <w:u w:val="single"/>
              </w:rPr>
            </w:pPr>
          </w:p>
        </w:tc>
        <w:tc>
          <w:tcPr>
            <w:tcW w:w="2016" w:type="dxa"/>
            <w:vAlign w:val="center"/>
          </w:tcPr>
          <w:p>
            <w:pPr>
              <w:widowControl/>
              <w:jc w:val="center"/>
              <w:rPr>
                <w:rFonts w:ascii="宋体" w:hAnsi="宋体" w:cs="宋体"/>
                <w:i/>
                <w:iCs/>
                <w:szCs w:val="21"/>
                <w:u w:val="single"/>
              </w:rPr>
            </w:pPr>
            <w:r>
              <w:rPr>
                <w:rFonts w:hint="eastAsia" w:ascii="宋体" w:hAnsi="宋体" w:cs="宋体"/>
                <w:i/>
                <w:iCs/>
                <w:szCs w:val="21"/>
                <w:u w:val="single"/>
              </w:rPr>
              <w:t>117</w:t>
            </w:r>
          </w:p>
        </w:tc>
        <w:tc>
          <w:tcPr>
            <w:tcW w:w="1344" w:type="dxa"/>
            <w:vAlign w:val="center"/>
          </w:tcPr>
          <w:p>
            <w:pPr>
              <w:widowControl/>
              <w:jc w:val="center"/>
              <w:rPr>
                <w:rFonts w:ascii="宋体" w:hAnsi="宋体" w:cs="宋体"/>
                <w:i/>
                <w:iCs/>
                <w:szCs w:val="21"/>
                <w:u w:val="single"/>
              </w:rPr>
            </w:pPr>
            <w:r>
              <w:rPr>
                <w:rFonts w:hint="eastAsia" w:ascii="宋体" w:hAnsi="宋体" w:cs="宋体"/>
                <w:i/>
                <w:iCs/>
                <w:szCs w:val="21"/>
                <w:u w:val="single"/>
              </w:rPr>
              <w:t>117</w:t>
            </w:r>
          </w:p>
        </w:tc>
      </w:tr>
      <w:tr>
        <w:trPr>
          <w:trHeight w:val="340" w:hRule="atLeast"/>
          <w:jc w:val="center"/>
        </w:trPr>
        <w:tc>
          <w:tcPr>
            <w:tcW w:w="1117" w:type="dxa"/>
            <w:vMerge w:val="continue"/>
            <w:vAlign w:val="center"/>
          </w:tcPr>
          <w:p>
            <w:pPr>
              <w:pStyle w:val="38"/>
              <w:adjustRightInd/>
              <w:snapToGrid/>
              <w:spacing w:beforeLines="0" w:line="0" w:lineRule="atLeast"/>
              <w:ind w:firstLine="0" w:firstLineChars="0"/>
              <w:rPr>
                <w:rFonts w:hAnsi="宋体" w:cs="宋体"/>
                <w:i/>
                <w:iCs/>
                <w:snapToGrid w:val="0"/>
                <w:kern w:val="21"/>
                <w:szCs w:val="21"/>
                <w:u w:val="single"/>
              </w:rPr>
            </w:pPr>
          </w:p>
        </w:tc>
        <w:tc>
          <w:tcPr>
            <w:tcW w:w="1916" w:type="dxa"/>
            <w:vAlign w:val="center"/>
          </w:tcPr>
          <w:p>
            <w:pPr>
              <w:widowControl/>
              <w:jc w:val="center"/>
              <w:rPr>
                <w:rFonts w:ascii="宋体" w:hAnsi="宋体" w:cs="宋体"/>
                <w:i/>
                <w:iCs/>
                <w:szCs w:val="21"/>
                <w:u w:val="single"/>
              </w:rPr>
            </w:pPr>
            <w:r>
              <w:rPr>
                <w:rFonts w:hint="eastAsia" w:ascii="宋体" w:hAnsi="宋体" w:cs="宋体"/>
                <w:i/>
                <w:iCs/>
                <w:kern w:val="0"/>
                <w:szCs w:val="21"/>
                <w:u w:val="single"/>
              </w:rPr>
              <w:t>废橡胶</w:t>
            </w:r>
          </w:p>
        </w:tc>
        <w:tc>
          <w:tcPr>
            <w:tcW w:w="1505" w:type="dxa"/>
            <w:vAlign w:val="center"/>
          </w:tcPr>
          <w:p>
            <w:pPr>
              <w:spacing w:line="0" w:lineRule="atLeast"/>
              <w:jc w:val="center"/>
              <w:rPr>
                <w:rFonts w:ascii="宋体" w:hAnsi="宋体" w:cs="宋体"/>
                <w:i/>
                <w:iCs/>
                <w:snapToGrid w:val="0"/>
                <w:kern w:val="21"/>
                <w:szCs w:val="21"/>
                <w:u w:val="single"/>
              </w:rPr>
            </w:pPr>
            <w:r>
              <w:rPr>
                <w:rFonts w:hint="eastAsia" w:ascii="宋体" w:hAnsi="宋体" w:cs="宋体"/>
                <w:i/>
                <w:iCs/>
                <w:snapToGrid w:val="0"/>
                <w:kern w:val="21"/>
                <w:szCs w:val="21"/>
                <w:u w:val="single"/>
              </w:rPr>
              <w:t>——</w:t>
            </w:r>
          </w:p>
        </w:tc>
        <w:tc>
          <w:tcPr>
            <w:tcW w:w="1188" w:type="dxa"/>
            <w:vAlign w:val="center"/>
          </w:tcPr>
          <w:p>
            <w:pPr>
              <w:spacing w:line="0" w:lineRule="atLeast"/>
              <w:jc w:val="center"/>
              <w:rPr>
                <w:rFonts w:ascii="宋体" w:hAnsi="宋体" w:cs="宋体"/>
                <w:i/>
                <w:iCs/>
                <w:snapToGrid w:val="0"/>
                <w:kern w:val="21"/>
                <w:szCs w:val="21"/>
                <w:u w:val="single"/>
              </w:rPr>
            </w:pPr>
            <w:r>
              <w:rPr>
                <w:rFonts w:hint="eastAsia" w:ascii="宋体" w:hAnsi="宋体" w:cs="宋体"/>
                <w:i/>
                <w:iCs/>
                <w:snapToGrid w:val="0"/>
                <w:kern w:val="21"/>
                <w:szCs w:val="21"/>
                <w:u w:val="single"/>
              </w:rPr>
              <w:t>——</w:t>
            </w:r>
          </w:p>
        </w:tc>
        <w:tc>
          <w:tcPr>
            <w:tcW w:w="1544" w:type="dxa"/>
            <w:vAlign w:val="center"/>
          </w:tcPr>
          <w:p>
            <w:pPr>
              <w:spacing w:line="0" w:lineRule="atLeast"/>
              <w:jc w:val="center"/>
              <w:rPr>
                <w:rFonts w:ascii="宋体" w:hAnsi="宋体" w:cs="宋体"/>
                <w:i/>
                <w:iCs/>
                <w:snapToGrid w:val="0"/>
                <w:kern w:val="21"/>
                <w:szCs w:val="21"/>
                <w:u w:val="single"/>
              </w:rPr>
            </w:pPr>
            <w:r>
              <w:rPr>
                <w:rFonts w:hint="eastAsia" w:ascii="宋体" w:hAnsi="宋体" w:cs="宋体"/>
                <w:i/>
                <w:iCs/>
                <w:snapToGrid w:val="0"/>
                <w:kern w:val="21"/>
                <w:szCs w:val="21"/>
                <w:u w:val="single"/>
              </w:rPr>
              <w:t>——</w:t>
            </w:r>
          </w:p>
        </w:tc>
        <w:tc>
          <w:tcPr>
            <w:tcW w:w="1752" w:type="dxa"/>
            <w:vAlign w:val="center"/>
          </w:tcPr>
          <w:p>
            <w:pPr>
              <w:widowControl/>
              <w:jc w:val="center"/>
              <w:rPr>
                <w:rFonts w:ascii="宋体" w:hAnsi="宋体" w:cs="宋体"/>
                <w:i/>
                <w:iCs/>
                <w:szCs w:val="21"/>
                <w:u w:val="single"/>
              </w:rPr>
            </w:pPr>
            <w:r>
              <w:rPr>
                <w:rFonts w:hint="eastAsia" w:ascii="宋体" w:hAnsi="宋体" w:cs="宋体"/>
                <w:i/>
                <w:iCs/>
                <w:szCs w:val="21"/>
                <w:u w:val="single"/>
              </w:rPr>
              <w:t>162</w:t>
            </w:r>
          </w:p>
        </w:tc>
        <w:tc>
          <w:tcPr>
            <w:tcW w:w="1434" w:type="dxa"/>
            <w:vAlign w:val="center"/>
          </w:tcPr>
          <w:p>
            <w:pPr>
              <w:spacing w:line="0" w:lineRule="atLeast"/>
              <w:jc w:val="center"/>
              <w:rPr>
                <w:rFonts w:ascii="宋体" w:hAnsi="宋体" w:cs="宋体"/>
                <w:i/>
                <w:iCs/>
                <w:snapToGrid w:val="0"/>
                <w:kern w:val="21"/>
                <w:szCs w:val="21"/>
                <w:u w:val="single"/>
              </w:rPr>
            </w:pPr>
          </w:p>
        </w:tc>
        <w:tc>
          <w:tcPr>
            <w:tcW w:w="2016" w:type="dxa"/>
            <w:vAlign w:val="center"/>
          </w:tcPr>
          <w:p>
            <w:pPr>
              <w:widowControl/>
              <w:jc w:val="center"/>
              <w:rPr>
                <w:rFonts w:ascii="宋体" w:hAnsi="宋体" w:cs="宋体"/>
                <w:i/>
                <w:iCs/>
                <w:szCs w:val="21"/>
                <w:u w:val="single"/>
              </w:rPr>
            </w:pPr>
            <w:r>
              <w:rPr>
                <w:rFonts w:hint="eastAsia" w:ascii="宋体" w:hAnsi="宋体" w:cs="宋体"/>
                <w:i/>
                <w:iCs/>
                <w:szCs w:val="21"/>
                <w:u w:val="single"/>
              </w:rPr>
              <w:t>324</w:t>
            </w:r>
          </w:p>
        </w:tc>
        <w:tc>
          <w:tcPr>
            <w:tcW w:w="1344" w:type="dxa"/>
            <w:vAlign w:val="center"/>
          </w:tcPr>
          <w:p>
            <w:pPr>
              <w:widowControl/>
              <w:jc w:val="center"/>
              <w:rPr>
                <w:rFonts w:ascii="宋体" w:hAnsi="宋体" w:cs="宋体"/>
                <w:i/>
                <w:iCs/>
                <w:szCs w:val="21"/>
                <w:u w:val="single"/>
              </w:rPr>
            </w:pPr>
            <w:r>
              <w:rPr>
                <w:rFonts w:hint="eastAsia" w:ascii="宋体" w:hAnsi="宋体" w:cs="宋体"/>
                <w:i/>
                <w:iCs/>
                <w:szCs w:val="21"/>
                <w:u w:val="single"/>
              </w:rPr>
              <w:t>324</w:t>
            </w:r>
          </w:p>
        </w:tc>
      </w:tr>
      <w:tr>
        <w:trPr>
          <w:trHeight w:val="340" w:hRule="atLeast"/>
          <w:jc w:val="center"/>
        </w:trPr>
        <w:tc>
          <w:tcPr>
            <w:tcW w:w="1117" w:type="dxa"/>
            <w:vMerge w:val="continue"/>
            <w:vAlign w:val="center"/>
          </w:tcPr>
          <w:p>
            <w:pPr>
              <w:pStyle w:val="38"/>
              <w:adjustRightInd/>
              <w:snapToGrid/>
              <w:spacing w:beforeLines="0" w:line="0" w:lineRule="atLeast"/>
              <w:ind w:firstLine="0" w:firstLineChars="0"/>
              <w:rPr>
                <w:rFonts w:hAnsi="宋体" w:cs="宋体"/>
                <w:i/>
                <w:iCs/>
                <w:snapToGrid w:val="0"/>
                <w:kern w:val="21"/>
                <w:szCs w:val="21"/>
                <w:u w:val="single"/>
              </w:rPr>
            </w:pPr>
          </w:p>
        </w:tc>
        <w:tc>
          <w:tcPr>
            <w:tcW w:w="1916" w:type="dxa"/>
            <w:vAlign w:val="center"/>
          </w:tcPr>
          <w:p>
            <w:pPr>
              <w:widowControl/>
              <w:jc w:val="center"/>
              <w:rPr>
                <w:rFonts w:ascii="宋体" w:hAnsi="宋体" w:cs="宋体"/>
                <w:i/>
                <w:iCs/>
                <w:szCs w:val="21"/>
                <w:u w:val="single"/>
              </w:rPr>
            </w:pPr>
            <w:r>
              <w:rPr>
                <w:rFonts w:hint="eastAsia" w:ascii="宋体" w:hAnsi="宋体" w:cs="宋体"/>
                <w:i/>
                <w:iCs/>
                <w:kern w:val="0"/>
                <w:szCs w:val="21"/>
                <w:u w:val="single"/>
              </w:rPr>
              <w:t>纤维皮革</w:t>
            </w:r>
          </w:p>
        </w:tc>
        <w:tc>
          <w:tcPr>
            <w:tcW w:w="1505" w:type="dxa"/>
            <w:vAlign w:val="center"/>
          </w:tcPr>
          <w:p>
            <w:pPr>
              <w:spacing w:line="0" w:lineRule="atLeast"/>
              <w:jc w:val="center"/>
              <w:rPr>
                <w:rFonts w:ascii="宋体" w:hAnsi="宋体" w:cs="宋体"/>
                <w:i/>
                <w:iCs/>
                <w:snapToGrid w:val="0"/>
                <w:kern w:val="21"/>
                <w:szCs w:val="21"/>
                <w:u w:val="single"/>
              </w:rPr>
            </w:pPr>
            <w:r>
              <w:rPr>
                <w:rFonts w:hint="eastAsia" w:ascii="宋体" w:hAnsi="宋体" w:cs="宋体"/>
                <w:i/>
                <w:iCs/>
                <w:snapToGrid w:val="0"/>
                <w:kern w:val="21"/>
                <w:szCs w:val="21"/>
                <w:u w:val="single"/>
              </w:rPr>
              <w:t>——</w:t>
            </w:r>
          </w:p>
        </w:tc>
        <w:tc>
          <w:tcPr>
            <w:tcW w:w="1188" w:type="dxa"/>
            <w:vAlign w:val="center"/>
          </w:tcPr>
          <w:p>
            <w:pPr>
              <w:spacing w:line="0" w:lineRule="atLeast"/>
              <w:jc w:val="center"/>
              <w:rPr>
                <w:rFonts w:ascii="宋体" w:hAnsi="宋体" w:cs="宋体"/>
                <w:i/>
                <w:iCs/>
                <w:snapToGrid w:val="0"/>
                <w:kern w:val="21"/>
                <w:szCs w:val="21"/>
                <w:u w:val="single"/>
              </w:rPr>
            </w:pPr>
            <w:r>
              <w:rPr>
                <w:rFonts w:hint="eastAsia" w:ascii="宋体" w:hAnsi="宋体" w:cs="宋体"/>
                <w:i/>
                <w:iCs/>
                <w:snapToGrid w:val="0"/>
                <w:kern w:val="21"/>
                <w:szCs w:val="21"/>
                <w:u w:val="single"/>
              </w:rPr>
              <w:t>——</w:t>
            </w:r>
          </w:p>
        </w:tc>
        <w:tc>
          <w:tcPr>
            <w:tcW w:w="1544" w:type="dxa"/>
            <w:vAlign w:val="center"/>
          </w:tcPr>
          <w:p>
            <w:pPr>
              <w:spacing w:line="0" w:lineRule="atLeast"/>
              <w:jc w:val="center"/>
              <w:rPr>
                <w:rFonts w:ascii="宋体" w:hAnsi="宋体" w:cs="宋体"/>
                <w:i/>
                <w:iCs/>
                <w:snapToGrid w:val="0"/>
                <w:kern w:val="21"/>
                <w:szCs w:val="21"/>
                <w:u w:val="single"/>
              </w:rPr>
            </w:pPr>
            <w:r>
              <w:rPr>
                <w:rFonts w:hint="eastAsia" w:ascii="宋体" w:hAnsi="宋体" w:cs="宋体"/>
                <w:i/>
                <w:iCs/>
                <w:snapToGrid w:val="0"/>
                <w:kern w:val="21"/>
                <w:szCs w:val="21"/>
                <w:u w:val="single"/>
              </w:rPr>
              <w:t>——</w:t>
            </w:r>
          </w:p>
        </w:tc>
        <w:tc>
          <w:tcPr>
            <w:tcW w:w="1752" w:type="dxa"/>
            <w:vAlign w:val="center"/>
          </w:tcPr>
          <w:p>
            <w:pPr>
              <w:widowControl/>
              <w:jc w:val="center"/>
              <w:rPr>
                <w:rFonts w:ascii="宋体" w:hAnsi="宋体" w:cs="宋体"/>
                <w:i/>
                <w:iCs/>
                <w:szCs w:val="21"/>
                <w:u w:val="single"/>
              </w:rPr>
            </w:pPr>
            <w:r>
              <w:rPr>
                <w:rFonts w:hint="eastAsia" w:ascii="宋体" w:hAnsi="宋体" w:cs="宋体"/>
                <w:i/>
                <w:iCs/>
                <w:szCs w:val="21"/>
                <w:u w:val="single"/>
              </w:rPr>
              <w:t>58.5</w:t>
            </w:r>
          </w:p>
        </w:tc>
        <w:tc>
          <w:tcPr>
            <w:tcW w:w="1434" w:type="dxa"/>
            <w:vAlign w:val="center"/>
          </w:tcPr>
          <w:p>
            <w:pPr>
              <w:spacing w:line="0" w:lineRule="atLeast"/>
              <w:jc w:val="center"/>
              <w:rPr>
                <w:rFonts w:ascii="宋体" w:hAnsi="宋体" w:cs="宋体"/>
                <w:i/>
                <w:iCs/>
                <w:snapToGrid w:val="0"/>
                <w:kern w:val="21"/>
                <w:szCs w:val="21"/>
                <w:u w:val="single"/>
              </w:rPr>
            </w:pPr>
          </w:p>
        </w:tc>
        <w:tc>
          <w:tcPr>
            <w:tcW w:w="2016" w:type="dxa"/>
            <w:vAlign w:val="center"/>
          </w:tcPr>
          <w:p>
            <w:pPr>
              <w:widowControl/>
              <w:jc w:val="center"/>
              <w:rPr>
                <w:rFonts w:ascii="宋体" w:hAnsi="宋体" w:cs="宋体"/>
                <w:i/>
                <w:iCs/>
                <w:szCs w:val="21"/>
                <w:u w:val="single"/>
              </w:rPr>
            </w:pPr>
            <w:r>
              <w:rPr>
                <w:rFonts w:hint="eastAsia" w:ascii="宋体" w:hAnsi="宋体" w:cs="宋体"/>
                <w:i/>
                <w:iCs/>
                <w:szCs w:val="21"/>
                <w:u w:val="single"/>
              </w:rPr>
              <w:t>117</w:t>
            </w:r>
          </w:p>
        </w:tc>
        <w:tc>
          <w:tcPr>
            <w:tcW w:w="1344" w:type="dxa"/>
            <w:vAlign w:val="center"/>
          </w:tcPr>
          <w:p>
            <w:pPr>
              <w:widowControl/>
              <w:jc w:val="center"/>
              <w:rPr>
                <w:rFonts w:ascii="宋体" w:hAnsi="宋体" w:cs="宋体"/>
                <w:i/>
                <w:iCs/>
                <w:szCs w:val="21"/>
                <w:u w:val="single"/>
              </w:rPr>
            </w:pPr>
            <w:r>
              <w:rPr>
                <w:rFonts w:hint="eastAsia" w:ascii="宋体" w:hAnsi="宋体" w:cs="宋体"/>
                <w:i/>
                <w:iCs/>
                <w:szCs w:val="21"/>
                <w:u w:val="single"/>
              </w:rPr>
              <w:t>117</w:t>
            </w:r>
          </w:p>
        </w:tc>
      </w:tr>
      <w:tr>
        <w:trPr>
          <w:trHeight w:val="340" w:hRule="atLeast"/>
          <w:jc w:val="center"/>
        </w:trPr>
        <w:tc>
          <w:tcPr>
            <w:tcW w:w="1117" w:type="dxa"/>
            <w:vMerge w:val="continue"/>
            <w:vAlign w:val="center"/>
          </w:tcPr>
          <w:p>
            <w:pPr>
              <w:pStyle w:val="38"/>
              <w:adjustRightInd/>
              <w:snapToGrid/>
              <w:spacing w:beforeLines="0" w:line="0" w:lineRule="atLeast"/>
              <w:ind w:firstLine="0" w:firstLineChars="0"/>
              <w:rPr>
                <w:rFonts w:hAnsi="宋体" w:cs="宋体"/>
                <w:i/>
                <w:iCs/>
                <w:snapToGrid w:val="0"/>
                <w:kern w:val="21"/>
                <w:szCs w:val="21"/>
                <w:u w:val="single"/>
              </w:rPr>
            </w:pPr>
          </w:p>
        </w:tc>
        <w:tc>
          <w:tcPr>
            <w:tcW w:w="1916" w:type="dxa"/>
            <w:vAlign w:val="center"/>
          </w:tcPr>
          <w:p>
            <w:pPr>
              <w:widowControl/>
              <w:jc w:val="center"/>
              <w:rPr>
                <w:rFonts w:ascii="宋体" w:hAnsi="宋体" w:cs="宋体"/>
                <w:i/>
                <w:iCs/>
                <w:szCs w:val="21"/>
                <w:u w:val="single"/>
              </w:rPr>
            </w:pPr>
            <w:r>
              <w:rPr>
                <w:rFonts w:hint="eastAsia" w:ascii="宋体" w:hAnsi="宋体" w:cs="宋体"/>
                <w:i/>
                <w:iCs/>
                <w:kern w:val="0"/>
                <w:szCs w:val="21"/>
                <w:u w:val="single"/>
              </w:rPr>
              <w:t>废塑料</w:t>
            </w:r>
          </w:p>
        </w:tc>
        <w:tc>
          <w:tcPr>
            <w:tcW w:w="1505" w:type="dxa"/>
            <w:vAlign w:val="center"/>
          </w:tcPr>
          <w:p>
            <w:pPr>
              <w:spacing w:line="0" w:lineRule="atLeast"/>
              <w:jc w:val="center"/>
              <w:rPr>
                <w:rFonts w:ascii="宋体" w:hAnsi="宋体" w:cs="宋体"/>
                <w:i/>
                <w:iCs/>
                <w:snapToGrid w:val="0"/>
                <w:kern w:val="21"/>
                <w:szCs w:val="21"/>
                <w:u w:val="single"/>
              </w:rPr>
            </w:pPr>
            <w:r>
              <w:rPr>
                <w:rFonts w:hint="eastAsia" w:ascii="宋体" w:hAnsi="宋体" w:cs="宋体"/>
                <w:i/>
                <w:iCs/>
                <w:snapToGrid w:val="0"/>
                <w:kern w:val="21"/>
                <w:szCs w:val="21"/>
                <w:u w:val="single"/>
              </w:rPr>
              <w:t>——</w:t>
            </w:r>
          </w:p>
        </w:tc>
        <w:tc>
          <w:tcPr>
            <w:tcW w:w="1188" w:type="dxa"/>
            <w:vAlign w:val="center"/>
          </w:tcPr>
          <w:p>
            <w:pPr>
              <w:spacing w:line="0" w:lineRule="atLeast"/>
              <w:jc w:val="center"/>
              <w:rPr>
                <w:rFonts w:ascii="宋体" w:hAnsi="宋体" w:cs="宋体"/>
                <w:i/>
                <w:iCs/>
                <w:snapToGrid w:val="0"/>
                <w:kern w:val="21"/>
                <w:szCs w:val="21"/>
                <w:u w:val="single"/>
              </w:rPr>
            </w:pPr>
            <w:r>
              <w:rPr>
                <w:rFonts w:hint="eastAsia" w:ascii="宋体" w:hAnsi="宋体" w:cs="宋体"/>
                <w:i/>
                <w:iCs/>
                <w:snapToGrid w:val="0"/>
                <w:kern w:val="21"/>
                <w:szCs w:val="21"/>
                <w:u w:val="single"/>
              </w:rPr>
              <w:t>——</w:t>
            </w:r>
          </w:p>
        </w:tc>
        <w:tc>
          <w:tcPr>
            <w:tcW w:w="1544" w:type="dxa"/>
            <w:vAlign w:val="center"/>
          </w:tcPr>
          <w:p>
            <w:pPr>
              <w:spacing w:line="0" w:lineRule="atLeast"/>
              <w:jc w:val="center"/>
              <w:rPr>
                <w:rFonts w:ascii="宋体" w:hAnsi="宋体" w:cs="宋体"/>
                <w:i/>
                <w:iCs/>
                <w:snapToGrid w:val="0"/>
                <w:kern w:val="21"/>
                <w:szCs w:val="21"/>
                <w:u w:val="single"/>
              </w:rPr>
            </w:pPr>
            <w:r>
              <w:rPr>
                <w:rFonts w:hint="eastAsia" w:ascii="宋体" w:hAnsi="宋体" w:cs="宋体"/>
                <w:i/>
                <w:iCs/>
                <w:snapToGrid w:val="0"/>
                <w:kern w:val="21"/>
                <w:szCs w:val="21"/>
                <w:u w:val="single"/>
              </w:rPr>
              <w:t>——</w:t>
            </w:r>
          </w:p>
        </w:tc>
        <w:tc>
          <w:tcPr>
            <w:tcW w:w="1752" w:type="dxa"/>
            <w:vAlign w:val="center"/>
          </w:tcPr>
          <w:p>
            <w:pPr>
              <w:widowControl/>
              <w:jc w:val="center"/>
              <w:rPr>
                <w:rFonts w:ascii="宋体" w:hAnsi="宋体" w:cs="宋体"/>
                <w:i/>
                <w:iCs/>
                <w:szCs w:val="21"/>
                <w:u w:val="single"/>
              </w:rPr>
            </w:pPr>
            <w:r>
              <w:rPr>
                <w:rFonts w:hint="eastAsia" w:ascii="宋体" w:hAnsi="宋体" w:cs="宋体"/>
                <w:i/>
                <w:iCs/>
                <w:szCs w:val="21"/>
                <w:u w:val="single"/>
              </w:rPr>
              <w:t>42.5</w:t>
            </w:r>
          </w:p>
        </w:tc>
        <w:tc>
          <w:tcPr>
            <w:tcW w:w="1434" w:type="dxa"/>
            <w:vAlign w:val="center"/>
          </w:tcPr>
          <w:p>
            <w:pPr>
              <w:spacing w:line="0" w:lineRule="atLeast"/>
              <w:jc w:val="center"/>
              <w:rPr>
                <w:rFonts w:ascii="宋体" w:hAnsi="宋体" w:cs="宋体"/>
                <w:i/>
                <w:iCs/>
                <w:snapToGrid w:val="0"/>
                <w:kern w:val="21"/>
                <w:szCs w:val="21"/>
                <w:u w:val="single"/>
              </w:rPr>
            </w:pPr>
          </w:p>
        </w:tc>
        <w:tc>
          <w:tcPr>
            <w:tcW w:w="2016" w:type="dxa"/>
            <w:vAlign w:val="center"/>
          </w:tcPr>
          <w:p>
            <w:pPr>
              <w:widowControl/>
              <w:jc w:val="center"/>
              <w:rPr>
                <w:rFonts w:ascii="宋体" w:hAnsi="宋体" w:cs="宋体"/>
                <w:i/>
                <w:iCs/>
                <w:szCs w:val="21"/>
                <w:u w:val="single"/>
              </w:rPr>
            </w:pPr>
            <w:r>
              <w:rPr>
                <w:rFonts w:hint="eastAsia" w:ascii="宋体" w:hAnsi="宋体" w:cs="宋体"/>
                <w:i/>
                <w:iCs/>
                <w:szCs w:val="21"/>
                <w:u w:val="single"/>
              </w:rPr>
              <w:t>85</w:t>
            </w:r>
          </w:p>
        </w:tc>
        <w:tc>
          <w:tcPr>
            <w:tcW w:w="1344" w:type="dxa"/>
            <w:vAlign w:val="center"/>
          </w:tcPr>
          <w:p>
            <w:pPr>
              <w:widowControl/>
              <w:jc w:val="center"/>
              <w:rPr>
                <w:rFonts w:ascii="宋体" w:hAnsi="宋体" w:cs="宋体"/>
                <w:i/>
                <w:iCs/>
                <w:szCs w:val="21"/>
                <w:u w:val="single"/>
              </w:rPr>
            </w:pPr>
            <w:r>
              <w:rPr>
                <w:rFonts w:hint="eastAsia" w:ascii="宋体" w:hAnsi="宋体" w:cs="宋体"/>
                <w:i/>
                <w:iCs/>
                <w:szCs w:val="21"/>
                <w:u w:val="single"/>
              </w:rPr>
              <w:t>85</w:t>
            </w:r>
          </w:p>
        </w:tc>
      </w:tr>
      <w:tr>
        <w:trPr>
          <w:trHeight w:val="340" w:hRule="atLeast"/>
          <w:jc w:val="center"/>
        </w:trPr>
        <w:tc>
          <w:tcPr>
            <w:tcW w:w="1117" w:type="dxa"/>
            <w:vMerge w:val="continue"/>
            <w:vAlign w:val="center"/>
          </w:tcPr>
          <w:p>
            <w:pPr>
              <w:pStyle w:val="38"/>
              <w:adjustRightInd/>
              <w:snapToGrid/>
              <w:spacing w:beforeLines="0" w:line="0" w:lineRule="atLeast"/>
              <w:ind w:firstLine="0" w:firstLineChars="0"/>
              <w:rPr>
                <w:rFonts w:hAnsi="宋体" w:cs="宋体"/>
                <w:i/>
                <w:iCs/>
                <w:snapToGrid w:val="0"/>
                <w:kern w:val="21"/>
                <w:szCs w:val="21"/>
                <w:u w:val="single"/>
              </w:rPr>
            </w:pPr>
          </w:p>
        </w:tc>
        <w:tc>
          <w:tcPr>
            <w:tcW w:w="1916" w:type="dxa"/>
            <w:vAlign w:val="center"/>
          </w:tcPr>
          <w:p>
            <w:pPr>
              <w:widowControl/>
              <w:jc w:val="center"/>
              <w:rPr>
                <w:rFonts w:ascii="宋体" w:hAnsi="宋体" w:cs="宋体"/>
                <w:i/>
                <w:iCs/>
                <w:szCs w:val="21"/>
                <w:u w:val="single"/>
              </w:rPr>
            </w:pPr>
            <w:r>
              <w:rPr>
                <w:rFonts w:hint="eastAsia" w:ascii="宋体" w:hAnsi="宋体" w:cs="宋体"/>
                <w:i/>
                <w:iCs/>
                <w:kern w:val="0"/>
                <w:szCs w:val="21"/>
                <w:u w:val="single"/>
              </w:rPr>
              <w:t>可用零件有色金属</w:t>
            </w:r>
          </w:p>
        </w:tc>
        <w:tc>
          <w:tcPr>
            <w:tcW w:w="1505" w:type="dxa"/>
            <w:vAlign w:val="center"/>
          </w:tcPr>
          <w:p>
            <w:pPr>
              <w:spacing w:line="0" w:lineRule="atLeast"/>
              <w:jc w:val="center"/>
              <w:rPr>
                <w:rFonts w:ascii="宋体" w:hAnsi="宋体" w:cs="宋体"/>
                <w:i/>
                <w:iCs/>
                <w:snapToGrid w:val="0"/>
                <w:kern w:val="21"/>
                <w:szCs w:val="21"/>
                <w:u w:val="single"/>
              </w:rPr>
            </w:pPr>
            <w:r>
              <w:rPr>
                <w:rFonts w:hint="eastAsia" w:ascii="宋体" w:hAnsi="宋体" w:cs="宋体"/>
                <w:i/>
                <w:iCs/>
                <w:snapToGrid w:val="0"/>
                <w:kern w:val="21"/>
                <w:szCs w:val="21"/>
                <w:u w:val="single"/>
              </w:rPr>
              <w:t>——</w:t>
            </w:r>
          </w:p>
        </w:tc>
        <w:tc>
          <w:tcPr>
            <w:tcW w:w="1188" w:type="dxa"/>
            <w:vAlign w:val="center"/>
          </w:tcPr>
          <w:p>
            <w:pPr>
              <w:spacing w:line="0" w:lineRule="atLeast"/>
              <w:jc w:val="center"/>
              <w:rPr>
                <w:rFonts w:ascii="宋体" w:hAnsi="宋体" w:cs="宋体"/>
                <w:i/>
                <w:iCs/>
                <w:snapToGrid w:val="0"/>
                <w:kern w:val="21"/>
                <w:szCs w:val="21"/>
                <w:u w:val="single"/>
              </w:rPr>
            </w:pPr>
            <w:r>
              <w:rPr>
                <w:rFonts w:hint="eastAsia" w:ascii="宋体" w:hAnsi="宋体" w:cs="宋体"/>
                <w:i/>
                <w:iCs/>
                <w:snapToGrid w:val="0"/>
                <w:kern w:val="21"/>
                <w:szCs w:val="21"/>
                <w:u w:val="single"/>
              </w:rPr>
              <w:t>——</w:t>
            </w:r>
          </w:p>
        </w:tc>
        <w:tc>
          <w:tcPr>
            <w:tcW w:w="1544" w:type="dxa"/>
            <w:vAlign w:val="center"/>
          </w:tcPr>
          <w:p>
            <w:pPr>
              <w:spacing w:line="0" w:lineRule="atLeast"/>
              <w:jc w:val="center"/>
              <w:rPr>
                <w:rFonts w:ascii="宋体" w:hAnsi="宋体" w:cs="宋体"/>
                <w:i/>
                <w:iCs/>
                <w:snapToGrid w:val="0"/>
                <w:kern w:val="21"/>
                <w:szCs w:val="21"/>
                <w:u w:val="single"/>
              </w:rPr>
            </w:pPr>
            <w:r>
              <w:rPr>
                <w:rFonts w:hint="eastAsia" w:ascii="宋体" w:hAnsi="宋体" w:cs="宋体"/>
                <w:i/>
                <w:iCs/>
                <w:snapToGrid w:val="0"/>
                <w:kern w:val="21"/>
                <w:szCs w:val="21"/>
                <w:u w:val="single"/>
              </w:rPr>
              <w:t>——</w:t>
            </w:r>
          </w:p>
        </w:tc>
        <w:tc>
          <w:tcPr>
            <w:tcW w:w="1752" w:type="dxa"/>
            <w:vAlign w:val="center"/>
          </w:tcPr>
          <w:p>
            <w:pPr>
              <w:widowControl/>
              <w:jc w:val="center"/>
              <w:rPr>
                <w:rFonts w:ascii="宋体" w:hAnsi="宋体" w:cs="宋体"/>
                <w:i/>
                <w:iCs/>
                <w:szCs w:val="21"/>
                <w:u w:val="single"/>
              </w:rPr>
            </w:pPr>
            <w:r>
              <w:rPr>
                <w:rFonts w:hint="eastAsia" w:ascii="宋体" w:hAnsi="宋体" w:cs="宋体"/>
                <w:i/>
                <w:iCs/>
                <w:szCs w:val="21"/>
                <w:u w:val="single"/>
              </w:rPr>
              <w:t>175.5</w:t>
            </w:r>
          </w:p>
        </w:tc>
        <w:tc>
          <w:tcPr>
            <w:tcW w:w="1434" w:type="dxa"/>
            <w:vAlign w:val="center"/>
          </w:tcPr>
          <w:p>
            <w:pPr>
              <w:spacing w:line="0" w:lineRule="atLeast"/>
              <w:jc w:val="center"/>
              <w:rPr>
                <w:rFonts w:ascii="宋体" w:hAnsi="宋体" w:cs="宋体"/>
                <w:i/>
                <w:iCs/>
                <w:snapToGrid w:val="0"/>
                <w:kern w:val="21"/>
                <w:szCs w:val="21"/>
                <w:u w:val="single"/>
              </w:rPr>
            </w:pPr>
          </w:p>
        </w:tc>
        <w:tc>
          <w:tcPr>
            <w:tcW w:w="2016" w:type="dxa"/>
            <w:vAlign w:val="center"/>
          </w:tcPr>
          <w:p>
            <w:pPr>
              <w:widowControl/>
              <w:jc w:val="center"/>
              <w:rPr>
                <w:rFonts w:ascii="宋体" w:hAnsi="宋体" w:cs="宋体"/>
                <w:i/>
                <w:iCs/>
                <w:szCs w:val="21"/>
                <w:u w:val="single"/>
              </w:rPr>
            </w:pPr>
            <w:r>
              <w:rPr>
                <w:rFonts w:hint="eastAsia" w:ascii="宋体" w:hAnsi="宋体" w:cs="宋体"/>
                <w:i/>
                <w:iCs/>
                <w:szCs w:val="21"/>
                <w:u w:val="single"/>
              </w:rPr>
              <w:t>351</w:t>
            </w:r>
          </w:p>
        </w:tc>
        <w:tc>
          <w:tcPr>
            <w:tcW w:w="1344" w:type="dxa"/>
            <w:vAlign w:val="center"/>
          </w:tcPr>
          <w:p>
            <w:pPr>
              <w:widowControl/>
              <w:jc w:val="center"/>
              <w:rPr>
                <w:rFonts w:ascii="宋体" w:hAnsi="宋体" w:cs="宋体"/>
                <w:i/>
                <w:iCs/>
                <w:szCs w:val="21"/>
                <w:u w:val="single"/>
              </w:rPr>
            </w:pPr>
            <w:r>
              <w:rPr>
                <w:rFonts w:hint="eastAsia" w:ascii="宋体" w:hAnsi="宋体" w:cs="宋体"/>
                <w:i/>
                <w:iCs/>
                <w:szCs w:val="21"/>
                <w:u w:val="single"/>
              </w:rPr>
              <w:t>351</w:t>
            </w:r>
          </w:p>
        </w:tc>
      </w:tr>
      <w:tr>
        <w:trPr>
          <w:trHeight w:val="340" w:hRule="atLeast"/>
          <w:jc w:val="center"/>
        </w:trPr>
        <w:tc>
          <w:tcPr>
            <w:tcW w:w="1117" w:type="dxa"/>
            <w:vMerge w:val="continue"/>
            <w:vAlign w:val="center"/>
          </w:tcPr>
          <w:p>
            <w:pPr>
              <w:pStyle w:val="38"/>
              <w:adjustRightInd/>
              <w:snapToGrid/>
              <w:spacing w:beforeLines="0" w:line="0" w:lineRule="atLeast"/>
              <w:ind w:firstLine="0" w:firstLineChars="0"/>
              <w:rPr>
                <w:rFonts w:hAnsi="宋体" w:cs="宋体"/>
                <w:i/>
                <w:iCs/>
                <w:snapToGrid w:val="0"/>
                <w:kern w:val="21"/>
                <w:szCs w:val="21"/>
                <w:u w:val="single"/>
              </w:rPr>
            </w:pPr>
          </w:p>
        </w:tc>
        <w:tc>
          <w:tcPr>
            <w:tcW w:w="1916" w:type="dxa"/>
            <w:vAlign w:val="center"/>
          </w:tcPr>
          <w:p>
            <w:pPr>
              <w:widowControl/>
              <w:jc w:val="center"/>
              <w:rPr>
                <w:rFonts w:ascii="宋体" w:hAnsi="宋体" w:cs="宋体"/>
                <w:i/>
                <w:iCs/>
                <w:kern w:val="0"/>
                <w:szCs w:val="21"/>
                <w:u w:val="single"/>
              </w:rPr>
            </w:pPr>
            <w:r>
              <w:rPr>
                <w:rFonts w:hint="eastAsia" w:ascii="宋体" w:hAnsi="宋体" w:cs="宋体"/>
                <w:i/>
                <w:iCs/>
                <w:kern w:val="0"/>
                <w:szCs w:val="21"/>
                <w:u w:val="single"/>
              </w:rPr>
              <w:t>可用零件</w:t>
            </w:r>
          </w:p>
        </w:tc>
        <w:tc>
          <w:tcPr>
            <w:tcW w:w="1505" w:type="dxa"/>
            <w:vAlign w:val="center"/>
          </w:tcPr>
          <w:p>
            <w:pPr>
              <w:spacing w:line="0" w:lineRule="atLeast"/>
              <w:jc w:val="center"/>
              <w:rPr>
                <w:rFonts w:ascii="宋体" w:hAnsi="宋体" w:cs="宋体"/>
                <w:i/>
                <w:iCs/>
                <w:snapToGrid w:val="0"/>
                <w:kern w:val="21"/>
                <w:szCs w:val="21"/>
                <w:u w:val="single"/>
              </w:rPr>
            </w:pPr>
            <w:r>
              <w:rPr>
                <w:rFonts w:hint="eastAsia" w:ascii="宋体" w:hAnsi="宋体" w:cs="宋体"/>
                <w:i/>
                <w:iCs/>
                <w:snapToGrid w:val="0"/>
                <w:kern w:val="21"/>
                <w:szCs w:val="21"/>
                <w:u w:val="single"/>
              </w:rPr>
              <w:t>——</w:t>
            </w:r>
          </w:p>
        </w:tc>
        <w:tc>
          <w:tcPr>
            <w:tcW w:w="1188" w:type="dxa"/>
            <w:vAlign w:val="center"/>
          </w:tcPr>
          <w:p>
            <w:pPr>
              <w:spacing w:line="0" w:lineRule="atLeast"/>
              <w:jc w:val="center"/>
              <w:rPr>
                <w:rFonts w:ascii="宋体" w:hAnsi="宋体" w:cs="宋体"/>
                <w:i/>
                <w:iCs/>
                <w:snapToGrid w:val="0"/>
                <w:kern w:val="21"/>
                <w:szCs w:val="21"/>
                <w:u w:val="single"/>
              </w:rPr>
            </w:pPr>
            <w:r>
              <w:rPr>
                <w:rFonts w:hint="eastAsia" w:ascii="宋体" w:hAnsi="宋体" w:cs="宋体"/>
                <w:i/>
                <w:iCs/>
                <w:snapToGrid w:val="0"/>
                <w:kern w:val="21"/>
                <w:szCs w:val="21"/>
                <w:u w:val="single"/>
              </w:rPr>
              <w:t>——</w:t>
            </w:r>
          </w:p>
        </w:tc>
        <w:tc>
          <w:tcPr>
            <w:tcW w:w="1544" w:type="dxa"/>
            <w:vAlign w:val="center"/>
          </w:tcPr>
          <w:p>
            <w:pPr>
              <w:spacing w:line="0" w:lineRule="atLeast"/>
              <w:jc w:val="center"/>
              <w:rPr>
                <w:rFonts w:ascii="宋体" w:hAnsi="宋体" w:cs="宋体"/>
                <w:i/>
                <w:iCs/>
                <w:snapToGrid w:val="0"/>
                <w:kern w:val="21"/>
                <w:szCs w:val="21"/>
                <w:u w:val="single"/>
              </w:rPr>
            </w:pPr>
            <w:r>
              <w:rPr>
                <w:rFonts w:hint="eastAsia" w:ascii="宋体" w:hAnsi="宋体" w:cs="宋体"/>
                <w:i/>
                <w:iCs/>
                <w:snapToGrid w:val="0"/>
                <w:kern w:val="21"/>
                <w:szCs w:val="21"/>
                <w:u w:val="single"/>
              </w:rPr>
              <w:t>——</w:t>
            </w:r>
          </w:p>
        </w:tc>
        <w:tc>
          <w:tcPr>
            <w:tcW w:w="1752" w:type="dxa"/>
            <w:vAlign w:val="center"/>
          </w:tcPr>
          <w:p>
            <w:pPr>
              <w:widowControl/>
              <w:jc w:val="center"/>
              <w:rPr>
                <w:rFonts w:ascii="宋体" w:hAnsi="宋体" w:cs="宋体"/>
                <w:i/>
                <w:iCs/>
                <w:szCs w:val="21"/>
                <w:u w:val="single"/>
              </w:rPr>
            </w:pPr>
            <w:r>
              <w:rPr>
                <w:rFonts w:hint="eastAsia" w:ascii="宋体" w:hAnsi="宋体" w:cs="宋体"/>
                <w:i/>
                <w:iCs/>
                <w:szCs w:val="21"/>
                <w:u w:val="single"/>
              </w:rPr>
              <w:t>145</w:t>
            </w:r>
          </w:p>
        </w:tc>
        <w:tc>
          <w:tcPr>
            <w:tcW w:w="1434" w:type="dxa"/>
            <w:vAlign w:val="center"/>
          </w:tcPr>
          <w:p>
            <w:pPr>
              <w:spacing w:line="0" w:lineRule="atLeast"/>
              <w:jc w:val="center"/>
              <w:rPr>
                <w:rFonts w:ascii="宋体" w:hAnsi="宋体" w:cs="宋体"/>
                <w:i/>
                <w:iCs/>
                <w:snapToGrid w:val="0"/>
                <w:kern w:val="21"/>
                <w:szCs w:val="21"/>
                <w:u w:val="single"/>
              </w:rPr>
            </w:pPr>
          </w:p>
        </w:tc>
        <w:tc>
          <w:tcPr>
            <w:tcW w:w="2016" w:type="dxa"/>
            <w:vAlign w:val="center"/>
          </w:tcPr>
          <w:p>
            <w:pPr>
              <w:widowControl/>
              <w:jc w:val="center"/>
              <w:rPr>
                <w:rFonts w:ascii="宋体" w:hAnsi="宋体" w:cs="宋体"/>
                <w:i/>
                <w:iCs/>
                <w:szCs w:val="21"/>
                <w:u w:val="single"/>
              </w:rPr>
            </w:pPr>
            <w:r>
              <w:rPr>
                <w:rFonts w:hint="eastAsia" w:ascii="宋体" w:hAnsi="宋体" w:cs="宋体"/>
                <w:i/>
                <w:iCs/>
                <w:szCs w:val="21"/>
                <w:u w:val="single"/>
              </w:rPr>
              <w:t>290</w:t>
            </w:r>
          </w:p>
        </w:tc>
        <w:tc>
          <w:tcPr>
            <w:tcW w:w="1344" w:type="dxa"/>
            <w:vAlign w:val="center"/>
          </w:tcPr>
          <w:p>
            <w:pPr>
              <w:widowControl/>
              <w:jc w:val="center"/>
              <w:rPr>
                <w:rFonts w:ascii="宋体" w:hAnsi="宋体" w:cs="宋体"/>
                <w:i/>
                <w:iCs/>
                <w:szCs w:val="21"/>
                <w:u w:val="single"/>
              </w:rPr>
            </w:pPr>
            <w:r>
              <w:rPr>
                <w:rFonts w:hint="eastAsia" w:ascii="宋体" w:hAnsi="宋体" w:cs="宋体"/>
                <w:i/>
                <w:iCs/>
                <w:szCs w:val="21"/>
                <w:u w:val="single"/>
              </w:rPr>
              <w:t>290</w:t>
            </w:r>
          </w:p>
        </w:tc>
      </w:tr>
      <w:tr>
        <w:trPr>
          <w:trHeight w:val="340" w:hRule="atLeast"/>
          <w:jc w:val="center"/>
        </w:trPr>
        <w:tc>
          <w:tcPr>
            <w:tcW w:w="1117" w:type="dxa"/>
            <w:vMerge w:val="continue"/>
            <w:vAlign w:val="center"/>
          </w:tcPr>
          <w:p>
            <w:pPr>
              <w:pStyle w:val="38"/>
              <w:adjustRightInd/>
              <w:snapToGrid/>
              <w:spacing w:beforeLines="0" w:line="0" w:lineRule="atLeast"/>
              <w:ind w:firstLine="0" w:firstLineChars="0"/>
              <w:rPr>
                <w:rFonts w:hAnsi="宋体" w:cs="宋体"/>
                <w:i/>
                <w:iCs/>
                <w:snapToGrid w:val="0"/>
                <w:kern w:val="21"/>
                <w:szCs w:val="21"/>
                <w:u w:val="single"/>
              </w:rPr>
            </w:pPr>
          </w:p>
        </w:tc>
        <w:tc>
          <w:tcPr>
            <w:tcW w:w="1916" w:type="dxa"/>
            <w:vAlign w:val="center"/>
          </w:tcPr>
          <w:p>
            <w:pPr>
              <w:widowControl/>
              <w:jc w:val="center"/>
              <w:rPr>
                <w:rFonts w:ascii="宋体" w:hAnsi="宋体" w:cs="宋体"/>
                <w:i/>
                <w:iCs/>
                <w:kern w:val="0"/>
                <w:szCs w:val="21"/>
                <w:u w:val="single"/>
              </w:rPr>
            </w:pPr>
            <w:r>
              <w:rPr>
                <w:rFonts w:hint="eastAsia" w:ascii="宋体" w:hAnsi="宋体" w:cs="宋体"/>
                <w:i/>
                <w:iCs/>
                <w:kern w:val="0"/>
                <w:szCs w:val="21"/>
                <w:u w:val="single"/>
              </w:rPr>
              <w:t>锈蚀残渣</w:t>
            </w:r>
          </w:p>
        </w:tc>
        <w:tc>
          <w:tcPr>
            <w:tcW w:w="1505" w:type="dxa"/>
            <w:vAlign w:val="center"/>
          </w:tcPr>
          <w:p>
            <w:pPr>
              <w:spacing w:line="0" w:lineRule="atLeast"/>
              <w:jc w:val="center"/>
              <w:rPr>
                <w:rFonts w:ascii="宋体" w:hAnsi="宋体" w:cs="宋体"/>
                <w:i/>
                <w:iCs/>
                <w:snapToGrid w:val="0"/>
                <w:kern w:val="21"/>
                <w:szCs w:val="21"/>
                <w:u w:val="single"/>
              </w:rPr>
            </w:pPr>
            <w:r>
              <w:rPr>
                <w:rFonts w:hint="eastAsia" w:ascii="宋体" w:hAnsi="宋体" w:cs="宋体"/>
                <w:i/>
                <w:iCs/>
                <w:snapToGrid w:val="0"/>
                <w:kern w:val="21"/>
                <w:szCs w:val="21"/>
                <w:u w:val="single"/>
              </w:rPr>
              <w:t>——</w:t>
            </w:r>
          </w:p>
        </w:tc>
        <w:tc>
          <w:tcPr>
            <w:tcW w:w="1188" w:type="dxa"/>
            <w:vAlign w:val="center"/>
          </w:tcPr>
          <w:p>
            <w:pPr>
              <w:spacing w:line="0" w:lineRule="atLeast"/>
              <w:jc w:val="center"/>
              <w:rPr>
                <w:rFonts w:ascii="宋体" w:hAnsi="宋体" w:cs="宋体"/>
                <w:i/>
                <w:iCs/>
                <w:snapToGrid w:val="0"/>
                <w:kern w:val="21"/>
                <w:szCs w:val="21"/>
                <w:u w:val="single"/>
              </w:rPr>
            </w:pPr>
            <w:r>
              <w:rPr>
                <w:rFonts w:hint="eastAsia" w:ascii="宋体" w:hAnsi="宋体" w:cs="宋体"/>
                <w:i/>
                <w:iCs/>
                <w:snapToGrid w:val="0"/>
                <w:kern w:val="21"/>
                <w:szCs w:val="21"/>
                <w:u w:val="single"/>
              </w:rPr>
              <w:t>——</w:t>
            </w:r>
          </w:p>
        </w:tc>
        <w:tc>
          <w:tcPr>
            <w:tcW w:w="1544" w:type="dxa"/>
            <w:vAlign w:val="center"/>
          </w:tcPr>
          <w:p>
            <w:pPr>
              <w:spacing w:line="0" w:lineRule="atLeast"/>
              <w:jc w:val="center"/>
              <w:rPr>
                <w:rFonts w:ascii="宋体" w:hAnsi="宋体" w:cs="宋体"/>
                <w:i/>
                <w:iCs/>
                <w:snapToGrid w:val="0"/>
                <w:kern w:val="21"/>
                <w:szCs w:val="21"/>
                <w:u w:val="single"/>
              </w:rPr>
            </w:pPr>
            <w:r>
              <w:rPr>
                <w:rFonts w:hint="eastAsia" w:ascii="宋体" w:hAnsi="宋体" w:cs="宋体"/>
                <w:i/>
                <w:iCs/>
                <w:snapToGrid w:val="0"/>
                <w:kern w:val="21"/>
                <w:szCs w:val="21"/>
                <w:u w:val="single"/>
              </w:rPr>
              <w:t>——</w:t>
            </w:r>
          </w:p>
        </w:tc>
        <w:tc>
          <w:tcPr>
            <w:tcW w:w="1752" w:type="dxa"/>
            <w:vAlign w:val="center"/>
          </w:tcPr>
          <w:p>
            <w:pPr>
              <w:widowControl/>
              <w:jc w:val="center"/>
              <w:rPr>
                <w:rFonts w:ascii="宋体" w:hAnsi="宋体" w:cs="宋体"/>
                <w:i/>
                <w:iCs/>
                <w:szCs w:val="21"/>
                <w:u w:val="single"/>
              </w:rPr>
            </w:pPr>
            <w:r>
              <w:rPr>
                <w:rFonts w:hint="eastAsia" w:ascii="宋体" w:hAnsi="宋体" w:cs="宋体"/>
                <w:i/>
                <w:iCs/>
                <w:szCs w:val="21"/>
                <w:u w:val="single"/>
              </w:rPr>
              <w:t>79.9</w:t>
            </w:r>
          </w:p>
        </w:tc>
        <w:tc>
          <w:tcPr>
            <w:tcW w:w="1434" w:type="dxa"/>
            <w:vAlign w:val="center"/>
          </w:tcPr>
          <w:p>
            <w:pPr>
              <w:spacing w:line="0" w:lineRule="atLeast"/>
              <w:jc w:val="center"/>
              <w:rPr>
                <w:rFonts w:ascii="宋体" w:hAnsi="宋体" w:cs="宋体"/>
                <w:i/>
                <w:iCs/>
                <w:snapToGrid w:val="0"/>
                <w:kern w:val="21"/>
                <w:szCs w:val="21"/>
                <w:u w:val="single"/>
              </w:rPr>
            </w:pPr>
          </w:p>
        </w:tc>
        <w:tc>
          <w:tcPr>
            <w:tcW w:w="2016" w:type="dxa"/>
            <w:vAlign w:val="top"/>
          </w:tcPr>
          <w:p>
            <w:pPr>
              <w:widowControl/>
              <w:jc w:val="center"/>
              <w:rPr>
                <w:rFonts w:ascii="宋体" w:hAnsi="宋体" w:cs="宋体"/>
                <w:i/>
                <w:iCs/>
                <w:szCs w:val="21"/>
                <w:u w:val="single"/>
              </w:rPr>
            </w:pPr>
            <w:r>
              <w:rPr>
                <w:rFonts w:hint="eastAsia" w:ascii="宋体" w:hAnsi="宋体" w:cs="宋体"/>
                <w:i/>
                <w:iCs/>
                <w:szCs w:val="21"/>
                <w:u w:val="single"/>
              </w:rPr>
              <w:t>159.8</w:t>
            </w:r>
          </w:p>
        </w:tc>
        <w:tc>
          <w:tcPr>
            <w:tcW w:w="1344" w:type="dxa"/>
            <w:vAlign w:val="top"/>
          </w:tcPr>
          <w:p>
            <w:pPr>
              <w:widowControl/>
              <w:jc w:val="center"/>
              <w:rPr>
                <w:rFonts w:ascii="宋体" w:hAnsi="宋体" w:cs="宋体"/>
                <w:i/>
                <w:iCs/>
                <w:szCs w:val="21"/>
                <w:u w:val="single"/>
              </w:rPr>
            </w:pPr>
            <w:r>
              <w:rPr>
                <w:rFonts w:hint="eastAsia" w:ascii="宋体" w:hAnsi="宋体" w:cs="宋体"/>
                <w:i/>
                <w:iCs/>
                <w:szCs w:val="21"/>
                <w:u w:val="single"/>
              </w:rPr>
              <w:t>159.8</w:t>
            </w:r>
          </w:p>
        </w:tc>
      </w:tr>
      <w:tr>
        <w:trPr>
          <w:trHeight w:val="340" w:hRule="atLeast"/>
          <w:jc w:val="center"/>
        </w:trPr>
        <w:tc>
          <w:tcPr>
            <w:tcW w:w="1117" w:type="dxa"/>
            <w:vMerge w:val="continue"/>
            <w:vAlign w:val="center"/>
          </w:tcPr>
          <w:p>
            <w:pPr>
              <w:pStyle w:val="38"/>
              <w:adjustRightInd/>
              <w:snapToGrid/>
              <w:spacing w:beforeLines="0" w:line="0" w:lineRule="atLeast"/>
              <w:ind w:firstLine="0" w:firstLineChars="0"/>
              <w:rPr>
                <w:rFonts w:hAnsi="宋体" w:cs="宋体"/>
                <w:i/>
                <w:iCs/>
                <w:snapToGrid w:val="0"/>
                <w:kern w:val="21"/>
                <w:szCs w:val="21"/>
                <w:u w:val="single"/>
              </w:rPr>
            </w:pPr>
          </w:p>
        </w:tc>
        <w:tc>
          <w:tcPr>
            <w:tcW w:w="1916" w:type="dxa"/>
            <w:vAlign w:val="center"/>
          </w:tcPr>
          <w:p>
            <w:pPr>
              <w:widowControl/>
              <w:jc w:val="center"/>
              <w:rPr>
                <w:rFonts w:ascii="宋体" w:hAnsi="宋体" w:cs="宋体"/>
                <w:i/>
                <w:iCs/>
                <w:kern w:val="0"/>
                <w:szCs w:val="21"/>
                <w:u w:val="single"/>
              </w:rPr>
            </w:pPr>
            <w:r>
              <w:rPr>
                <w:rFonts w:hint="eastAsia" w:ascii="宋体" w:hAnsi="宋体" w:cs="宋体"/>
                <w:i/>
                <w:iCs/>
                <w:kern w:val="0"/>
                <w:szCs w:val="21"/>
                <w:u w:val="single"/>
              </w:rPr>
              <w:t>布袋除尘器收集的粉尘</w:t>
            </w:r>
          </w:p>
        </w:tc>
        <w:tc>
          <w:tcPr>
            <w:tcW w:w="1505" w:type="dxa"/>
            <w:vAlign w:val="center"/>
          </w:tcPr>
          <w:p>
            <w:pPr>
              <w:spacing w:line="0" w:lineRule="atLeast"/>
              <w:jc w:val="center"/>
              <w:rPr>
                <w:rFonts w:ascii="宋体" w:hAnsi="宋体" w:cs="宋体"/>
                <w:i/>
                <w:iCs/>
                <w:snapToGrid w:val="0"/>
                <w:kern w:val="21"/>
                <w:szCs w:val="21"/>
                <w:u w:val="single"/>
              </w:rPr>
            </w:pPr>
            <w:r>
              <w:rPr>
                <w:rFonts w:hint="eastAsia" w:ascii="宋体" w:hAnsi="宋体" w:cs="宋体"/>
                <w:i/>
                <w:iCs/>
                <w:snapToGrid w:val="0"/>
                <w:kern w:val="21"/>
                <w:szCs w:val="21"/>
                <w:u w:val="single"/>
              </w:rPr>
              <w:t>——</w:t>
            </w:r>
          </w:p>
        </w:tc>
        <w:tc>
          <w:tcPr>
            <w:tcW w:w="1188" w:type="dxa"/>
            <w:vAlign w:val="center"/>
          </w:tcPr>
          <w:p>
            <w:pPr>
              <w:spacing w:line="0" w:lineRule="atLeast"/>
              <w:jc w:val="center"/>
              <w:rPr>
                <w:rFonts w:ascii="宋体" w:hAnsi="宋体" w:cs="宋体"/>
                <w:i/>
                <w:iCs/>
                <w:snapToGrid w:val="0"/>
                <w:kern w:val="21"/>
                <w:szCs w:val="21"/>
                <w:u w:val="single"/>
              </w:rPr>
            </w:pPr>
            <w:r>
              <w:rPr>
                <w:rFonts w:hint="eastAsia" w:ascii="宋体" w:hAnsi="宋体" w:cs="宋体"/>
                <w:i/>
                <w:iCs/>
                <w:snapToGrid w:val="0"/>
                <w:kern w:val="21"/>
                <w:szCs w:val="21"/>
                <w:u w:val="single"/>
              </w:rPr>
              <w:t>——</w:t>
            </w:r>
          </w:p>
        </w:tc>
        <w:tc>
          <w:tcPr>
            <w:tcW w:w="1544" w:type="dxa"/>
            <w:vAlign w:val="center"/>
          </w:tcPr>
          <w:p>
            <w:pPr>
              <w:spacing w:line="0" w:lineRule="atLeast"/>
              <w:jc w:val="center"/>
              <w:rPr>
                <w:rFonts w:ascii="宋体" w:hAnsi="宋体" w:cs="宋体"/>
                <w:i/>
                <w:iCs/>
                <w:snapToGrid w:val="0"/>
                <w:kern w:val="21"/>
                <w:szCs w:val="21"/>
                <w:u w:val="single"/>
              </w:rPr>
            </w:pPr>
            <w:r>
              <w:rPr>
                <w:rFonts w:hint="eastAsia" w:ascii="宋体" w:hAnsi="宋体" w:cs="宋体"/>
                <w:i/>
                <w:iCs/>
                <w:snapToGrid w:val="0"/>
                <w:kern w:val="21"/>
                <w:szCs w:val="21"/>
                <w:u w:val="single"/>
              </w:rPr>
              <w:t>——</w:t>
            </w:r>
          </w:p>
        </w:tc>
        <w:tc>
          <w:tcPr>
            <w:tcW w:w="1752" w:type="dxa"/>
            <w:vAlign w:val="center"/>
          </w:tcPr>
          <w:p>
            <w:pPr>
              <w:widowControl/>
              <w:jc w:val="center"/>
              <w:rPr>
                <w:rFonts w:ascii="宋体" w:hAnsi="宋体" w:cs="宋体"/>
                <w:i/>
                <w:iCs/>
                <w:szCs w:val="21"/>
                <w:u w:val="single"/>
              </w:rPr>
            </w:pPr>
            <w:r>
              <w:rPr>
                <w:rFonts w:hint="eastAsia" w:ascii="宋体" w:hAnsi="宋体" w:cs="宋体"/>
                <w:i/>
                <w:iCs/>
                <w:szCs w:val="21"/>
                <w:u w:val="single"/>
              </w:rPr>
              <w:t>0.02</w:t>
            </w:r>
          </w:p>
        </w:tc>
        <w:tc>
          <w:tcPr>
            <w:tcW w:w="1434" w:type="dxa"/>
            <w:vAlign w:val="center"/>
          </w:tcPr>
          <w:p>
            <w:pPr>
              <w:spacing w:line="0" w:lineRule="atLeast"/>
              <w:jc w:val="center"/>
              <w:rPr>
                <w:rFonts w:ascii="宋体" w:hAnsi="宋体" w:cs="宋体"/>
                <w:i/>
                <w:iCs/>
                <w:snapToGrid w:val="0"/>
                <w:kern w:val="21"/>
                <w:szCs w:val="21"/>
                <w:u w:val="single"/>
              </w:rPr>
            </w:pPr>
          </w:p>
        </w:tc>
        <w:tc>
          <w:tcPr>
            <w:tcW w:w="2016" w:type="dxa"/>
            <w:vAlign w:val="center"/>
          </w:tcPr>
          <w:p>
            <w:pPr>
              <w:widowControl/>
              <w:jc w:val="center"/>
              <w:rPr>
                <w:rFonts w:ascii="宋体" w:hAnsi="宋体" w:cs="宋体"/>
                <w:i/>
                <w:iCs/>
                <w:szCs w:val="21"/>
                <w:u w:val="single"/>
              </w:rPr>
            </w:pPr>
            <w:r>
              <w:rPr>
                <w:rFonts w:hint="eastAsia" w:ascii="宋体" w:hAnsi="宋体" w:cs="宋体"/>
                <w:i/>
                <w:iCs/>
                <w:szCs w:val="21"/>
                <w:u w:val="single"/>
              </w:rPr>
              <w:t>0.04</w:t>
            </w:r>
          </w:p>
        </w:tc>
        <w:tc>
          <w:tcPr>
            <w:tcW w:w="1344" w:type="dxa"/>
            <w:vAlign w:val="center"/>
          </w:tcPr>
          <w:p>
            <w:pPr>
              <w:widowControl/>
              <w:jc w:val="center"/>
              <w:rPr>
                <w:rFonts w:ascii="宋体" w:hAnsi="宋体" w:cs="宋体"/>
                <w:i/>
                <w:iCs/>
                <w:szCs w:val="21"/>
                <w:u w:val="single"/>
              </w:rPr>
            </w:pPr>
            <w:r>
              <w:rPr>
                <w:rFonts w:hint="eastAsia" w:ascii="宋体" w:hAnsi="宋体" w:cs="宋体"/>
                <w:i/>
                <w:iCs/>
                <w:szCs w:val="21"/>
                <w:u w:val="single"/>
              </w:rPr>
              <w:t>0.04</w:t>
            </w:r>
          </w:p>
        </w:tc>
      </w:tr>
      <w:tr>
        <w:trPr>
          <w:trHeight w:val="340" w:hRule="atLeast"/>
          <w:jc w:val="center"/>
        </w:trPr>
        <w:tc>
          <w:tcPr>
            <w:tcW w:w="1117" w:type="dxa"/>
            <w:vMerge w:val="continue"/>
            <w:vAlign w:val="center"/>
          </w:tcPr>
          <w:p>
            <w:pPr>
              <w:pStyle w:val="38"/>
              <w:adjustRightInd/>
              <w:snapToGrid/>
              <w:spacing w:beforeLines="0" w:line="0" w:lineRule="atLeast"/>
              <w:ind w:firstLine="0" w:firstLineChars="0"/>
              <w:rPr>
                <w:rFonts w:hAnsi="宋体" w:cs="宋体"/>
                <w:i/>
                <w:iCs/>
                <w:snapToGrid w:val="0"/>
                <w:kern w:val="21"/>
                <w:szCs w:val="21"/>
                <w:u w:val="single"/>
              </w:rPr>
            </w:pPr>
          </w:p>
        </w:tc>
        <w:tc>
          <w:tcPr>
            <w:tcW w:w="1916" w:type="dxa"/>
            <w:vAlign w:val="center"/>
          </w:tcPr>
          <w:p>
            <w:pPr>
              <w:widowControl/>
              <w:jc w:val="center"/>
              <w:rPr>
                <w:rFonts w:ascii="宋体" w:hAnsi="宋体" w:cs="宋体"/>
                <w:i/>
                <w:iCs/>
                <w:kern w:val="0"/>
                <w:szCs w:val="21"/>
                <w:u w:val="single"/>
              </w:rPr>
            </w:pPr>
            <w:r>
              <w:rPr>
                <w:rFonts w:hint="eastAsia" w:ascii="宋体" w:hAnsi="宋体" w:cs="宋体"/>
                <w:i/>
                <w:iCs/>
                <w:szCs w:val="21"/>
                <w:u w:val="single"/>
              </w:rPr>
              <w:t>生活垃圾</w:t>
            </w:r>
          </w:p>
        </w:tc>
        <w:tc>
          <w:tcPr>
            <w:tcW w:w="1505" w:type="dxa"/>
            <w:vAlign w:val="center"/>
          </w:tcPr>
          <w:p>
            <w:pPr>
              <w:spacing w:line="0" w:lineRule="atLeast"/>
              <w:jc w:val="center"/>
              <w:rPr>
                <w:rFonts w:ascii="宋体" w:hAnsi="宋体" w:cs="宋体"/>
                <w:i/>
                <w:iCs/>
                <w:snapToGrid w:val="0"/>
                <w:kern w:val="21"/>
                <w:szCs w:val="21"/>
                <w:u w:val="single"/>
              </w:rPr>
            </w:pPr>
            <w:r>
              <w:rPr>
                <w:rFonts w:hint="eastAsia" w:ascii="宋体" w:hAnsi="宋体" w:cs="宋体"/>
                <w:i/>
                <w:iCs/>
                <w:snapToGrid w:val="0"/>
                <w:kern w:val="21"/>
                <w:szCs w:val="21"/>
                <w:u w:val="single"/>
              </w:rPr>
              <w:t>——</w:t>
            </w:r>
          </w:p>
        </w:tc>
        <w:tc>
          <w:tcPr>
            <w:tcW w:w="1188" w:type="dxa"/>
            <w:vAlign w:val="center"/>
          </w:tcPr>
          <w:p>
            <w:pPr>
              <w:spacing w:line="0" w:lineRule="atLeast"/>
              <w:jc w:val="center"/>
              <w:rPr>
                <w:rFonts w:ascii="宋体" w:hAnsi="宋体" w:cs="宋体"/>
                <w:i/>
                <w:iCs/>
                <w:snapToGrid w:val="0"/>
                <w:kern w:val="21"/>
                <w:szCs w:val="21"/>
                <w:u w:val="single"/>
              </w:rPr>
            </w:pPr>
            <w:r>
              <w:rPr>
                <w:rFonts w:hint="eastAsia" w:ascii="宋体" w:hAnsi="宋体" w:cs="宋体"/>
                <w:i/>
                <w:iCs/>
                <w:snapToGrid w:val="0"/>
                <w:kern w:val="21"/>
                <w:szCs w:val="21"/>
                <w:u w:val="single"/>
              </w:rPr>
              <w:t>——</w:t>
            </w:r>
          </w:p>
        </w:tc>
        <w:tc>
          <w:tcPr>
            <w:tcW w:w="1544" w:type="dxa"/>
            <w:vAlign w:val="center"/>
          </w:tcPr>
          <w:p>
            <w:pPr>
              <w:spacing w:line="0" w:lineRule="atLeast"/>
              <w:jc w:val="center"/>
              <w:rPr>
                <w:rFonts w:ascii="宋体" w:hAnsi="宋体" w:cs="宋体"/>
                <w:i/>
                <w:iCs/>
                <w:snapToGrid w:val="0"/>
                <w:kern w:val="21"/>
                <w:szCs w:val="21"/>
                <w:u w:val="single"/>
              </w:rPr>
            </w:pPr>
            <w:r>
              <w:rPr>
                <w:rFonts w:hint="eastAsia" w:ascii="宋体" w:hAnsi="宋体" w:cs="宋体"/>
                <w:i/>
                <w:iCs/>
                <w:snapToGrid w:val="0"/>
                <w:kern w:val="21"/>
                <w:szCs w:val="21"/>
                <w:u w:val="single"/>
              </w:rPr>
              <w:t>——</w:t>
            </w:r>
          </w:p>
        </w:tc>
        <w:tc>
          <w:tcPr>
            <w:tcW w:w="1752" w:type="dxa"/>
            <w:vAlign w:val="center"/>
          </w:tcPr>
          <w:p>
            <w:pPr>
              <w:widowControl/>
              <w:jc w:val="center"/>
              <w:rPr>
                <w:rFonts w:ascii="宋体" w:hAnsi="宋体" w:cs="宋体"/>
                <w:i/>
                <w:iCs/>
                <w:szCs w:val="21"/>
                <w:u w:val="single"/>
              </w:rPr>
            </w:pPr>
            <w:r>
              <w:rPr>
                <w:rFonts w:hint="eastAsia" w:ascii="宋体" w:hAnsi="宋体" w:cs="宋体"/>
                <w:i/>
                <w:iCs/>
                <w:szCs w:val="21"/>
                <w:u w:val="single"/>
              </w:rPr>
              <w:t>0.54</w:t>
            </w:r>
          </w:p>
        </w:tc>
        <w:tc>
          <w:tcPr>
            <w:tcW w:w="1434" w:type="dxa"/>
            <w:vAlign w:val="center"/>
          </w:tcPr>
          <w:p>
            <w:pPr>
              <w:spacing w:line="0" w:lineRule="atLeast"/>
              <w:jc w:val="center"/>
              <w:rPr>
                <w:rFonts w:ascii="宋体" w:hAnsi="宋体" w:cs="宋体"/>
                <w:i/>
                <w:iCs/>
                <w:snapToGrid w:val="0"/>
                <w:kern w:val="21"/>
                <w:szCs w:val="21"/>
                <w:u w:val="single"/>
              </w:rPr>
            </w:pPr>
          </w:p>
        </w:tc>
        <w:tc>
          <w:tcPr>
            <w:tcW w:w="2016" w:type="dxa"/>
            <w:vAlign w:val="center"/>
          </w:tcPr>
          <w:p>
            <w:pPr>
              <w:widowControl/>
              <w:jc w:val="center"/>
              <w:rPr>
                <w:rFonts w:ascii="宋体" w:hAnsi="宋体" w:cs="宋体"/>
                <w:i/>
                <w:iCs/>
                <w:szCs w:val="21"/>
                <w:u w:val="single"/>
              </w:rPr>
            </w:pPr>
            <w:r>
              <w:rPr>
                <w:rFonts w:hint="eastAsia" w:ascii="宋体" w:hAnsi="宋体" w:cs="宋体"/>
                <w:i/>
                <w:iCs/>
                <w:szCs w:val="21"/>
                <w:u w:val="single"/>
              </w:rPr>
              <w:t>0.54</w:t>
            </w:r>
          </w:p>
        </w:tc>
        <w:tc>
          <w:tcPr>
            <w:tcW w:w="1344" w:type="dxa"/>
            <w:vAlign w:val="center"/>
          </w:tcPr>
          <w:p>
            <w:pPr>
              <w:widowControl/>
              <w:jc w:val="center"/>
              <w:rPr>
                <w:rFonts w:ascii="宋体" w:hAnsi="宋体" w:cs="宋体"/>
                <w:i/>
                <w:iCs/>
                <w:szCs w:val="21"/>
                <w:u w:val="single"/>
              </w:rPr>
            </w:pPr>
            <w:r>
              <w:rPr>
                <w:rFonts w:hint="eastAsia" w:ascii="宋体" w:hAnsi="宋体" w:cs="宋体"/>
                <w:i/>
                <w:iCs/>
                <w:szCs w:val="21"/>
                <w:u w:val="single"/>
              </w:rPr>
              <w:t>0.54</w:t>
            </w:r>
          </w:p>
        </w:tc>
      </w:tr>
      <w:tr>
        <w:trPr>
          <w:trHeight w:val="340" w:hRule="atLeast"/>
          <w:jc w:val="center"/>
        </w:trPr>
        <w:tc>
          <w:tcPr>
            <w:tcW w:w="1117" w:type="dxa"/>
            <w:vMerge w:val="restart"/>
            <w:vAlign w:val="center"/>
          </w:tcPr>
          <w:p>
            <w:pPr>
              <w:pStyle w:val="38"/>
              <w:adjustRightInd/>
              <w:snapToGrid/>
              <w:spacing w:beforeLines="0" w:line="0" w:lineRule="atLeast"/>
              <w:ind w:firstLine="0" w:firstLineChars="0"/>
              <w:rPr>
                <w:rFonts w:hAnsi="宋体" w:cs="宋体"/>
                <w:i/>
                <w:iCs/>
                <w:snapToGrid w:val="0"/>
                <w:kern w:val="21"/>
                <w:szCs w:val="21"/>
                <w:u w:val="single"/>
              </w:rPr>
            </w:pPr>
            <w:r>
              <w:rPr>
                <w:rFonts w:hint="eastAsia" w:hAnsi="宋体" w:cs="宋体"/>
                <w:i/>
                <w:iCs/>
                <w:snapToGrid w:val="0"/>
                <w:kern w:val="21"/>
                <w:szCs w:val="21"/>
                <w:u w:val="single"/>
              </w:rPr>
              <w:t>危险废物</w:t>
            </w:r>
          </w:p>
        </w:tc>
        <w:tc>
          <w:tcPr>
            <w:tcW w:w="1916" w:type="dxa"/>
            <w:vAlign w:val="center"/>
          </w:tcPr>
          <w:p>
            <w:pPr>
              <w:widowControl/>
              <w:jc w:val="center"/>
              <w:rPr>
                <w:rFonts w:ascii="宋体" w:hAnsi="宋体" w:cs="宋体"/>
                <w:i/>
                <w:iCs/>
                <w:szCs w:val="21"/>
                <w:u w:val="single"/>
              </w:rPr>
            </w:pPr>
            <w:r>
              <w:rPr>
                <w:rFonts w:hint="eastAsia" w:ascii="宋体" w:hAnsi="宋体" w:cs="宋体"/>
                <w:i/>
                <w:iCs/>
                <w:kern w:val="0"/>
                <w:szCs w:val="21"/>
                <w:u w:val="single"/>
              </w:rPr>
              <w:t>废铅酸蓄电池</w:t>
            </w:r>
          </w:p>
        </w:tc>
        <w:tc>
          <w:tcPr>
            <w:tcW w:w="1505" w:type="dxa"/>
            <w:vAlign w:val="center"/>
          </w:tcPr>
          <w:p>
            <w:pPr>
              <w:spacing w:line="0" w:lineRule="atLeast"/>
              <w:jc w:val="center"/>
              <w:rPr>
                <w:rFonts w:ascii="宋体" w:hAnsi="宋体" w:cs="宋体"/>
                <w:i/>
                <w:iCs/>
                <w:snapToGrid w:val="0"/>
                <w:kern w:val="21"/>
                <w:szCs w:val="21"/>
                <w:u w:val="single"/>
              </w:rPr>
            </w:pPr>
            <w:r>
              <w:rPr>
                <w:rFonts w:hint="eastAsia" w:ascii="宋体" w:hAnsi="宋体" w:cs="宋体"/>
                <w:i/>
                <w:iCs/>
                <w:snapToGrid w:val="0"/>
                <w:kern w:val="21"/>
                <w:szCs w:val="21"/>
                <w:u w:val="single"/>
              </w:rPr>
              <w:t>——</w:t>
            </w:r>
          </w:p>
        </w:tc>
        <w:tc>
          <w:tcPr>
            <w:tcW w:w="1188" w:type="dxa"/>
            <w:vAlign w:val="center"/>
          </w:tcPr>
          <w:p>
            <w:pPr>
              <w:spacing w:line="0" w:lineRule="atLeast"/>
              <w:jc w:val="center"/>
              <w:rPr>
                <w:rFonts w:ascii="宋体" w:hAnsi="宋体" w:cs="宋体"/>
                <w:i/>
                <w:iCs/>
                <w:snapToGrid w:val="0"/>
                <w:kern w:val="21"/>
                <w:szCs w:val="21"/>
                <w:u w:val="single"/>
              </w:rPr>
            </w:pPr>
            <w:r>
              <w:rPr>
                <w:rFonts w:hint="eastAsia" w:ascii="宋体" w:hAnsi="宋体" w:cs="宋体"/>
                <w:i/>
                <w:iCs/>
                <w:snapToGrid w:val="0"/>
                <w:kern w:val="21"/>
                <w:szCs w:val="21"/>
                <w:u w:val="single"/>
              </w:rPr>
              <w:t>——</w:t>
            </w:r>
          </w:p>
        </w:tc>
        <w:tc>
          <w:tcPr>
            <w:tcW w:w="1544" w:type="dxa"/>
            <w:vAlign w:val="center"/>
          </w:tcPr>
          <w:p>
            <w:pPr>
              <w:spacing w:line="0" w:lineRule="atLeast"/>
              <w:jc w:val="center"/>
              <w:rPr>
                <w:rFonts w:ascii="宋体" w:hAnsi="宋体" w:cs="宋体"/>
                <w:i/>
                <w:iCs/>
                <w:snapToGrid w:val="0"/>
                <w:kern w:val="21"/>
                <w:szCs w:val="21"/>
                <w:u w:val="single"/>
              </w:rPr>
            </w:pPr>
            <w:r>
              <w:rPr>
                <w:rFonts w:hint="eastAsia" w:ascii="宋体" w:hAnsi="宋体" w:cs="宋体"/>
                <w:i/>
                <w:iCs/>
                <w:snapToGrid w:val="0"/>
                <w:kern w:val="21"/>
                <w:szCs w:val="21"/>
                <w:u w:val="single"/>
              </w:rPr>
              <w:t>——</w:t>
            </w:r>
          </w:p>
        </w:tc>
        <w:tc>
          <w:tcPr>
            <w:tcW w:w="1752" w:type="dxa"/>
            <w:vAlign w:val="top"/>
          </w:tcPr>
          <w:p>
            <w:pPr>
              <w:pStyle w:val="13"/>
              <w:jc w:val="center"/>
              <w:rPr>
                <w:i/>
                <w:iCs/>
                <w:sz w:val="21"/>
                <w:szCs w:val="21"/>
                <w:u w:val="single"/>
              </w:rPr>
            </w:pPr>
            <w:r>
              <w:rPr>
                <w:rFonts w:hint="eastAsia"/>
                <w:i/>
                <w:iCs/>
                <w:sz w:val="21"/>
                <w:szCs w:val="21"/>
                <w:u w:val="single"/>
              </w:rPr>
              <w:t>1.5</w:t>
            </w:r>
          </w:p>
        </w:tc>
        <w:tc>
          <w:tcPr>
            <w:tcW w:w="1434" w:type="dxa"/>
            <w:vAlign w:val="center"/>
          </w:tcPr>
          <w:p>
            <w:pPr>
              <w:spacing w:line="0" w:lineRule="atLeast"/>
              <w:jc w:val="center"/>
              <w:rPr>
                <w:rFonts w:ascii="宋体" w:hAnsi="宋体" w:cs="宋体"/>
                <w:i/>
                <w:iCs/>
                <w:snapToGrid w:val="0"/>
                <w:kern w:val="21"/>
                <w:szCs w:val="21"/>
                <w:u w:val="single"/>
              </w:rPr>
            </w:pPr>
            <w:r>
              <w:rPr>
                <w:rFonts w:hint="eastAsia" w:ascii="宋体" w:hAnsi="宋体" w:cs="宋体"/>
                <w:i/>
                <w:iCs/>
                <w:snapToGrid w:val="0"/>
                <w:kern w:val="21"/>
                <w:szCs w:val="21"/>
                <w:u w:val="single"/>
              </w:rPr>
              <w:t>——</w:t>
            </w:r>
          </w:p>
        </w:tc>
        <w:tc>
          <w:tcPr>
            <w:tcW w:w="2016" w:type="dxa"/>
            <w:vAlign w:val="top"/>
          </w:tcPr>
          <w:p>
            <w:pPr>
              <w:pStyle w:val="13"/>
              <w:jc w:val="center"/>
              <w:rPr>
                <w:i/>
                <w:iCs/>
                <w:sz w:val="21"/>
                <w:szCs w:val="21"/>
                <w:u w:val="single"/>
              </w:rPr>
            </w:pPr>
            <w:r>
              <w:rPr>
                <w:rFonts w:hint="eastAsia"/>
                <w:i/>
                <w:iCs/>
                <w:sz w:val="21"/>
                <w:szCs w:val="21"/>
                <w:u w:val="single"/>
              </w:rPr>
              <w:t xml:space="preserve"> </w:t>
            </w:r>
          </w:p>
        </w:tc>
        <w:tc>
          <w:tcPr>
            <w:tcW w:w="1344" w:type="dxa"/>
            <w:vAlign w:val="top"/>
          </w:tcPr>
          <w:p>
            <w:pPr>
              <w:pStyle w:val="13"/>
              <w:jc w:val="center"/>
              <w:rPr>
                <w:i/>
                <w:iCs/>
                <w:sz w:val="21"/>
                <w:szCs w:val="21"/>
                <w:u w:val="single"/>
              </w:rPr>
            </w:pPr>
            <w:r>
              <w:rPr>
                <w:rFonts w:hint="eastAsia"/>
                <w:i/>
                <w:iCs/>
                <w:sz w:val="21"/>
                <w:szCs w:val="21"/>
                <w:u w:val="single"/>
              </w:rPr>
              <w:t>3.0</w:t>
            </w:r>
          </w:p>
        </w:tc>
      </w:tr>
      <w:tr>
        <w:trPr>
          <w:trHeight w:val="340" w:hRule="atLeast"/>
          <w:jc w:val="center"/>
        </w:trPr>
        <w:tc>
          <w:tcPr>
            <w:tcW w:w="1117" w:type="dxa"/>
            <w:vMerge w:val="continue"/>
            <w:vAlign w:val="center"/>
          </w:tcPr>
          <w:p>
            <w:pPr>
              <w:pStyle w:val="38"/>
              <w:adjustRightInd/>
              <w:snapToGrid/>
              <w:spacing w:beforeLines="0" w:line="0" w:lineRule="atLeast"/>
              <w:ind w:firstLine="0" w:firstLineChars="0"/>
              <w:rPr>
                <w:rFonts w:hAnsi="宋体" w:cs="宋体"/>
                <w:i/>
                <w:iCs/>
                <w:snapToGrid w:val="0"/>
                <w:kern w:val="21"/>
                <w:szCs w:val="21"/>
                <w:u w:val="single"/>
              </w:rPr>
            </w:pPr>
          </w:p>
        </w:tc>
        <w:tc>
          <w:tcPr>
            <w:tcW w:w="1916" w:type="dxa"/>
            <w:vAlign w:val="center"/>
          </w:tcPr>
          <w:p>
            <w:pPr>
              <w:widowControl/>
              <w:jc w:val="center"/>
              <w:rPr>
                <w:rFonts w:ascii="宋体" w:hAnsi="宋体" w:cs="宋体"/>
                <w:i/>
                <w:iCs/>
                <w:kern w:val="0"/>
                <w:szCs w:val="21"/>
                <w:u w:val="single"/>
              </w:rPr>
            </w:pPr>
            <w:r>
              <w:rPr>
                <w:rFonts w:hint="eastAsia" w:ascii="宋体" w:hAnsi="宋体" w:cs="宋体"/>
                <w:i/>
                <w:iCs/>
                <w:kern w:val="0"/>
                <w:szCs w:val="21"/>
                <w:u w:val="single"/>
              </w:rPr>
              <w:t>废防冻液</w:t>
            </w:r>
          </w:p>
        </w:tc>
        <w:tc>
          <w:tcPr>
            <w:tcW w:w="1505" w:type="dxa"/>
            <w:vAlign w:val="center"/>
          </w:tcPr>
          <w:p>
            <w:pPr>
              <w:spacing w:line="0" w:lineRule="atLeast"/>
              <w:jc w:val="center"/>
              <w:rPr>
                <w:rFonts w:ascii="宋体" w:hAnsi="宋体" w:cs="宋体"/>
                <w:i/>
                <w:iCs/>
                <w:snapToGrid w:val="0"/>
                <w:kern w:val="21"/>
                <w:szCs w:val="21"/>
                <w:u w:val="single"/>
              </w:rPr>
            </w:pPr>
            <w:r>
              <w:rPr>
                <w:rFonts w:hint="eastAsia" w:ascii="宋体" w:hAnsi="宋体" w:cs="宋体"/>
                <w:i/>
                <w:iCs/>
                <w:snapToGrid w:val="0"/>
                <w:kern w:val="21"/>
                <w:szCs w:val="21"/>
                <w:u w:val="single"/>
              </w:rPr>
              <w:t>——</w:t>
            </w:r>
          </w:p>
        </w:tc>
        <w:tc>
          <w:tcPr>
            <w:tcW w:w="1188" w:type="dxa"/>
            <w:vAlign w:val="center"/>
          </w:tcPr>
          <w:p>
            <w:pPr>
              <w:spacing w:line="0" w:lineRule="atLeast"/>
              <w:jc w:val="center"/>
              <w:rPr>
                <w:rFonts w:ascii="宋体" w:hAnsi="宋体" w:cs="宋体"/>
                <w:i/>
                <w:iCs/>
                <w:snapToGrid w:val="0"/>
                <w:kern w:val="21"/>
                <w:szCs w:val="21"/>
                <w:u w:val="single"/>
              </w:rPr>
            </w:pPr>
            <w:r>
              <w:rPr>
                <w:rFonts w:hint="eastAsia" w:ascii="宋体" w:hAnsi="宋体" w:cs="宋体"/>
                <w:i/>
                <w:iCs/>
                <w:snapToGrid w:val="0"/>
                <w:kern w:val="21"/>
                <w:szCs w:val="21"/>
                <w:u w:val="single"/>
              </w:rPr>
              <w:t>——</w:t>
            </w:r>
          </w:p>
        </w:tc>
        <w:tc>
          <w:tcPr>
            <w:tcW w:w="1544" w:type="dxa"/>
            <w:vAlign w:val="center"/>
          </w:tcPr>
          <w:p>
            <w:pPr>
              <w:spacing w:line="0" w:lineRule="atLeast"/>
              <w:jc w:val="center"/>
              <w:rPr>
                <w:rFonts w:ascii="宋体" w:hAnsi="宋体" w:cs="宋体"/>
                <w:i/>
                <w:iCs/>
                <w:snapToGrid w:val="0"/>
                <w:kern w:val="21"/>
                <w:szCs w:val="21"/>
                <w:u w:val="single"/>
              </w:rPr>
            </w:pPr>
            <w:r>
              <w:rPr>
                <w:rFonts w:hint="eastAsia" w:ascii="宋体" w:hAnsi="宋体" w:cs="宋体"/>
                <w:i/>
                <w:iCs/>
                <w:snapToGrid w:val="0"/>
                <w:kern w:val="21"/>
                <w:szCs w:val="21"/>
                <w:u w:val="single"/>
              </w:rPr>
              <w:t>——</w:t>
            </w:r>
          </w:p>
        </w:tc>
        <w:tc>
          <w:tcPr>
            <w:tcW w:w="1752" w:type="dxa"/>
            <w:vAlign w:val="top"/>
          </w:tcPr>
          <w:p>
            <w:pPr>
              <w:pStyle w:val="13"/>
              <w:jc w:val="center"/>
              <w:rPr>
                <w:i/>
                <w:iCs/>
                <w:sz w:val="21"/>
                <w:szCs w:val="21"/>
                <w:u w:val="single"/>
              </w:rPr>
            </w:pPr>
            <w:r>
              <w:rPr>
                <w:rFonts w:hint="eastAsia"/>
                <w:i/>
                <w:iCs/>
                <w:sz w:val="21"/>
                <w:szCs w:val="21"/>
                <w:u w:val="single"/>
              </w:rPr>
              <w:t>0.3</w:t>
            </w:r>
          </w:p>
        </w:tc>
        <w:tc>
          <w:tcPr>
            <w:tcW w:w="1434" w:type="dxa"/>
            <w:vAlign w:val="center"/>
          </w:tcPr>
          <w:p>
            <w:pPr>
              <w:spacing w:line="0" w:lineRule="atLeast"/>
              <w:jc w:val="center"/>
              <w:rPr>
                <w:rFonts w:ascii="宋体" w:hAnsi="宋体" w:cs="宋体"/>
                <w:i/>
                <w:iCs/>
                <w:snapToGrid w:val="0"/>
                <w:kern w:val="21"/>
                <w:szCs w:val="21"/>
                <w:u w:val="single"/>
              </w:rPr>
            </w:pPr>
            <w:r>
              <w:rPr>
                <w:rFonts w:hint="eastAsia" w:ascii="宋体" w:hAnsi="宋体" w:cs="宋体"/>
                <w:i/>
                <w:iCs/>
                <w:snapToGrid w:val="0"/>
                <w:kern w:val="21"/>
                <w:szCs w:val="21"/>
                <w:u w:val="single"/>
              </w:rPr>
              <w:t>——</w:t>
            </w:r>
          </w:p>
        </w:tc>
        <w:tc>
          <w:tcPr>
            <w:tcW w:w="2016" w:type="dxa"/>
            <w:vAlign w:val="top"/>
          </w:tcPr>
          <w:p>
            <w:pPr>
              <w:pStyle w:val="13"/>
              <w:jc w:val="center"/>
              <w:rPr>
                <w:i/>
                <w:iCs/>
                <w:sz w:val="21"/>
                <w:szCs w:val="21"/>
                <w:u w:val="single"/>
              </w:rPr>
            </w:pPr>
            <w:r>
              <w:rPr>
                <w:rFonts w:hint="eastAsia"/>
                <w:i/>
                <w:iCs/>
                <w:sz w:val="21"/>
                <w:szCs w:val="21"/>
                <w:u w:val="single"/>
              </w:rPr>
              <w:t>0.6</w:t>
            </w:r>
          </w:p>
        </w:tc>
        <w:tc>
          <w:tcPr>
            <w:tcW w:w="1344" w:type="dxa"/>
            <w:vAlign w:val="top"/>
          </w:tcPr>
          <w:p>
            <w:pPr>
              <w:pStyle w:val="13"/>
              <w:jc w:val="center"/>
              <w:rPr>
                <w:i/>
                <w:iCs/>
                <w:sz w:val="21"/>
                <w:szCs w:val="21"/>
                <w:u w:val="single"/>
              </w:rPr>
            </w:pPr>
            <w:r>
              <w:rPr>
                <w:rFonts w:hint="eastAsia"/>
                <w:i/>
                <w:iCs/>
                <w:sz w:val="21"/>
                <w:szCs w:val="21"/>
                <w:u w:val="single"/>
              </w:rPr>
              <w:t>0.6</w:t>
            </w:r>
          </w:p>
        </w:tc>
      </w:tr>
      <w:tr>
        <w:trPr>
          <w:trHeight w:val="340" w:hRule="atLeast"/>
          <w:jc w:val="center"/>
        </w:trPr>
        <w:tc>
          <w:tcPr>
            <w:tcW w:w="1117" w:type="dxa"/>
            <w:vMerge w:val="continue"/>
            <w:vAlign w:val="center"/>
          </w:tcPr>
          <w:p>
            <w:pPr>
              <w:pStyle w:val="38"/>
              <w:adjustRightInd/>
              <w:snapToGrid/>
              <w:spacing w:beforeLines="0" w:line="0" w:lineRule="atLeast"/>
              <w:ind w:firstLine="0" w:firstLineChars="0"/>
              <w:rPr>
                <w:rFonts w:hAnsi="宋体" w:cs="宋体"/>
                <w:i/>
                <w:iCs/>
                <w:snapToGrid w:val="0"/>
                <w:kern w:val="21"/>
                <w:szCs w:val="21"/>
                <w:u w:val="single"/>
              </w:rPr>
            </w:pPr>
          </w:p>
        </w:tc>
        <w:tc>
          <w:tcPr>
            <w:tcW w:w="1916" w:type="dxa"/>
            <w:vAlign w:val="center"/>
          </w:tcPr>
          <w:p>
            <w:pPr>
              <w:widowControl/>
              <w:jc w:val="center"/>
              <w:rPr>
                <w:rFonts w:ascii="宋体" w:hAnsi="宋体" w:cs="宋体"/>
                <w:i/>
                <w:iCs/>
                <w:szCs w:val="21"/>
                <w:u w:val="single"/>
              </w:rPr>
            </w:pPr>
            <w:r>
              <w:rPr>
                <w:rFonts w:hint="eastAsia" w:ascii="宋体" w:hAnsi="宋体" w:cs="宋体"/>
                <w:i/>
                <w:iCs/>
                <w:kern w:val="0"/>
                <w:szCs w:val="21"/>
                <w:u w:val="single"/>
              </w:rPr>
              <w:t>废机油</w:t>
            </w:r>
          </w:p>
        </w:tc>
        <w:tc>
          <w:tcPr>
            <w:tcW w:w="1505" w:type="dxa"/>
            <w:vAlign w:val="center"/>
          </w:tcPr>
          <w:p>
            <w:pPr>
              <w:spacing w:line="0" w:lineRule="atLeast"/>
              <w:jc w:val="center"/>
              <w:rPr>
                <w:rFonts w:ascii="宋体" w:hAnsi="宋体" w:cs="宋体"/>
                <w:i/>
                <w:iCs/>
                <w:snapToGrid w:val="0"/>
                <w:kern w:val="21"/>
                <w:szCs w:val="21"/>
                <w:u w:val="single"/>
              </w:rPr>
            </w:pPr>
          </w:p>
        </w:tc>
        <w:tc>
          <w:tcPr>
            <w:tcW w:w="1188" w:type="dxa"/>
            <w:vAlign w:val="center"/>
          </w:tcPr>
          <w:p>
            <w:pPr>
              <w:spacing w:line="0" w:lineRule="atLeast"/>
              <w:jc w:val="center"/>
              <w:rPr>
                <w:rFonts w:ascii="宋体" w:hAnsi="宋体" w:cs="宋体"/>
                <w:i/>
                <w:iCs/>
                <w:snapToGrid w:val="0"/>
                <w:kern w:val="21"/>
                <w:szCs w:val="21"/>
                <w:u w:val="single"/>
              </w:rPr>
            </w:pPr>
          </w:p>
        </w:tc>
        <w:tc>
          <w:tcPr>
            <w:tcW w:w="1544" w:type="dxa"/>
            <w:vAlign w:val="center"/>
          </w:tcPr>
          <w:p>
            <w:pPr>
              <w:spacing w:line="0" w:lineRule="atLeast"/>
              <w:jc w:val="center"/>
              <w:rPr>
                <w:rFonts w:ascii="宋体" w:hAnsi="宋体" w:cs="宋体"/>
                <w:i/>
                <w:iCs/>
                <w:snapToGrid w:val="0"/>
                <w:kern w:val="21"/>
                <w:szCs w:val="21"/>
                <w:u w:val="single"/>
              </w:rPr>
            </w:pPr>
          </w:p>
        </w:tc>
        <w:tc>
          <w:tcPr>
            <w:tcW w:w="1752" w:type="dxa"/>
            <w:vAlign w:val="top"/>
          </w:tcPr>
          <w:p>
            <w:pPr>
              <w:pStyle w:val="13"/>
              <w:jc w:val="center"/>
              <w:rPr>
                <w:i/>
                <w:iCs/>
                <w:sz w:val="21"/>
                <w:szCs w:val="21"/>
                <w:u w:val="single"/>
              </w:rPr>
            </w:pPr>
            <w:r>
              <w:rPr>
                <w:rFonts w:hint="eastAsia"/>
                <w:i/>
                <w:iCs/>
                <w:sz w:val="21"/>
                <w:szCs w:val="21"/>
                <w:u w:val="single"/>
              </w:rPr>
              <w:t>3.3</w:t>
            </w:r>
          </w:p>
        </w:tc>
        <w:tc>
          <w:tcPr>
            <w:tcW w:w="1434" w:type="dxa"/>
            <w:vAlign w:val="center"/>
          </w:tcPr>
          <w:p>
            <w:pPr>
              <w:spacing w:line="0" w:lineRule="atLeast"/>
              <w:jc w:val="center"/>
              <w:rPr>
                <w:rFonts w:ascii="宋体" w:hAnsi="宋体" w:cs="宋体"/>
                <w:i/>
                <w:iCs/>
                <w:snapToGrid w:val="0"/>
                <w:kern w:val="21"/>
                <w:szCs w:val="21"/>
                <w:u w:val="single"/>
              </w:rPr>
            </w:pPr>
          </w:p>
        </w:tc>
        <w:tc>
          <w:tcPr>
            <w:tcW w:w="2016" w:type="dxa"/>
            <w:vAlign w:val="top"/>
          </w:tcPr>
          <w:p>
            <w:pPr>
              <w:pStyle w:val="13"/>
              <w:jc w:val="center"/>
              <w:rPr>
                <w:i/>
                <w:iCs/>
                <w:sz w:val="21"/>
                <w:szCs w:val="21"/>
                <w:u w:val="single"/>
              </w:rPr>
            </w:pPr>
            <w:r>
              <w:rPr>
                <w:rFonts w:hint="eastAsia"/>
                <w:i/>
                <w:iCs/>
                <w:sz w:val="21"/>
                <w:szCs w:val="21"/>
                <w:u w:val="single"/>
              </w:rPr>
              <w:t>6.6</w:t>
            </w:r>
          </w:p>
        </w:tc>
        <w:tc>
          <w:tcPr>
            <w:tcW w:w="1344" w:type="dxa"/>
            <w:vAlign w:val="top"/>
          </w:tcPr>
          <w:p>
            <w:pPr>
              <w:pStyle w:val="13"/>
              <w:jc w:val="center"/>
              <w:rPr>
                <w:i/>
                <w:iCs/>
                <w:sz w:val="21"/>
                <w:szCs w:val="21"/>
                <w:u w:val="single"/>
              </w:rPr>
            </w:pPr>
            <w:r>
              <w:rPr>
                <w:rFonts w:hint="eastAsia"/>
                <w:i/>
                <w:iCs/>
                <w:sz w:val="21"/>
                <w:szCs w:val="21"/>
                <w:u w:val="single"/>
              </w:rPr>
              <w:t>6.6</w:t>
            </w:r>
          </w:p>
        </w:tc>
      </w:tr>
      <w:tr>
        <w:trPr>
          <w:trHeight w:val="340" w:hRule="atLeast"/>
          <w:jc w:val="center"/>
        </w:trPr>
        <w:tc>
          <w:tcPr>
            <w:tcW w:w="1117" w:type="dxa"/>
            <w:vMerge w:val="continue"/>
            <w:vAlign w:val="center"/>
          </w:tcPr>
          <w:p>
            <w:pPr>
              <w:pStyle w:val="38"/>
              <w:adjustRightInd/>
              <w:snapToGrid/>
              <w:spacing w:beforeLines="0" w:line="0" w:lineRule="atLeast"/>
              <w:ind w:firstLine="0" w:firstLineChars="0"/>
              <w:rPr>
                <w:rFonts w:hAnsi="宋体" w:cs="宋体"/>
                <w:i/>
                <w:iCs/>
                <w:snapToGrid w:val="0"/>
                <w:kern w:val="21"/>
                <w:szCs w:val="21"/>
                <w:u w:val="single"/>
              </w:rPr>
            </w:pPr>
          </w:p>
        </w:tc>
        <w:tc>
          <w:tcPr>
            <w:tcW w:w="1916" w:type="dxa"/>
            <w:vAlign w:val="center"/>
          </w:tcPr>
          <w:p>
            <w:pPr>
              <w:widowControl/>
              <w:jc w:val="center"/>
              <w:rPr>
                <w:rFonts w:ascii="宋体" w:hAnsi="宋体" w:cs="宋体"/>
                <w:i/>
                <w:iCs/>
                <w:kern w:val="0"/>
                <w:szCs w:val="21"/>
                <w:u w:val="single"/>
              </w:rPr>
            </w:pPr>
            <w:r>
              <w:rPr>
                <w:rFonts w:hint="eastAsia" w:ascii="宋体" w:hAnsi="宋体" w:cs="宋体"/>
                <w:i/>
                <w:iCs/>
                <w:kern w:val="0"/>
                <w:szCs w:val="21"/>
                <w:u w:val="single"/>
              </w:rPr>
              <w:t>剩余燃油</w:t>
            </w:r>
          </w:p>
        </w:tc>
        <w:tc>
          <w:tcPr>
            <w:tcW w:w="1505" w:type="dxa"/>
            <w:vAlign w:val="center"/>
          </w:tcPr>
          <w:p>
            <w:pPr>
              <w:spacing w:line="0" w:lineRule="atLeast"/>
              <w:jc w:val="center"/>
              <w:rPr>
                <w:rFonts w:ascii="宋体" w:hAnsi="宋体" w:cs="宋体"/>
                <w:i/>
                <w:iCs/>
                <w:snapToGrid w:val="0"/>
                <w:kern w:val="21"/>
                <w:szCs w:val="21"/>
                <w:u w:val="single"/>
              </w:rPr>
            </w:pPr>
          </w:p>
        </w:tc>
        <w:tc>
          <w:tcPr>
            <w:tcW w:w="1188" w:type="dxa"/>
            <w:vAlign w:val="center"/>
          </w:tcPr>
          <w:p>
            <w:pPr>
              <w:spacing w:line="0" w:lineRule="atLeast"/>
              <w:jc w:val="center"/>
              <w:rPr>
                <w:rFonts w:ascii="宋体" w:hAnsi="宋体" w:cs="宋体"/>
                <w:i/>
                <w:iCs/>
                <w:snapToGrid w:val="0"/>
                <w:kern w:val="21"/>
                <w:szCs w:val="21"/>
                <w:u w:val="single"/>
              </w:rPr>
            </w:pPr>
          </w:p>
        </w:tc>
        <w:tc>
          <w:tcPr>
            <w:tcW w:w="1544" w:type="dxa"/>
            <w:vAlign w:val="center"/>
          </w:tcPr>
          <w:p>
            <w:pPr>
              <w:spacing w:line="0" w:lineRule="atLeast"/>
              <w:jc w:val="center"/>
              <w:rPr>
                <w:rFonts w:ascii="宋体" w:hAnsi="宋体" w:cs="宋体"/>
                <w:i/>
                <w:iCs/>
                <w:snapToGrid w:val="0"/>
                <w:kern w:val="21"/>
                <w:szCs w:val="21"/>
                <w:u w:val="single"/>
              </w:rPr>
            </w:pPr>
          </w:p>
        </w:tc>
        <w:tc>
          <w:tcPr>
            <w:tcW w:w="1752" w:type="dxa"/>
            <w:vAlign w:val="top"/>
          </w:tcPr>
          <w:p>
            <w:pPr>
              <w:pStyle w:val="13"/>
              <w:jc w:val="center"/>
              <w:rPr>
                <w:i/>
                <w:iCs/>
                <w:sz w:val="21"/>
                <w:szCs w:val="21"/>
                <w:u w:val="single"/>
              </w:rPr>
            </w:pPr>
            <w:r>
              <w:rPr>
                <w:rFonts w:hint="eastAsia"/>
                <w:i/>
                <w:iCs/>
                <w:sz w:val="21"/>
                <w:szCs w:val="21"/>
                <w:u w:val="single"/>
              </w:rPr>
              <w:t>0.5</w:t>
            </w:r>
          </w:p>
        </w:tc>
        <w:tc>
          <w:tcPr>
            <w:tcW w:w="1434" w:type="dxa"/>
            <w:vAlign w:val="center"/>
          </w:tcPr>
          <w:p>
            <w:pPr>
              <w:spacing w:line="0" w:lineRule="atLeast"/>
              <w:jc w:val="center"/>
              <w:rPr>
                <w:rFonts w:ascii="宋体" w:hAnsi="宋体" w:cs="宋体"/>
                <w:i/>
                <w:iCs/>
                <w:snapToGrid w:val="0"/>
                <w:kern w:val="21"/>
                <w:szCs w:val="21"/>
                <w:u w:val="single"/>
              </w:rPr>
            </w:pPr>
          </w:p>
        </w:tc>
        <w:tc>
          <w:tcPr>
            <w:tcW w:w="2016" w:type="dxa"/>
            <w:vAlign w:val="top"/>
          </w:tcPr>
          <w:p>
            <w:pPr>
              <w:pStyle w:val="13"/>
              <w:jc w:val="center"/>
              <w:rPr>
                <w:i/>
                <w:iCs/>
                <w:sz w:val="21"/>
                <w:szCs w:val="21"/>
                <w:u w:val="single"/>
              </w:rPr>
            </w:pPr>
            <w:r>
              <w:rPr>
                <w:rFonts w:hint="eastAsia"/>
                <w:i/>
                <w:iCs/>
                <w:sz w:val="21"/>
                <w:szCs w:val="21"/>
                <w:u w:val="single"/>
              </w:rPr>
              <w:t>1.0</w:t>
            </w:r>
          </w:p>
        </w:tc>
        <w:tc>
          <w:tcPr>
            <w:tcW w:w="1344" w:type="dxa"/>
            <w:vAlign w:val="top"/>
          </w:tcPr>
          <w:p>
            <w:pPr>
              <w:pStyle w:val="13"/>
              <w:jc w:val="center"/>
              <w:rPr>
                <w:i/>
                <w:iCs/>
                <w:sz w:val="21"/>
                <w:szCs w:val="21"/>
                <w:u w:val="single"/>
              </w:rPr>
            </w:pPr>
            <w:r>
              <w:rPr>
                <w:rFonts w:hint="eastAsia"/>
                <w:i/>
                <w:iCs/>
                <w:sz w:val="21"/>
                <w:szCs w:val="21"/>
                <w:u w:val="single"/>
              </w:rPr>
              <w:t>1.0</w:t>
            </w:r>
          </w:p>
        </w:tc>
      </w:tr>
      <w:tr>
        <w:trPr>
          <w:trHeight w:val="340" w:hRule="atLeast"/>
          <w:jc w:val="center"/>
        </w:trPr>
        <w:tc>
          <w:tcPr>
            <w:tcW w:w="1117" w:type="dxa"/>
            <w:vMerge w:val="continue"/>
            <w:vAlign w:val="center"/>
          </w:tcPr>
          <w:p>
            <w:pPr>
              <w:pStyle w:val="38"/>
              <w:adjustRightInd/>
              <w:snapToGrid/>
              <w:spacing w:beforeLines="0" w:line="0" w:lineRule="atLeast"/>
              <w:ind w:firstLine="0" w:firstLineChars="0"/>
              <w:rPr>
                <w:rFonts w:hAnsi="宋体" w:cs="宋体"/>
                <w:i/>
                <w:iCs/>
                <w:snapToGrid w:val="0"/>
                <w:kern w:val="21"/>
                <w:szCs w:val="21"/>
                <w:u w:val="single"/>
              </w:rPr>
            </w:pPr>
          </w:p>
        </w:tc>
        <w:tc>
          <w:tcPr>
            <w:tcW w:w="1916" w:type="dxa"/>
            <w:vAlign w:val="center"/>
          </w:tcPr>
          <w:p>
            <w:pPr>
              <w:widowControl/>
              <w:jc w:val="center"/>
              <w:rPr>
                <w:i/>
                <w:iCs/>
                <w:szCs w:val="21"/>
                <w:u w:val="single"/>
              </w:rPr>
            </w:pPr>
            <w:r>
              <w:rPr>
                <w:rFonts w:hint="eastAsia" w:ascii="宋体" w:hAnsi="宋体" w:cs="宋体"/>
                <w:i/>
                <w:iCs/>
                <w:kern w:val="0"/>
                <w:szCs w:val="21"/>
                <w:u w:val="single"/>
              </w:rPr>
              <w:t>废制动液</w:t>
            </w:r>
          </w:p>
        </w:tc>
        <w:tc>
          <w:tcPr>
            <w:tcW w:w="1505" w:type="dxa"/>
            <w:vAlign w:val="center"/>
          </w:tcPr>
          <w:p>
            <w:pPr>
              <w:spacing w:line="0" w:lineRule="atLeast"/>
              <w:jc w:val="center"/>
              <w:rPr>
                <w:rFonts w:ascii="宋体" w:hAnsi="宋体" w:cs="宋体"/>
                <w:i/>
                <w:iCs/>
                <w:snapToGrid w:val="0"/>
                <w:kern w:val="21"/>
                <w:szCs w:val="21"/>
                <w:u w:val="single"/>
              </w:rPr>
            </w:pPr>
          </w:p>
        </w:tc>
        <w:tc>
          <w:tcPr>
            <w:tcW w:w="1188" w:type="dxa"/>
            <w:vAlign w:val="center"/>
          </w:tcPr>
          <w:p>
            <w:pPr>
              <w:spacing w:line="0" w:lineRule="atLeast"/>
              <w:jc w:val="center"/>
              <w:rPr>
                <w:rFonts w:ascii="宋体" w:hAnsi="宋体" w:cs="宋体"/>
                <w:i/>
                <w:iCs/>
                <w:snapToGrid w:val="0"/>
                <w:kern w:val="21"/>
                <w:szCs w:val="21"/>
                <w:u w:val="single"/>
              </w:rPr>
            </w:pPr>
          </w:p>
        </w:tc>
        <w:tc>
          <w:tcPr>
            <w:tcW w:w="1544" w:type="dxa"/>
            <w:vAlign w:val="center"/>
          </w:tcPr>
          <w:p>
            <w:pPr>
              <w:spacing w:line="0" w:lineRule="atLeast"/>
              <w:jc w:val="center"/>
              <w:rPr>
                <w:rFonts w:ascii="宋体" w:hAnsi="宋体" w:cs="宋体"/>
                <w:i/>
                <w:iCs/>
                <w:snapToGrid w:val="0"/>
                <w:kern w:val="21"/>
                <w:szCs w:val="21"/>
                <w:u w:val="single"/>
              </w:rPr>
            </w:pPr>
          </w:p>
        </w:tc>
        <w:tc>
          <w:tcPr>
            <w:tcW w:w="1752" w:type="dxa"/>
            <w:vAlign w:val="top"/>
          </w:tcPr>
          <w:p>
            <w:pPr>
              <w:pStyle w:val="13"/>
              <w:jc w:val="center"/>
              <w:rPr>
                <w:i/>
                <w:iCs/>
                <w:sz w:val="21"/>
                <w:szCs w:val="21"/>
                <w:u w:val="single"/>
              </w:rPr>
            </w:pPr>
            <w:r>
              <w:rPr>
                <w:rFonts w:hint="eastAsia"/>
                <w:i/>
                <w:iCs/>
                <w:sz w:val="21"/>
                <w:szCs w:val="21"/>
                <w:u w:val="single"/>
              </w:rPr>
              <w:t>0.3</w:t>
            </w:r>
          </w:p>
        </w:tc>
        <w:tc>
          <w:tcPr>
            <w:tcW w:w="1434" w:type="dxa"/>
            <w:vAlign w:val="center"/>
          </w:tcPr>
          <w:p>
            <w:pPr>
              <w:spacing w:line="0" w:lineRule="atLeast"/>
              <w:jc w:val="center"/>
              <w:rPr>
                <w:rFonts w:ascii="宋体" w:hAnsi="宋体" w:cs="宋体"/>
                <w:i/>
                <w:iCs/>
                <w:snapToGrid w:val="0"/>
                <w:kern w:val="21"/>
                <w:szCs w:val="21"/>
                <w:u w:val="single"/>
              </w:rPr>
            </w:pPr>
          </w:p>
        </w:tc>
        <w:tc>
          <w:tcPr>
            <w:tcW w:w="2016" w:type="dxa"/>
            <w:vAlign w:val="top"/>
          </w:tcPr>
          <w:p>
            <w:pPr>
              <w:pStyle w:val="13"/>
              <w:jc w:val="center"/>
              <w:rPr>
                <w:i/>
                <w:iCs/>
                <w:sz w:val="21"/>
                <w:szCs w:val="21"/>
                <w:u w:val="single"/>
              </w:rPr>
            </w:pPr>
            <w:r>
              <w:rPr>
                <w:rFonts w:hint="eastAsia"/>
                <w:i/>
                <w:iCs/>
                <w:sz w:val="21"/>
                <w:szCs w:val="21"/>
                <w:u w:val="single"/>
              </w:rPr>
              <w:t>0.6</w:t>
            </w:r>
          </w:p>
        </w:tc>
        <w:tc>
          <w:tcPr>
            <w:tcW w:w="1344" w:type="dxa"/>
            <w:vAlign w:val="top"/>
          </w:tcPr>
          <w:p>
            <w:pPr>
              <w:pStyle w:val="13"/>
              <w:jc w:val="center"/>
              <w:rPr>
                <w:i/>
                <w:iCs/>
                <w:sz w:val="21"/>
                <w:szCs w:val="21"/>
                <w:u w:val="single"/>
              </w:rPr>
            </w:pPr>
            <w:r>
              <w:rPr>
                <w:rFonts w:hint="eastAsia"/>
                <w:i/>
                <w:iCs/>
                <w:sz w:val="21"/>
                <w:szCs w:val="21"/>
                <w:u w:val="single"/>
              </w:rPr>
              <w:t>0.6</w:t>
            </w:r>
          </w:p>
        </w:tc>
      </w:tr>
      <w:tr>
        <w:trPr>
          <w:trHeight w:val="340" w:hRule="atLeast"/>
          <w:jc w:val="center"/>
        </w:trPr>
        <w:tc>
          <w:tcPr>
            <w:tcW w:w="1117" w:type="dxa"/>
            <w:vMerge w:val="continue"/>
            <w:vAlign w:val="center"/>
          </w:tcPr>
          <w:p>
            <w:pPr>
              <w:pStyle w:val="38"/>
              <w:adjustRightInd/>
              <w:snapToGrid/>
              <w:spacing w:beforeLines="0" w:line="0" w:lineRule="atLeast"/>
              <w:ind w:firstLine="0" w:firstLineChars="0"/>
              <w:rPr>
                <w:rFonts w:hAnsi="宋体" w:cs="宋体"/>
                <w:i/>
                <w:iCs/>
                <w:snapToGrid w:val="0"/>
                <w:kern w:val="21"/>
                <w:szCs w:val="21"/>
                <w:u w:val="single"/>
              </w:rPr>
            </w:pPr>
          </w:p>
        </w:tc>
        <w:tc>
          <w:tcPr>
            <w:tcW w:w="1916" w:type="dxa"/>
            <w:vAlign w:val="center"/>
          </w:tcPr>
          <w:p>
            <w:pPr>
              <w:widowControl/>
              <w:jc w:val="center"/>
              <w:rPr>
                <w:rFonts w:ascii="宋体" w:hAnsi="宋体" w:cs="宋体"/>
                <w:i/>
                <w:iCs/>
                <w:szCs w:val="21"/>
                <w:u w:val="single"/>
              </w:rPr>
            </w:pPr>
            <w:r>
              <w:rPr>
                <w:rFonts w:hint="eastAsia" w:ascii="宋体" w:hAnsi="宋体" w:cs="宋体"/>
                <w:i/>
                <w:iCs/>
                <w:kern w:val="0"/>
                <w:szCs w:val="21"/>
                <w:u w:val="single"/>
              </w:rPr>
              <w:t>废油箱</w:t>
            </w:r>
          </w:p>
        </w:tc>
        <w:tc>
          <w:tcPr>
            <w:tcW w:w="1505" w:type="dxa"/>
            <w:vAlign w:val="center"/>
          </w:tcPr>
          <w:p>
            <w:pPr>
              <w:spacing w:line="0" w:lineRule="atLeast"/>
              <w:jc w:val="center"/>
              <w:rPr>
                <w:rFonts w:ascii="宋体" w:hAnsi="宋体" w:cs="宋体"/>
                <w:i/>
                <w:iCs/>
                <w:snapToGrid w:val="0"/>
                <w:kern w:val="21"/>
                <w:szCs w:val="21"/>
                <w:u w:val="single"/>
              </w:rPr>
            </w:pPr>
            <w:r>
              <w:rPr>
                <w:rFonts w:hint="eastAsia" w:ascii="宋体" w:hAnsi="宋体" w:cs="宋体"/>
                <w:i/>
                <w:iCs/>
                <w:snapToGrid w:val="0"/>
                <w:kern w:val="21"/>
                <w:szCs w:val="21"/>
                <w:u w:val="single"/>
              </w:rPr>
              <w:t>——</w:t>
            </w:r>
          </w:p>
        </w:tc>
        <w:tc>
          <w:tcPr>
            <w:tcW w:w="1188" w:type="dxa"/>
            <w:vAlign w:val="center"/>
          </w:tcPr>
          <w:p>
            <w:pPr>
              <w:spacing w:line="0" w:lineRule="atLeast"/>
              <w:jc w:val="center"/>
              <w:rPr>
                <w:rFonts w:ascii="宋体" w:hAnsi="宋体" w:cs="宋体"/>
                <w:i/>
                <w:iCs/>
                <w:snapToGrid w:val="0"/>
                <w:kern w:val="21"/>
                <w:szCs w:val="21"/>
                <w:u w:val="single"/>
              </w:rPr>
            </w:pPr>
            <w:r>
              <w:rPr>
                <w:rFonts w:hint="eastAsia" w:ascii="宋体" w:hAnsi="宋体" w:cs="宋体"/>
                <w:i/>
                <w:iCs/>
                <w:snapToGrid w:val="0"/>
                <w:kern w:val="21"/>
                <w:szCs w:val="21"/>
                <w:u w:val="single"/>
              </w:rPr>
              <w:t>——</w:t>
            </w:r>
          </w:p>
        </w:tc>
        <w:tc>
          <w:tcPr>
            <w:tcW w:w="1544" w:type="dxa"/>
            <w:vAlign w:val="center"/>
          </w:tcPr>
          <w:p>
            <w:pPr>
              <w:spacing w:line="0" w:lineRule="atLeast"/>
              <w:jc w:val="center"/>
              <w:rPr>
                <w:rFonts w:ascii="宋体" w:hAnsi="宋体" w:cs="宋体"/>
                <w:i/>
                <w:iCs/>
                <w:snapToGrid w:val="0"/>
                <w:kern w:val="21"/>
                <w:szCs w:val="21"/>
                <w:u w:val="single"/>
              </w:rPr>
            </w:pPr>
            <w:r>
              <w:rPr>
                <w:rFonts w:hint="eastAsia" w:ascii="宋体" w:hAnsi="宋体" w:cs="宋体"/>
                <w:i/>
                <w:iCs/>
                <w:snapToGrid w:val="0"/>
                <w:kern w:val="21"/>
                <w:szCs w:val="21"/>
                <w:u w:val="single"/>
              </w:rPr>
              <w:t>——</w:t>
            </w:r>
          </w:p>
        </w:tc>
        <w:tc>
          <w:tcPr>
            <w:tcW w:w="1752" w:type="dxa"/>
            <w:vAlign w:val="top"/>
          </w:tcPr>
          <w:p>
            <w:pPr>
              <w:pStyle w:val="13"/>
              <w:jc w:val="center"/>
              <w:rPr>
                <w:i/>
                <w:iCs/>
                <w:sz w:val="21"/>
                <w:szCs w:val="21"/>
                <w:u w:val="single"/>
              </w:rPr>
            </w:pPr>
            <w:r>
              <w:rPr>
                <w:rFonts w:hint="eastAsia"/>
                <w:i/>
                <w:iCs/>
                <w:sz w:val="21"/>
                <w:szCs w:val="21"/>
                <w:u w:val="single"/>
              </w:rPr>
              <w:t>3.6</w:t>
            </w:r>
          </w:p>
        </w:tc>
        <w:tc>
          <w:tcPr>
            <w:tcW w:w="1434" w:type="dxa"/>
            <w:vAlign w:val="center"/>
          </w:tcPr>
          <w:p>
            <w:pPr>
              <w:spacing w:line="0" w:lineRule="atLeast"/>
              <w:jc w:val="center"/>
              <w:rPr>
                <w:rFonts w:ascii="宋体" w:hAnsi="宋体" w:cs="宋体"/>
                <w:i/>
                <w:iCs/>
                <w:snapToGrid w:val="0"/>
                <w:kern w:val="21"/>
                <w:szCs w:val="21"/>
                <w:u w:val="single"/>
              </w:rPr>
            </w:pPr>
            <w:r>
              <w:rPr>
                <w:rFonts w:hint="eastAsia" w:ascii="宋体" w:hAnsi="宋体" w:cs="宋体"/>
                <w:i/>
                <w:iCs/>
                <w:snapToGrid w:val="0"/>
                <w:kern w:val="21"/>
                <w:szCs w:val="21"/>
                <w:u w:val="single"/>
              </w:rPr>
              <w:t>——</w:t>
            </w:r>
          </w:p>
        </w:tc>
        <w:tc>
          <w:tcPr>
            <w:tcW w:w="2016" w:type="dxa"/>
            <w:vAlign w:val="top"/>
          </w:tcPr>
          <w:p>
            <w:pPr>
              <w:pStyle w:val="13"/>
              <w:jc w:val="center"/>
              <w:rPr>
                <w:i/>
                <w:iCs/>
                <w:sz w:val="21"/>
                <w:szCs w:val="21"/>
                <w:u w:val="single"/>
              </w:rPr>
            </w:pPr>
            <w:r>
              <w:rPr>
                <w:rFonts w:hint="eastAsia"/>
                <w:i/>
                <w:iCs/>
                <w:sz w:val="21"/>
                <w:szCs w:val="21"/>
                <w:u w:val="single"/>
              </w:rPr>
              <w:t>7.2</w:t>
            </w:r>
          </w:p>
        </w:tc>
        <w:tc>
          <w:tcPr>
            <w:tcW w:w="1344" w:type="dxa"/>
            <w:vAlign w:val="top"/>
          </w:tcPr>
          <w:p>
            <w:pPr>
              <w:pStyle w:val="13"/>
              <w:jc w:val="center"/>
              <w:rPr>
                <w:i/>
                <w:iCs/>
                <w:sz w:val="21"/>
                <w:szCs w:val="21"/>
                <w:u w:val="single"/>
              </w:rPr>
            </w:pPr>
            <w:r>
              <w:rPr>
                <w:rFonts w:hint="eastAsia"/>
                <w:i/>
                <w:iCs/>
                <w:sz w:val="21"/>
                <w:szCs w:val="21"/>
                <w:u w:val="single"/>
              </w:rPr>
              <w:t>7.2</w:t>
            </w:r>
          </w:p>
        </w:tc>
      </w:tr>
      <w:tr>
        <w:trPr>
          <w:trHeight w:val="340" w:hRule="atLeast"/>
          <w:jc w:val="center"/>
        </w:trPr>
        <w:tc>
          <w:tcPr>
            <w:tcW w:w="1117" w:type="dxa"/>
            <w:vMerge w:val="continue"/>
            <w:vAlign w:val="center"/>
          </w:tcPr>
          <w:p>
            <w:pPr>
              <w:pStyle w:val="38"/>
              <w:adjustRightInd/>
              <w:snapToGrid/>
              <w:spacing w:beforeLines="0" w:line="0" w:lineRule="atLeast"/>
              <w:ind w:firstLine="0" w:firstLineChars="0"/>
              <w:rPr>
                <w:rFonts w:hAnsi="宋体" w:cs="宋体"/>
                <w:i/>
                <w:iCs/>
                <w:snapToGrid w:val="0"/>
                <w:kern w:val="21"/>
                <w:szCs w:val="21"/>
                <w:u w:val="single"/>
              </w:rPr>
            </w:pPr>
          </w:p>
        </w:tc>
        <w:tc>
          <w:tcPr>
            <w:tcW w:w="1916" w:type="dxa"/>
            <w:vAlign w:val="center"/>
          </w:tcPr>
          <w:p>
            <w:pPr>
              <w:widowControl/>
              <w:jc w:val="center"/>
              <w:rPr>
                <w:rFonts w:ascii="宋体" w:hAnsi="宋体" w:cs="宋体"/>
                <w:i/>
                <w:iCs/>
                <w:szCs w:val="21"/>
                <w:u w:val="single"/>
              </w:rPr>
            </w:pPr>
            <w:r>
              <w:rPr>
                <w:rFonts w:hint="eastAsia" w:ascii="宋体" w:hAnsi="宋体" w:cs="宋体"/>
                <w:i/>
                <w:iCs/>
                <w:kern w:val="0"/>
                <w:szCs w:val="21"/>
                <w:u w:val="single"/>
              </w:rPr>
              <w:t>废尾气净化装置</w:t>
            </w:r>
          </w:p>
        </w:tc>
        <w:tc>
          <w:tcPr>
            <w:tcW w:w="1505" w:type="dxa"/>
            <w:vAlign w:val="center"/>
          </w:tcPr>
          <w:p>
            <w:pPr>
              <w:spacing w:line="0" w:lineRule="atLeast"/>
              <w:jc w:val="center"/>
              <w:rPr>
                <w:rFonts w:ascii="宋体" w:hAnsi="宋体" w:cs="宋体"/>
                <w:i/>
                <w:iCs/>
                <w:snapToGrid w:val="0"/>
                <w:kern w:val="21"/>
                <w:szCs w:val="21"/>
                <w:u w:val="single"/>
              </w:rPr>
            </w:pPr>
            <w:r>
              <w:rPr>
                <w:rFonts w:hint="eastAsia" w:ascii="宋体" w:hAnsi="宋体" w:cs="宋体"/>
                <w:i/>
                <w:iCs/>
                <w:snapToGrid w:val="0"/>
                <w:kern w:val="21"/>
                <w:szCs w:val="21"/>
                <w:u w:val="single"/>
              </w:rPr>
              <w:t>——</w:t>
            </w:r>
          </w:p>
        </w:tc>
        <w:tc>
          <w:tcPr>
            <w:tcW w:w="1188" w:type="dxa"/>
            <w:vAlign w:val="center"/>
          </w:tcPr>
          <w:p>
            <w:pPr>
              <w:spacing w:line="0" w:lineRule="atLeast"/>
              <w:jc w:val="center"/>
              <w:rPr>
                <w:rFonts w:ascii="宋体" w:hAnsi="宋体" w:cs="宋体"/>
                <w:i/>
                <w:iCs/>
                <w:snapToGrid w:val="0"/>
                <w:kern w:val="21"/>
                <w:szCs w:val="21"/>
                <w:u w:val="single"/>
              </w:rPr>
            </w:pPr>
            <w:r>
              <w:rPr>
                <w:rFonts w:hint="eastAsia" w:ascii="宋体" w:hAnsi="宋体" w:cs="宋体"/>
                <w:i/>
                <w:iCs/>
                <w:snapToGrid w:val="0"/>
                <w:kern w:val="21"/>
                <w:szCs w:val="21"/>
                <w:u w:val="single"/>
              </w:rPr>
              <w:t>——</w:t>
            </w:r>
          </w:p>
        </w:tc>
        <w:tc>
          <w:tcPr>
            <w:tcW w:w="1544" w:type="dxa"/>
            <w:vAlign w:val="center"/>
          </w:tcPr>
          <w:p>
            <w:pPr>
              <w:spacing w:line="0" w:lineRule="atLeast"/>
              <w:jc w:val="center"/>
              <w:rPr>
                <w:rFonts w:ascii="宋体" w:hAnsi="宋体" w:cs="宋体"/>
                <w:i/>
                <w:iCs/>
                <w:snapToGrid w:val="0"/>
                <w:kern w:val="21"/>
                <w:szCs w:val="21"/>
                <w:u w:val="single"/>
              </w:rPr>
            </w:pPr>
            <w:r>
              <w:rPr>
                <w:rFonts w:hint="eastAsia" w:ascii="宋体" w:hAnsi="宋体" w:cs="宋体"/>
                <w:i/>
                <w:iCs/>
                <w:snapToGrid w:val="0"/>
                <w:kern w:val="21"/>
                <w:szCs w:val="21"/>
                <w:u w:val="single"/>
              </w:rPr>
              <w:t>——</w:t>
            </w:r>
          </w:p>
        </w:tc>
        <w:tc>
          <w:tcPr>
            <w:tcW w:w="1752" w:type="dxa"/>
            <w:vAlign w:val="top"/>
          </w:tcPr>
          <w:p>
            <w:pPr>
              <w:pStyle w:val="13"/>
              <w:jc w:val="center"/>
              <w:rPr>
                <w:i/>
                <w:iCs/>
                <w:sz w:val="21"/>
                <w:szCs w:val="21"/>
                <w:u w:val="single"/>
              </w:rPr>
            </w:pPr>
            <w:r>
              <w:rPr>
                <w:rFonts w:hint="eastAsia"/>
                <w:i/>
                <w:iCs/>
                <w:sz w:val="21"/>
                <w:szCs w:val="21"/>
                <w:u w:val="single"/>
              </w:rPr>
              <w:t>0.15</w:t>
            </w:r>
          </w:p>
        </w:tc>
        <w:tc>
          <w:tcPr>
            <w:tcW w:w="1434" w:type="dxa"/>
            <w:vAlign w:val="center"/>
          </w:tcPr>
          <w:p>
            <w:pPr>
              <w:spacing w:line="0" w:lineRule="atLeast"/>
              <w:jc w:val="center"/>
              <w:rPr>
                <w:rFonts w:ascii="宋体" w:hAnsi="宋体" w:cs="宋体"/>
                <w:i/>
                <w:iCs/>
                <w:snapToGrid w:val="0"/>
                <w:kern w:val="21"/>
                <w:szCs w:val="21"/>
                <w:u w:val="single"/>
              </w:rPr>
            </w:pPr>
            <w:r>
              <w:rPr>
                <w:rFonts w:hint="eastAsia" w:ascii="宋体" w:hAnsi="宋体" w:cs="宋体"/>
                <w:i/>
                <w:iCs/>
                <w:snapToGrid w:val="0"/>
                <w:kern w:val="21"/>
                <w:szCs w:val="21"/>
                <w:u w:val="single"/>
              </w:rPr>
              <w:t>——</w:t>
            </w:r>
          </w:p>
        </w:tc>
        <w:tc>
          <w:tcPr>
            <w:tcW w:w="2016" w:type="dxa"/>
            <w:vAlign w:val="top"/>
          </w:tcPr>
          <w:p>
            <w:pPr>
              <w:pStyle w:val="13"/>
              <w:jc w:val="center"/>
              <w:rPr>
                <w:i/>
                <w:iCs/>
                <w:sz w:val="21"/>
                <w:szCs w:val="21"/>
                <w:u w:val="single"/>
              </w:rPr>
            </w:pPr>
            <w:r>
              <w:rPr>
                <w:rFonts w:hint="eastAsia"/>
                <w:i/>
                <w:iCs/>
                <w:sz w:val="21"/>
                <w:szCs w:val="21"/>
                <w:u w:val="single"/>
              </w:rPr>
              <w:t>0.3</w:t>
            </w:r>
          </w:p>
        </w:tc>
        <w:tc>
          <w:tcPr>
            <w:tcW w:w="1344" w:type="dxa"/>
            <w:vAlign w:val="top"/>
          </w:tcPr>
          <w:p>
            <w:pPr>
              <w:pStyle w:val="13"/>
              <w:jc w:val="center"/>
              <w:rPr>
                <w:i/>
                <w:iCs/>
                <w:sz w:val="21"/>
                <w:szCs w:val="21"/>
                <w:u w:val="single"/>
              </w:rPr>
            </w:pPr>
            <w:r>
              <w:rPr>
                <w:rFonts w:hint="eastAsia"/>
                <w:i/>
                <w:iCs/>
                <w:sz w:val="21"/>
                <w:szCs w:val="21"/>
                <w:u w:val="single"/>
              </w:rPr>
              <w:t>0.3</w:t>
            </w:r>
          </w:p>
        </w:tc>
      </w:tr>
      <w:tr>
        <w:trPr>
          <w:trHeight w:val="340" w:hRule="atLeast"/>
          <w:jc w:val="center"/>
        </w:trPr>
        <w:tc>
          <w:tcPr>
            <w:tcW w:w="1117" w:type="dxa"/>
            <w:vMerge w:val="continue"/>
            <w:vAlign w:val="center"/>
          </w:tcPr>
          <w:p>
            <w:pPr>
              <w:pStyle w:val="38"/>
              <w:adjustRightInd/>
              <w:snapToGrid/>
              <w:spacing w:beforeLines="0" w:line="0" w:lineRule="atLeast"/>
              <w:ind w:firstLine="0" w:firstLineChars="0"/>
              <w:rPr>
                <w:rFonts w:hAnsi="宋体" w:cs="宋体"/>
                <w:i/>
                <w:iCs/>
                <w:snapToGrid w:val="0"/>
                <w:kern w:val="21"/>
                <w:szCs w:val="21"/>
                <w:u w:val="single"/>
              </w:rPr>
            </w:pPr>
          </w:p>
        </w:tc>
        <w:tc>
          <w:tcPr>
            <w:tcW w:w="1916" w:type="dxa"/>
            <w:vAlign w:val="center"/>
          </w:tcPr>
          <w:p>
            <w:pPr>
              <w:widowControl/>
              <w:jc w:val="center"/>
              <w:rPr>
                <w:rFonts w:ascii="宋体" w:hAnsi="宋体" w:cs="宋体"/>
                <w:i/>
                <w:iCs/>
                <w:szCs w:val="21"/>
                <w:u w:val="single"/>
              </w:rPr>
            </w:pPr>
            <w:r>
              <w:rPr>
                <w:rFonts w:hint="eastAsia" w:ascii="宋体" w:hAnsi="宋体" w:cs="宋体"/>
                <w:i/>
                <w:iCs/>
                <w:kern w:val="0"/>
                <w:szCs w:val="21"/>
                <w:u w:val="single"/>
              </w:rPr>
              <w:t>废机油滤清器</w:t>
            </w:r>
          </w:p>
        </w:tc>
        <w:tc>
          <w:tcPr>
            <w:tcW w:w="1505" w:type="dxa"/>
            <w:vAlign w:val="center"/>
          </w:tcPr>
          <w:p>
            <w:pPr>
              <w:spacing w:line="0" w:lineRule="atLeast"/>
              <w:jc w:val="center"/>
              <w:rPr>
                <w:rFonts w:ascii="宋体" w:hAnsi="宋体" w:cs="宋体"/>
                <w:i/>
                <w:iCs/>
                <w:snapToGrid w:val="0"/>
                <w:kern w:val="21"/>
                <w:szCs w:val="21"/>
                <w:u w:val="single"/>
              </w:rPr>
            </w:pPr>
            <w:r>
              <w:rPr>
                <w:rFonts w:hint="eastAsia" w:ascii="宋体" w:hAnsi="宋体" w:cs="宋体"/>
                <w:i/>
                <w:iCs/>
                <w:snapToGrid w:val="0"/>
                <w:kern w:val="21"/>
                <w:szCs w:val="21"/>
                <w:u w:val="single"/>
              </w:rPr>
              <w:t>——</w:t>
            </w:r>
          </w:p>
        </w:tc>
        <w:tc>
          <w:tcPr>
            <w:tcW w:w="1188" w:type="dxa"/>
            <w:vAlign w:val="center"/>
          </w:tcPr>
          <w:p>
            <w:pPr>
              <w:spacing w:line="0" w:lineRule="atLeast"/>
              <w:jc w:val="center"/>
              <w:rPr>
                <w:rFonts w:ascii="宋体" w:hAnsi="宋体" w:cs="宋体"/>
                <w:i/>
                <w:iCs/>
                <w:snapToGrid w:val="0"/>
                <w:kern w:val="21"/>
                <w:szCs w:val="21"/>
                <w:u w:val="single"/>
              </w:rPr>
            </w:pPr>
            <w:r>
              <w:rPr>
                <w:rFonts w:hint="eastAsia" w:ascii="宋体" w:hAnsi="宋体" w:cs="宋体"/>
                <w:i/>
                <w:iCs/>
                <w:snapToGrid w:val="0"/>
                <w:kern w:val="21"/>
                <w:szCs w:val="21"/>
                <w:u w:val="single"/>
              </w:rPr>
              <w:t>——</w:t>
            </w:r>
          </w:p>
        </w:tc>
        <w:tc>
          <w:tcPr>
            <w:tcW w:w="1544" w:type="dxa"/>
            <w:vAlign w:val="center"/>
          </w:tcPr>
          <w:p>
            <w:pPr>
              <w:spacing w:line="0" w:lineRule="atLeast"/>
              <w:jc w:val="center"/>
              <w:rPr>
                <w:rFonts w:ascii="宋体" w:hAnsi="宋体" w:cs="宋体"/>
                <w:i/>
                <w:iCs/>
                <w:snapToGrid w:val="0"/>
                <w:kern w:val="21"/>
                <w:szCs w:val="21"/>
                <w:u w:val="single"/>
              </w:rPr>
            </w:pPr>
            <w:r>
              <w:rPr>
                <w:rFonts w:hint="eastAsia" w:ascii="宋体" w:hAnsi="宋体" w:cs="宋体"/>
                <w:i/>
                <w:iCs/>
                <w:snapToGrid w:val="0"/>
                <w:kern w:val="21"/>
                <w:szCs w:val="21"/>
                <w:u w:val="single"/>
              </w:rPr>
              <w:t>——</w:t>
            </w:r>
          </w:p>
        </w:tc>
        <w:tc>
          <w:tcPr>
            <w:tcW w:w="1752" w:type="dxa"/>
            <w:vAlign w:val="top"/>
          </w:tcPr>
          <w:p>
            <w:pPr>
              <w:pStyle w:val="13"/>
              <w:jc w:val="center"/>
              <w:rPr>
                <w:i/>
                <w:iCs/>
                <w:sz w:val="21"/>
                <w:szCs w:val="21"/>
                <w:u w:val="single"/>
              </w:rPr>
            </w:pPr>
            <w:r>
              <w:rPr>
                <w:rFonts w:hint="eastAsia"/>
                <w:i/>
                <w:iCs/>
                <w:sz w:val="21"/>
                <w:szCs w:val="21"/>
                <w:u w:val="single"/>
              </w:rPr>
              <w:t>0.15</w:t>
            </w:r>
          </w:p>
        </w:tc>
        <w:tc>
          <w:tcPr>
            <w:tcW w:w="1434" w:type="dxa"/>
            <w:vAlign w:val="center"/>
          </w:tcPr>
          <w:p>
            <w:pPr>
              <w:spacing w:line="0" w:lineRule="atLeast"/>
              <w:jc w:val="center"/>
              <w:rPr>
                <w:rFonts w:ascii="宋体" w:hAnsi="宋体" w:cs="宋体"/>
                <w:i/>
                <w:iCs/>
                <w:snapToGrid w:val="0"/>
                <w:kern w:val="21"/>
                <w:szCs w:val="21"/>
                <w:u w:val="single"/>
              </w:rPr>
            </w:pPr>
            <w:r>
              <w:rPr>
                <w:rFonts w:hint="eastAsia" w:ascii="宋体" w:hAnsi="宋体" w:cs="宋体"/>
                <w:i/>
                <w:iCs/>
                <w:snapToGrid w:val="0"/>
                <w:kern w:val="21"/>
                <w:szCs w:val="21"/>
                <w:u w:val="single"/>
              </w:rPr>
              <w:t>——</w:t>
            </w:r>
          </w:p>
        </w:tc>
        <w:tc>
          <w:tcPr>
            <w:tcW w:w="2016" w:type="dxa"/>
            <w:vAlign w:val="top"/>
          </w:tcPr>
          <w:p>
            <w:pPr>
              <w:pStyle w:val="13"/>
              <w:jc w:val="center"/>
              <w:rPr>
                <w:i/>
                <w:iCs/>
                <w:sz w:val="21"/>
                <w:szCs w:val="21"/>
                <w:u w:val="single"/>
              </w:rPr>
            </w:pPr>
            <w:r>
              <w:rPr>
                <w:rFonts w:hint="eastAsia"/>
                <w:i/>
                <w:iCs/>
                <w:sz w:val="21"/>
                <w:szCs w:val="21"/>
                <w:u w:val="single"/>
              </w:rPr>
              <w:t>0.3</w:t>
            </w:r>
          </w:p>
        </w:tc>
        <w:tc>
          <w:tcPr>
            <w:tcW w:w="1344" w:type="dxa"/>
            <w:vAlign w:val="top"/>
          </w:tcPr>
          <w:p>
            <w:pPr>
              <w:pStyle w:val="13"/>
              <w:jc w:val="center"/>
              <w:rPr>
                <w:i/>
                <w:iCs/>
                <w:sz w:val="21"/>
                <w:szCs w:val="21"/>
                <w:u w:val="single"/>
              </w:rPr>
            </w:pPr>
            <w:r>
              <w:rPr>
                <w:rFonts w:hint="eastAsia"/>
                <w:i/>
                <w:iCs/>
                <w:sz w:val="21"/>
                <w:szCs w:val="21"/>
                <w:u w:val="single"/>
              </w:rPr>
              <w:t>0.3</w:t>
            </w:r>
          </w:p>
        </w:tc>
      </w:tr>
      <w:tr>
        <w:trPr>
          <w:trHeight w:val="340" w:hRule="atLeast"/>
          <w:jc w:val="center"/>
        </w:trPr>
        <w:tc>
          <w:tcPr>
            <w:tcW w:w="1117" w:type="dxa"/>
            <w:vMerge w:val="continue"/>
            <w:vAlign w:val="center"/>
          </w:tcPr>
          <w:p>
            <w:pPr>
              <w:pStyle w:val="38"/>
              <w:adjustRightInd/>
              <w:snapToGrid/>
              <w:spacing w:beforeLines="0" w:line="0" w:lineRule="atLeast"/>
              <w:ind w:firstLine="0" w:firstLineChars="0"/>
              <w:rPr>
                <w:rFonts w:hAnsi="宋体" w:cs="宋体"/>
                <w:i/>
                <w:iCs/>
                <w:snapToGrid w:val="0"/>
                <w:kern w:val="21"/>
                <w:szCs w:val="21"/>
                <w:u w:val="single"/>
              </w:rPr>
            </w:pPr>
          </w:p>
        </w:tc>
        <w:tc>
          <w:tcPr>
            <w:tcW w:w="1916" w:type="dxa"/>
            <w:vAlign w:val="center"/>
          </w:tcPr>
          <w:p>
            <w:pPr>
              <w:widowControl/>
              <w:jc w:val="center"/>
              <w:rPr>
                <w:rFonts w:ascii="宋体" w:hAnsi="宋体" w:cs="宋体"/>
                <w:i/>
                <w:iCs/>
                <w:szCs w:val="21"/>
                <w:u w:val="single"/>
              </w:rPr>
            </w:pPr>
            <w:r>
              <w:rPr>
                <w:rFonts w:hint="eastAsia" w:ascii="宋体" w:hAnsi="宋体" w:cs="宋体"/>
                <w:i/>
                <w:iCs/>
                <w:kern w:val="0"/>
                <w:szCs w:val="21"/>
                <w:u w:val="single"/>
              </w:rPr>
              <w:t>废含汞开关、电路板</w:t>
            </w:r>
          </w:p>
        </w:tc>
        <w:tc>
          <w:tcPr>
            <w:tcW w:w="1505" w:type="dxa"/>
            <w:vAlign w:val="center"/>
          </w:tcPr>
          <w:p>
            <w:pPr>
              <w:spacing w:line="0" w:lineRule="atLeast"/>
              <w:jc w:val="center"/>
              <w:rPr>
                <w:rFonts w:ascii="宋体" w:hAnsi="宋体" w:cs="宋体"/>
                <w:i/>
                <w:iCs/>
                <w:snapToGrid w:val="0"/>
                <w:kern w:val="21"/>
                <w:szCs w:val="21"/>
                <w:u w:val="single"/>
              </w:rPr>
            </w:pPr>
            <w:r>
              <w:rPr>
                <w:rFonts w:hint="eastAsia" w:ascii="宋体" w:hAnsi="宋体" w:cs="宋体"/>
                <w:i/>
                <w:iCs/>
                <w:snapToGrid w:val="0"/>
                <w:kern w:val="21"/>
                <w:szCs w:val="21"/>
                <w:u w:val="single"/>
              </w:rPr>
              <w:t>——</w:t>
            </w:r>
          </w:p>
        </w:tc>
        <w:tc>
          <w:tcPr>
            <w:tcW w:w="1188" w:type="dxa"/>
            <w:vAlign w:val="center"/>
          </w:tcPr>
          <w:p>
            <w:pPr>
              <w:spacing w:line="0" w:lineRule="atLeast"/>
              <w:jc w:val="center"/>
              <w:rPr>
                <w:rFonts w:ascii="宋体" w:hAnsi="宋体" w:cs="宋体"/>
                <w:i/>
                <w:iCs/>
                <w:snapToGrid w:val="0"/>
                <w:kern w:val="21"/>
                <w:szCs w:val="21"/>
                <w:u w:val="single"/>
              </w:rPr>
            </w:pPr>
            <w:r>
              <w:rPr>
                <w:rFonts w:hint="eastAsia" w:ascii="宋体" w:hAnsi="宋体" w:cs="宋体"/>
                <w:i/>
                <w:iCs/>
                <w:snapToGrid w:val="0"/>
                <w:kern w:val="21"/>
                <w:szCs w:val="21"/>
                <w:u w:val="single"/>
              </w:rPr>
              <w:t>——</w:t>
            </w:r>
          </w:p>
        </w:tc>
        <w:tc>
          <w:tcPr>
            <w:tcW w:w="1544" w:type="dxa"/>
            <w:vAlign w:val="center"/>
          </w:tcPr>
          <w:p>
            <w:pPr>
              <w:spacing w:line="0" w:lineRule="atLeast"/>
              <w:jc w:val="center"/>
              <w:rPr>
                <w:rFonts w:ascii="宋体" w:hAnsi="宋体" w:cs="宋体"/>
                <w:i/>
                <w:iCs/>
                <w:snapToGrid w:val="0"/>
                <w:kern w:val="21"/>
                <w:szCs w:val="21"/>
                <w:u w:val="single"/>
              </w:rPr>
            </w:pPr>
            <w:r>
              <w:rPr>
                <w:rFonts w:hint="eastAsia" w:ascii="宋体" w:hAnsi="宋体" w:cs="宋体"/>
                <w:i/>
                <w:iCs/>
                <w:snapToGrid w:val="0"/>
                <w:kern w:val="21"/>
                <w:szCs w:val="21"/>
                <w:u w:val="single"/>
              </w:rPr>
              <w:t>——</w:t>
            </w:r>
          </w:p>
        </w:tc>
        <w:tc>
          <w:tcPr>
            <w:tcW w:w="1752" w:type="dxa"/>
            <w:vAlign w:val="top"/>
          </w:tcPr>
          <w:p>
            <w:pPr>
              <w:pStyle w:val="13"/>
              <w:jc w:val="center"/>
              <w:rPr>
                <w:i/>
                <w:iCs/>
                <w:sz w:val="21"/>
                <w:szCs w:val="21"/>
                <w:u w:val="single"/>
              </w:rPr>
            </w:pPr>
            <w:r>
              <w:rPr>
                <w:rFonts w:hint="eastAsia"/>
                <w:i/>
                <w:iCs/>
                <w:sz w:val="21"/>
                <w:szCs w:val="21"/>
                <w:u w:val="single"/>
              </w:rPr>
              <w:t>0.15</w:t>
            </w:r>
          </w:p>
        </w:tc>
        <w:tc>
          <w:tcPr>
            <w:tcW w:w="1434" w:type="dxa"/>
            <w:vAlign w:val="center"/>
          </w:tcPr>
          <w:p>
            <w:pPr>
              <w:spacing w:line="0" w:lineRule="atLeast"/>
              <w:jc w:val="center"/>
              <w:rPr>
                <w:rFonts w:ascii="宋体" w:hAnsi="宋体" w:cs="宋体"/>
                <w:i/>
                <w:iCs/>
                <w:snapToGrid w:val="0"/>
                <w:kern w:val="21"/>
                <w:szCs w:val="21"/>
                <w:u w:val="single"/>
              </w:rPr>
            </w:pPr>
            <w:r>
              <w:rPr>
                <w:rFonts w:hint="eastAsia" w:ascii="宋体" w:hAnsi="宋体" w:cs="宋体"/>
                <w:i/>
                <w:iCs/>
                <w:snapToGrid w:val="0"/>
                <w:kern w:val="21"/>
                <w:szCs w:val="21"/>
                <w:u w:val="single"/>
              </w:rPr>
              <w:t>——</w:t>
            </w:r>
          </w:p>
        </w:tc>
        <w:tc>
          <w:tcPr>
            <w:tcW w:w="2016" w:type="dxa"/>
            <w:vAlign w:val="top"/>
          </w:tcPr>
          <w:p>
            <w:pPr>
              <w:pStyle w:val="13"/>
              <w:jc w:val="center"/>
              <w:rPr>
                <w:i/>
                <w:iCs/>
                <w:sz w:val="21"/>
                <w:szCs w:val="21"/>
                <w:u w:val="single"/>
              </w:rPr>
            </w:pPr>
            <w:r>
              <w:rPr>
                <w:rFonts w:hint="eastAsia"/>
                <w:i/>
                <w:iCs/>
                <w:sz w:val="21"/>
                <w:szCs w:val="21"/>
                <w:u w:val="single"/>
              </w:rPr>
              <w:t>0.3</w:t>
            </w:r>
          </w:p>
        </w:tc>
        <w:tc>
          <w:tcPr>
            <w:tcW w:w="1344" w:type="dxa"/>
            <w:vAlign w:val="top"/>
          </w:tcPr>
          <w:p>
            <w:pPr>
              <w:pStyle w:val="13"/>
              <w:jc w:val="center"/>
              <w:rPr>
                <w:i/>
                <w:iCs/>
                <w:sz w:val="21"/>
                <w:szCs w:val="21"/>
                <w:u w:val="single"/>
              </w:rPr>
            </w:pPr>
            <w:r>
              <w:rPr>
                <w:rFonts w:hint="eastAsia"/>
                <w:i/>
                <w:iCs/>
                <w:sz w:val="21"/>
                <w:szCs w:val="21"/>
                <w:u w:val="single"/>
              </w:rPr>
              <w:t>0.3</w:t>
            </w:r>
          </w:p>
        </w:tc>
      </w:tr>
      <w:tr>
        <w:trPr>
          <w:trHeight w:val="340" w:hRule="atLeast"/>
          <w:jc w:val="center"/>
        </w:trPr>
        <w:tc>
          <w:tcPr>
            <w:tcW w:w="1117" w:type="dxa"/>
            <w:vMerge w:val="continue"/>
            <w:vAlign w:val="center"/>
          </w:tcPr>
          <w:p>
            <w:pPr>
              <w:pStyle w:val="38"/>
              <w:adjustRightInd/>
              <w:snapToGrid/>
              <w:spacing w:beforeLines="0" w:line="0" w:lineRule="atLeast"/>
              <w:ind w:firstLine="0" w:firstLineChars="0"/>
              <w:rPr>
                <w:rFonts w:hAnsi="宋体" w:cs="宋体"/>
                <w:i/>
                <w:iCs/>
                <w:snapToGrid w:val="0"/>
                <w:kern w:val="21"/>
                <w:szCs w:val="21"/>
                <w:u w:val="single"/>
              </w:rPr>
            </w:pPr>
          </w:p>
        </w:tc>
        <w:tc>
          <w:tcPr>
            <w:tcW w:w="1916" w:type="dxa"/>
            <w:vAlign w:val="center"/>
          </w:tcPr>
          <w:p>
            <w:pPr>
              <w:widowControl/>
              <w:jc w:val="center"/>
              <w:rPr>
                <w:rFonts w:ascii="宋体" w:hAnsi="宋体" w:cs="宋体"/>
                <w:i/>
                <w:iCs/>
                <w:szCs w:val="21"/>
                <w:u w:val="single"/>
              </w:rPr>
            </w:pPr>
            <w:r>
              <w:rPr>
                <w:rFonts w:hint="eastAsia" w:ascii="宋体" w:hAnsi="宋体" w:cs="宋体"/>
                <w:i/>
                <w:iCs/>
                <w:kern w:val="0"/>
                <w:szCs w:val="21"/>
                <w:u w:val="single"/>
              </w:rPr>
              <w:t>电容器</w:t>
            </w:r>
          </w:p>
        </w:tc>
        <w:tc>
          <w:tcPr>
            <w:tcW w:w="1505" w:type="dxa"/>
            <w:vAlign w:val="center"/>
          </w:tcPr>
          <w:p>
            <w:pPr>
              <w:spacing w:line="0" w:lineRule="atLeast"/>
              <w:jc w:val="center"/>
              <w:rPr>
                <w:rFonts w:ascii="宋体" w:hAnsi="宋体" w:cs="宋体"/>
                <w:i/>
                <w:iCs/>
                <w:snapToGrid w:val="0"/>
                <w:kern w:val="21"/>
                <w:szCs w:val="21"/>
                <w:u w:val="single"/>
              </w:rPr>
            </w:pPr>
            <w:r>
              <w:rPr>
                <w:rFonts w:hint="eastAsia" w:ascii="宋体" w:hAnsi="宋体" w:cs="宋体"/>
                <w:i/>
                <w:iCs/>
                <w:snapToGrid w:val="0"/>
                <w:kern w:val="21"/>
                <w:szCs w:val="21"/>
                <w:u w:val="single"/>
              </w:rPr>
              <w:t>——</w:t>
            </w:r>
          </w:p>
        </w:tc>
        <w:tc>
          <w:tcPr>
            <w:tcW w:w="1188" w:type="dxa"/>
            <w:vAlign w:val="center"/>
          </w:tcPr>
          <w:p>
            <w:pPr>
              <w:spacing w:line="0" w:lineRule="atLeast"/>
              <w:jc w:val="center"/>
              <w:rPr>
                <w:rFonts w:ascii="宋体" w:hAnsi="宋体" w:cs="宋体"/>
                <w:i/>
                <w:iCs/>
                <w:snapToGrid w:val="0"/>
                <w:kern w:val="21"/>
                <w:szCs w:val="21"/>
                <w:u w:val="single"/>
              </w:rPr>
            </w:pPr>
            <w:r>
              <w:rPr>
                <w:rFonts w:hint="eastAsia" w:ascii="宋体" w:hAnsi="宋体" w:cs="宋体"/>
                <w:i/>
                <w:iCs/>
                <w:snapToGrid w:val="0"/>
                <w:kern w:val="21"/>
                <w:szCs w:val="21"/>
                <w:u w:val="single"/>
              </w:rPr>
              <w:t>——</w:t>
            </w:r>
          </w:p>
        </w:tc>
        <w:tc>
          <w:tcPr>
            <w:tcW w:w="1544" w:type="dxa"/>
            <w:vAlign w:val="center"/>
          </w:tcPr>
          <w:p>
            <w:pPr>
              <w:spacing w:line="0" w:lineRule="atLeast"/>
              <w:jc w:val="center"/>
              <w:rPr>
                <w:rFonts w:ascii="宋体" w:hAnsi="宋体" w:cs="宋体"/>
                <w:i/>
                <w:iCs/>
                <w:snapToGrid w:val="0"/>
                <w:kern w:val="21"/>
                <w:szCs w:val="21"/>
                <w:u w:val="single"/>
              </w:rPr>
            </w:pPr>
            <w:r>
              <w:rPr>
                <w:rFonts w:hint="eastAsia" w:ascii="宋体" w:hAnsi="宋体" w:cs="宋体"/>
                <w:i/>
                <w:iCs/>
                <w:snapToGrid w:val="0"/>
                <w:kern w:val="21"/>
                <w:szCs w:val="21"/>
                <w:u w:val="single"/>
              </w:rPr>
              <w:t>——</w:t>
            </w:r>
          </w:p>
        </w:tc>
        <w:tc>
          <w:tcPr>
            <w:tcW w:w="1752" w:type="dxa"/>
            <w:vAlign w:val="top"/>
          </w:tcPr>
          <w:p>
            <w:pPr>
              <w:pStyle w:val="13"/>
              <w:jc w:val="center"/>
              <w:rPr>
                <w:i/>
                <w:iCs/>
                <w:sz w:val="21"/>
                <w:szCs w:val="21"/>
                <w:u w:val="single"/>
              </w:rPr>
            </w:pPr>
            <w:r>
              <w:rPr>
                <w:rFonts w:hint="eastAsia"/>
                <w:i/>
                <w:iCs/>
                <w:sz w:val="21"/>
                <w:szCs w:val="21"/>
                <w:u w:val="single"/>
              </w:rPr>
              <w:t>0.15</w:t>
            </w:r>
          </w:p>
        </w:tc>
        <w:tc>
          <w:tcPr>
            <w:tcW w:w="1434" w:type="dxa"/>
            <w:vAlign w:val="center"/>
          </w:tcPr>
          <w:p>
            <w:pPr>
              <w:spacing w:line="0" w:lineRule="atLeast"/>
              <w:jc w:val="center"/>
              <w:rPr>
                <w:rFonts w:ascii="宋体" w:hAnsi="宋体" w:cs="宋体"/>
                <w:i/>
                <w:iCs/>
                <w:snapToGrid w:val="0"/>
                <w:kern w:val="21"/>
                <w:szCs w:val="21"/>
                <w:u w:val="single"/>
              </w:rPr>
            </w:pPr>
            <w:r>
              <w:rPr>
                <w:rFonts w:hint="eastAsia" w:ascii="宋体" w:hAnsi="宋体" w:cs="宋体"/>
                <w:i/>
                <w:iCs/>
                <w:snapToGrid w:val="0"/>
                <w:kern w:val="21"/>
                <w:szCs w:val="21"/>
                <w:u w:val="single"/>
              </w:rPr>
              <w:t>——</w:t>
            </w:r>
          </w:p>
        </w:tc>
        <w:tc>
          <w:tcPr>
            <w:tcW w:w="2016" w:type="dxa"/>
            <w:vAlign w:val="top"/>
          </w:tcPr>
          <w:p>
            <w:pPr>
              <w:pStyle w:val="13"/>
              <w:jc w:val="center"/>
              <w:rPr>
                <w:i/>
                <w:iCs/>
                <w:sz w:val="21"/>
                <w:szCs w:val="21"/>
                <w:u w:val="single"/>
              </w:rPr>
            </w:pPr>
            <w:r>
              <w:rPr>
                <w:rFonts w:hint="eastAsia"/>
                <w:i/>
                <w:iCs/>
                <w:sz w:val="21"/>
                <w:szCs w:val="21"/>
                <w:u w:val="single"/>
              </w:rPr>
              <w:t>0.3</w:t>
            </w:r>
          </w:p>
        </w:tc>
        <w:tc>
          <w:tcPr>
            <w:tcW w:w="1344" w:type="dxa"/>
            <w:vAlign w:val="top"/>
          </w:tcPr>
          <w:p>
            <w:pPr>
              <w:pStyle w:val="13"/>
              <w:jc w:val="center"/>
              <w:rPr>
                <w:i/>
                <w:iCs/>
                <w:sz w:val="21"/>
                <w:szCs w:val="21"/>
                <w:u w:val="single"/>
              </w:rPr>
            </w:pPr>
            <w:r>
              <w:rPr>
                <w:rFonts w:hint="eastAsia"/>
                <w:i/>
                <w:iCs/>
                <w:sz w:val="21"/>
                <w:szCs w:val="21"/>
                <w:u w:val="single"/>
              </w:rPr>
              <w:t>0.3</w:t>
            </w:r>
          </w:p>
        </w:tc>
      </w:tr>
      <w:tr>
        <w:trPr>
          <w:trHeight w:val="340" w:hRule="atLeast"/>
          <w:jc w:val="center"/>
        </w:trPr>
        <w:tc>
          <w:tcPr>
            <w:tcW w:w="1117" w:type="dxa"/>
            <w:vMerge w:val="continue"/>
            <w:vAlign w:val="center"/>
          </w:tcPr>
          <w:p>
            <w:pPr>
              <w:pStyle w:val="38"/>
              <w:adjustRightInd/>
              <w:snapToGrid/>
              <w:spacing w:beforeLines="0" w:line="0" w:lineRule="atLeast"/>
              <w:ind w:firstLine="0" w:firstLineChars="0"/>
              <w:rPr>
                <w:rFonts w:hAnsi="宋体" w:cs="宋体"/>
                <w:i/>
                <w:iCs/>
                <w:snapToGrid w:val="0"/>
                <w:kern w:val="21"/>
                <w:szCs w:val="21"/>
                <w:u w:val="single"/>
              </w:rPr>
            </w:pPr>
          </w:p>
        </w:tc>
        <w:tc>
          <w:tcPr>
            <w:tcW w:w="1916" w:type="dxa"/>
            <w:vAlign w:val="center"/>
          </w:tcPr>
          <w:p>
            <w:pPr>
              <w:widowControl/>
              <w:jc w:val="center"/>
              <w:rPr>
                <w:rFonts w:ascii="宋体" w:hAnsi="宋体" w:cs="宋体"/>
                <w:i/>
                <w:iCs/>
                <w:kern w:val="0"/>
                <w:szCs w:val="21"/>
                <w:u w:val="single"/>
              </w:rPr>
            </w:pPr>
            <w:r>
              <w:rPr>
                <w:rFonts w:hint="eastAsia" w:ascii="宋体" w:hAnsi="宋体" w:cs="宋体"/>
                <w:i/>
                <w:iCs/>
                <w:kern w:val="0"/>
                <w:szCs w:val="21"/>
                <w:u w:val="single"/>
              </w:rPr>
              <w:t>油泥</w:t>
            </w:r>
          </w:p>
        </w:tc>
        <w:tc>
          <w:tcPr>
            <w:tcW w:w="1505" w:type="dxa"/>
            <w:vAlign w:val="center"/>
          </w:tcPr>
          <w:p>
            <w:pPr>
              <w:spacing w:line="0" w:lineRule="atLeast"/>
              <w:jc w:val="center"/>
              <w:rPr>
                <w:rFonts w:ascii="宋体" w:hAnsi="宋体" w:cs="宋体"/>
                <w:i/>
                <w:iCs/>
                <w:snapToGrid w:val="0"/>
                <w:kern w:val="21"/>
                <w:szCs w:val="21"/>
                <w:u w:val="single"/>
              </w:rPr>
            </w:pPr>
            <w:r>
              <w:rPr>
                <w:rFonts w:hint="eastAsia" w:ascii="宋体" w:hAnsi="宋体" w:cs="宋体"/>
                <w:i/>
                <w:iCs/>
                <w:snapToGrid w:val="0"/>
                <w:kern w:val="21"/>
                <w:szCs w:val="21"/>
                <w:u w:val="single"/>
              </w:rPr>
              <w:t>——</w:t>
            </w:r>
          </w:p>
        </w:tc>
        <w:tc>
          <w:tcPr>
            <w:tcW w:w="1188" w:type="dxa"/>
            <w:vAlign w:val="center"/>
          </w:tcPr>
          <w:p>
            <w:pPr>
              <w:spacing w:line="0" w:lineRule="atLeast"/>
              <w:jc w:val="center"/>
              <w:rPr>
                <w:rFonts w:ascii="宋体" w:hAnsi="宋体" w:cs="宋体"/>
                <w:i/>
                <w:iCs/>
                <w:snapToGrid w:val="0"/>
                <w:kern w:val="21"/>
                <w:szCs w:val="21"/>
                <w:u w:val="single"/>
              </w:rPr>
            </w:pPr>
            <w:r>
              <w:rPr>
                <w:rFonts w:hint="eastAsia" w:ascii="宋体" w:hAnsi="宋体" w:cs="宋体"/>
                <w:i/>
                <w:iCs/>
                <w:snapToGrid w:val="0"/>
                <w:kern w:val="21"/>
                <w:szCs w:val="21"/>
                <w:u w:val="single"/>
              </w:rPr>
              <w:t>——</w:t>
            </w:r>
          </w:p>
        </w:tc>
        <w:tc>
          <w:tcPr>
            <w:tcW w:w="1544" w:type="dxa"/>
            <w:vAlign w:val="center"/>
          </w:tcPr>
          <w:p>
            <w:pPr>
              <w:spacing w:line="0" w:lineRule="atLeast"/>
              <w:jc w:val="center"/>
              <w:rPr>
                <w:rFonts w:ascii="宋体" w:hAnsi="宋体" w:cs="宋体"/>
                <w:i/>
                <w:iCs/>
                <w:snapToGrid w:val="0"/>
                <w:kern w:val="21"/>
                <w:szCs w:val="21"/>
                <w:u w:val="single"/>
              </w:rPr>
            </w:pPr>
            <w:r>
              <w:rPr>
                <w:rFonts w:hint="eastAsia" w:ascii="宋体" w:hAnsi="宋体" w:cs="宋体"/>
                <w:i/>
                <w:iCs/>
                <w:snapToGrid w:val="0"/>
                <w:kern w:val="21"/>
                <w:szCs w:val="21"/>
                <w:u w:val="single"/>
              </w:rPr>
              <w:t>——</w:t>
            </w:r>
          </w:p>
        </w:tc>
        <w:tc>
          <w:tcPr>
            <w:tcW w:w="1752" w:type="dxa"/>
            <w:vAlign w:val="center"/>
          </w:tcPr>
          <w:p>
            <w:pPr>
              <w:pStyle w:val="13"/>
              <w:jc w:val="center"/>
              <w:rPr>
                <w:i/>
                <w:iCs/>
                <w:sz w:val="21"/>
                <w:szCs w:val="21"/>
                <w:u w:val="single"/>
              </w:rPr>
            </w:pPr>
            <w:r>
              <w:rPr>
                <w:rFonts w:hint="eastAsia"/>
                <w:i/>
                <w:iCs/>
                <w:sz w:val="21"/>
                <w:szCs w:val="21"/>
                <w:u w:val="single"/>
              </w:rPr>
              <w:t>0.03</w:t>
            </w:r>
          </w:p>
        </w:tc>
        <w:tc>
          <w:tcPr>
            <w:tcW w:w="1434" w:type="dxa"/>
            <w:vAlign w:val="center"/>
          </w:tcPr>
          <w:p>
            <w:pPr>
              <w:spacing w:line="0" w:lineRule="atLeast"/>
              <w:jc w:val="center"/>
              <w:rPr>
                <w:rFonts w:ascii="宋体" w:hAnsi="宋体" w:cs="宋体"/>
                <w:i/>
                <w:iCs/>
                <w:snapToGrid w:val="0"/>
                <w:kern w:val="21"/>
                <w:szCs w:val="21"/>
                <w:u w:val="single"/>
              </w:rPr>
            </w:pPr>
            <w:r>
              <w:rPr>
                <w:rFonts w:hint="eastAsia" w:ascii="宋体" w:hAnsi="宋体" w:cs="宋体"/>
                <w:i/>
                <w:iCs/>
                <w:snapToGrid w:val="0"/>
                <w:kern w:val="21"/>
                <w:szCs w:val="21"/>
                <w:u w:val="single"/>
              </w:rPr>
              <w:t>——</w:t>
            </w:r>
          </w:p>
        </w:tc>
        <w:tc>
          <w:tcPr>
            <w:tcW w:w="2016" w:type="dxa"/>
            <w:vAlign w:val="center"/>
          </w:tcPr>
          <w:p>
            <w:pPr>
              <w:pStyle w:val="13"/>
              <w:jc w:val="center"/>
              <w:rPr>
                <w:i/>
                <w:iCs/>
                <w:sz w:val="21"/>
                <w:szCs w:val="21"/>
                <w:u w:val="single"/>
              </w:rPr>
            </w:pPr>
            <w:r>
              <w:rPr>
                <w:rFonts w:hint="eastAsia"/>
                <w:i/>
                <w:iCs/>
                <w:sz w:val="21"/>
                <w:szCs w:val="21"/>
                <w:u w:val="single"/>
              </w:rPr>
              <w:t>0.07</w:t>
            </w:r>
          </w:p>
        </w:tc>
        <w:tc>
          <w:tcPr>
            <w:tcW w:w="1344" w:type="dxa"/>
            <w:vAlign w:val="center"/>
          </w:tcPr>
          <w:p>
            <w:pPr>
              <w:pStyle w:val="13"/>
              <w:jc w:val="center"/>
              <w:rPr>
                <w:i/>
                <w:iCs/>
                <w:sz w:val="21"/>
                <w:szCs w:val="21"/>
                <w:u w:val="single"/>
              </w:rPr>
            </w:pPr>
            <w:r>
              <w:rPr>
                <w:rFonts w:hint="eastAsia"/>
                <w:i/>
                <w:iCs/>
                <w:sz w:val="21"/>
                <w:szCs w:val="21"/>
                <w:u w:val="single"/>
              </w:rPr>
              <w:t>0.07</w:t>
            </w:r>
          </w:p>
        </w:tc>
      </w:tr>
      <w:tr>
        <w:trPr>
          <w:trHeight w:val="340" w:hRule="atLeast"/>
          <w:jc w:val="center"/>
        </w:trPr>
        <w:tc>
          <w:tcPr>
            <w:tcW w:w="1117" w:type="dxa"/>
            <w:vMerge w:val="continue"/>
            <w:vAlign w:val="center"/>
          </w:tcPr>
          <w:p>
            <w:pPr>
              <w:pStyle w:val="38"/>
              <w:adjustRightInd/>
              <w:snapToGrid/>
              <w:spacing w:beforeLines="0" w:line="0" w:lineRule="atLeast"/>
              <w:ind w:firstLine="0" w:firstLineChars="0"/>
              <w:rPr>
                <w:rFonts w:hAnsi="宋体" w:cs="宋体"/>
                <w:i/>
                <w:iCs/>
                <w:snapToGrid w:val="0"/>
                <w:kern w:val="21"/>
                <w:szCs w:val="21"/>
                <w:u w:val="single"/>
              </w:rPr>
            </w:pPr>
          </w:p>
        </w:tc>
        <w:tc>
          <w:tcPr>
            <w:tcW w:w="1916" w:type="dxa"/>
            <w:vAlign w:val="center"/>
          </w:tcPr>
          <w:p>
            <w:pPr>
              <w:widowControl/>
              <w:jc w:val="center"/>
              <w:rPr>
                <w:rFonts w:ascii="宋体" w:hAnsi="宋体" w:cs="宋体"/>
                <w:i/>
                <w:iCs/>
                <w:kern w:val="0"/>
                <w:szCs w:val="21"/>
                <w:u w:val="single"/>
              </w:rPr>
            </w:pPr>
            <w:r>
              <w:rPr>
                <w:rFonts w:hint="eastAsia" w:ascii="宋体" w:hAnsi="宋体" w:cs="宋体"/>
                <w:i/>
                <w:iCs/>
                <w:kern w:val="0"/>
                <w:szCs w:val="21"/>
                <w:u w:val="single"/>
              </w:rPr>
              <w:t>废手套、抹布</w:t>
            </w:r>
          </w:p>
        </w:tc>
        <w:tc>
          <w:tcPr>
            <w:tcW w:w="1505" w:type="dxa"/>
            <w:vAlign w:val="center"/>
          </w:tcPr>
          <w:p>
            <w:pPr>
              <w:spacing w:line="0" w:lineRule="atLeast"/>
              <w:jc w:val="center"/>
              <w:rPr>
                <w:rFonts w:ascii="宋体" w:hAnsi="宋体" w:cs="宋体"/>
                <w:i/>
                <w:iCs/>
                <w:snapToGrid w:val="0"/>
                <w:kern w:val="21"/>
                <w:szCs w:val="21"/>
                <w:u w:val="single"/>
              </w:rPr>
            </w:pPr>
            <w:r>
              <w:rPr>
                <w:rFonts w:hint="eastAsia" w:ascii="宋体" w:hAnsi="宋体" w:cs="宋体"/>
                <w:i/>
                <w:iCs/>
                <w:snapToGrid w:val="0"/>
                <w:kern w:val="21"/>
                <w:szCs w:val="21"/>
                <w:u w:val="single"/>
              </w:rPr>
              <w:t>——</w:t>
            </w:r>
          </w:p>
        </w:tc>
        <w:tc>
          <w:tcPr>
            <w:tcW w:w="1188" w:type="dxa"/>
            <w:vAlign w:val="center"/>
          </w:tcPr>
          <w:p>
            <w:pPr>
              <w:spacing w:line="0" w:lineRule="atLeast"/>
              <w:jc w:val="center"/>
              <w:rPr>
                <w:rFonts w:ascii="宋体" w:hAnsi="宋体" w:cs="宋体"/>
                <w:i/>
                <w:iCs/>
                <w:snapToGrid w:val="0"/>
                <w:kern w:val="21"/>
                <w:szCs w:val="21"/>
                <w:u w:val="single"/>
              </w:rPr>
            </w:pPr>
            <w:r>
              <w:rPr>
                <w:rFonts w:hint="eastAsia" w:ascii="宋体" w:hAnsi="宋体" w:cs="宋体"/>
                <w:i/>
                <w:iCs/>
                <w:snapToGrid w:val="0"/>
                <w:kern w:val="21"/>
                <w:szCs w:val="21"/>
                <w:u w:val="single"/>
              </w:rPr>
              <w:t>——</w:t>
            </w:r>
          </w:p>
        </w:tc>
        <w:tc>
          <w:tcPr>
            <w:tcW w:w="1544" w:type="dxa"/>
            <w:vAlign w:val="center"/>
          </w:tcPr>
          <w:p>
            <w:pPr>
              <w:spacing w:line="0" w:lineRule="atLeast"/>
              <w:jc w:val="center"/>
              <w:rPr>
                <w:rFonts w:ascii="宋体" w:hAnsi="宋体" w:cs="宋体"/>
                <w:i/>
                <w:iCs/>
                <w:snapToGrid w:val="0"/>
                <w:kern w:val="21"/>
                <w:szCs w:val="21"/>
                <w:u w:val="single"/>
              </w:rPr>
            </w:pPr>
            <w:r>
              <w:rPr>
                <w:rFonts w:hint="eastAsia" w:ascii="宋体" w:hAnsi="宋体" w:cs="宋体"/>
                <w:i/>
                <w:iCs/>
                <w:snapToGrid w:val="0"/>
                <w:kern w:val="21"/>
                <w:szCs w:val="21"/>
                <w:u w:val="single"/>
              </w:rPr>
              <w:t>——</w:t>
            </w:r>
          </w:p>
        </w:tc>
        <w:tc>
          <w:tcPr>
            <w:tcW w:w="1752" w:type="dxa"/>
            <w:vAlign w:val="center"/>
          </w:tcPr>
          <w:p>
            <w:pPr>
              <w:pStyle w:val="13"/>
              <w:jc w:val="center"/>
              <w:rPr>
                <w:i/>
                <w:iCs/>
                <w:sz w:val="21"/>
                <w:szCs w:val="21"/>
                <w:u w:val="single"/>
              </w:rPr>
            </w:pPr>
            <w:r>
              <w:rPr>
                <w:rFonts w:hint="eastAsia"/>
                <w:i/>
                <w:iCs/>
                <w:sz w:val="21"/>
                <w:szCs w:val="21"/>
                <w:u w:val="single"/>
              </w:rPr>
              <w:t>0.5</w:t>
            </w:r>
          </w:p>
        </w:tc>
        <w:tc>
          <w:tcPr>
            <w:tcW w:w="1434" w:type="dxa"/>
            <w:vAlign w:val="center"/>
          </w:tcPr>
          <w:p>
            <w:pPr>
              <w:spacing w:line="0" w:lineRule="atLeast"/>
              <w:jc w:val="center"/>
              <w:rPr>
                <w:rFonts w:ascii="宋体" w:hAnsi="宋体" w:cs="宋体"/>
                <w:i/>
                <w:iCs/>
                <w:snapToGrid w:val="0"/>
                <w:kern w:val="21"/>
                <w:szCs w:val="21"/>
                <w:u w:val="single"/>
              </w:rPr>
            </w:pPr>
            <w:r>
              <w:rPr>
                <w:rFonts w:hint="eastAsia" w:ascii="宋体" w:hAnsi="宋体" w:cs="宋体"/>
                <w:i/>
                <w:iCs/>
                <w:snapToGrid w:val="0"/>
                <w:kern w:val="21"/>
                <w:szCs w:val="21"/>
                <w:u w:val="single"/>
              </w:rPr>
              <w:t>——</w:t>
            </w:r>
          </w:p>
        </w:tc>
        <w:tc>
          <w:tcPr>
            <w:tcW w:w="2016" w:type="dxa"/>
            <w:vAlign w:val="center"/>
          </w:tcPr>
          <w:p>
            <w:pPr>
              <w:pStyle w:val="13"/>
              <w:jc w:val="center"/>
              <w:rPr>
                <w:i/>
                <w:iCs/>
                <w:sz w:val="21"/>
                <w:szCs w:val="21"/>
                <w:u w:val="single"/>
              </w:rPr>
            </w:pPr>
            <w:r>
              <w:rPr>
                <w:rFonts w:hint="eastAsia"/>
                <w:i/>
                <w:iCs/>
                <w:sz w:val="21"/>
                <w:szCs w:val="21"/>
                <w:u w:val="single"/>
              </w:rPr>
              <w:t>0.5</w:t>
            </w:r>
          </w:p>
        </w:tc>
        <w:tc>
          <w:tcPr>
            <w:tcW w:w="1344" w:type="dxa"/>
            <w:vAlign w:val="center"/>
          </w:tcPr>
          <w:p>
            <w:pPr>
              <w:pStyle w:val="13"/>
              <w:jc w:val="center"/>
              <w:rPr>
                <w:i/>
                <w:iCs/>
                <w:sz w:val="21"/>
                <w:szCs w:val="21"/>
                <w:u w:val="single"/>
              </w:rPr>
            </w:pPr>
            <w:r>
              <w:rPr>
                <w:rFonts w:hint="eastAsia"/>
                <w:i/>
                <w:iCs/>
                <w:sz w:val="21"/>
                <w:szCs w:val="21"/>
                <w:u w:val="single"/>
              </w:rPr>
              <w:t>0.5</w:t>
            </w:r>
          </w:p>
        </w:tc>
      </w:tr>
      <w:tr>
        <w:trPr>
          <w:trHeight w:val="340" w:hRule="atLeast"/>
          <w:jc w:val="center"/>
        </w:trPr>
        <w:tc>
          <w:tcPr>
            <w:tcW w:w="1117" w:type="dxa"/>
            <w:vMerge w:val="continue"/>
            <w:vAlign w:val="center"/>
          </w:tcPr>
          <w:p>
            <w:pPr>
              <w:pStyle w:val="38"/>
              <w:adjustRightInd/>
              <w:snapToGrid/>
              <w:spacing w:beforeLines="0" w:line="0" w:lineRule="atLeast"/>
              <w:ind w:firstLine="0" w:firstLineChars="0"/>
              <w:rPr>
                <w:rFonts w:hAnsi="宋体" w:cs="宋体"/>
                <w:i/>
                <w:iCs/>
                <w:snapToGrid w:val="0"/>
                <w:kern w:val="21"/>
                <w:szCs w:val="21"/>
                <w:u w:val="single"/>
              </w:rPr>
            </w:pPr>
          </w:p>
        </w:tc>
        <w:tc>
          <w:tcPr>
            <w:tcW w:w="1916" w:type="dxa"/>
            <w:vAlign w:val="center"/>
          </w:tcPr>
          <w:p>
            <w:pPr>
              <w:pStyle w:val="13"/>
              <w:jc w:val="center"/>
              <w:rPr>
                <w:rFonts w:ascii="宋体" w:hAnsi="宋体" w:cs="宋体"/>
                <w:i/>
                <w:iCs/>
                <w:sz w:val="21"/>
                <w:szCs w:val="21"/>
                <w:u w:val="single"/>
              </w:rPr>
            </w:pPr>
            <w:r>
              <w:rPr>
                <w:rFonts w:hint="eastAsia" w:ascii="宋体" w:hAnsi="宋体" w:cs="宋体"/>
                <w:i/>
                <w:iCs/>
                <w:sz w:val="21"/>
                <w:szCs w:val="21"/>
                <w:u w:val="single"/>
              </w:rPr>
              <w:t>废活性炭</w:t>
            </w:r>
          </w:p>
        </w:tc>
        <w:tc>
          <w:tcPr>
            <w:tcW w:w="1505" w:type="dxa"/>
            <w:vAlign w:val="center"/>
          </w:tcPr>
          <w:p>
            <w:pPr>
              <w:spacing w:line="0" w:lineRule="atLeast"/>
              <w:jc w:val="center"/>
              <w:rPr>
                <w:rFonts w:ascii="宋体" w:hAnsi="宋体" w:cs="宋体"/>
                <w:i/>
                <w:iCs/>
                <w:snapToGrid w:val="0"/>
                <w:kern w:val="21"/>
                <w:szCs w:val="21"/>
                <w:u w:val="single"/>
              </w:rPr>
            </w:pPr>
            <w:r>
              <w:rPr>
                <w:rFonts w:hint="eastAsia" w:ascii="宋体" w:hAnsi="宋体" w:cs="宋体"/>
                <w:i/>
                <w:iCs/>
                <w:snapToGrid w:val="0"/>
                <w:kern w:val="21"/>
                <w:szCs w:val="21"/>
                <w:u w:val="single"/>
              </w:rPr>
              <w:t>——</w:t>
            </w:r>
          </w:p>
        </w:tc>
        <w:tc>
          <w:tcPr>
            <w:tcW w:w="1188" w:type="dxa"/>
            <w:vAlign w:val="center"/>
          </w:tcPr>
          <w:p>
            <w:pPr>
              <w:spacing w:line="0" w:lineRule="atLeast"/>
              <w:jc w:val="center"/>
              <w:rPr>
                <w:rFonts w:ascii="宋体" w:hAnsi="宋体" w:cs="宋体"/>
                <w:i/>
                <w:iCs/>
                <w:snapToGrid w:val="0"/>
                <w:kern w:val="21"/>
                <w:szCs w:val="21"/>
                <w:u w:val="single"/>
              </w:rPr>
            </w:pPr>
            <w:r>
              <w:rPr>
                <w:rFonts w:hint="eastAsia" w:ascii="宋体" w:hAnsi="宋体" w:cs="宋体"/>
                <w:i/>
                <w:iCs/>
                <w:snapToGrid w:val="0"/>
                <w:kern w:val="21"/>
                <w:szCs w:val="21"/>
                <w:u w:val="single"/>
              </w:rPr>
              <w:t>——</w:t>
            </w:r>
          </w:p>
        </w:tc>
        <w:tc>
          <w:tcPr>
            <w:tcW w:w="1544" w:type="dxa"/>
            <w:vAlign w:val="center"/>
          </w:tcPr>
          <w:p>
            <w:pPr>
              <w:spacing w:line="0" w:lineRule="atLeast"/>
              <w:jc w:val="center"/>
              <w:rPr>
                <w:rFonts w:ascii="宋体" w:hAnsi="宋体" w:cs="宋体"/>
                <w:i/>
                <w:iCs/>
                <w:snapToGrid w:val="0"/>
                <w:kern w:val="21"/>
                <w:szCs w:val="21"/>
                <w:u w:val="single"/>
              </w:rPr>
            </w:pPr>
            <w:r>
              <w:rPr>
                <w:rFonts w:hint="eastAsia" w:ascii="宋体" w:hAnsi="宋体" w:cs="宋体"/>
                <w:i/>
                <w:iCs/>
                <w:snapToGrid w:val="0"/>
                <w:kern w:val="21"/>
                <w:szCs w:val="21"/>
                <w:u w:val="single"/>
              </w:rPr>
              <w:t>——</w:t>
            </w:r>
          </w:p>
        </w:tc>
        <w:tc>
          <w:tcPr>
            <w:tcW w:w="1752" w:type="dxa"/>
            <w:vAlign w:val="center"/>
          </w:tcPr>
          <w:p>
            <w:pPr>
              <w:pStyle w:val="13"/>
              <w:jc w:val="center"/>
              <w:rPr>
                <w:i/>
                <w:iCs/>
                <w:sz w:val="21"/>
                <w:szCs w:val="21"/>
                <w:u w:val="single"/>
              </w:rPr>
            </w:pPr>
            <w:r>
              <w:rPr>
                <w:rFonts w:hint="eastAsia"/>
                <w:i/>
                <w:iCs/>
                <w:sz w:val="21"/>
                <w:szCs w:val="21"/>
                <w:u w:val="single"/>
              </w:rPr>
              <w:t>0.23</w:t>
            </w:r>
          </w:p>
        </w:tc>
        <w:tc>
          <w:tcPr>
            <w:tcW w:w="1434" w:type="dxa"/>
            <w:vAlign w:val="center"/>
          </w:tcPr>
          <w:p>
            <w:pPr>
              <w:spacing w:line="0" w:lineRule="atLeast"/>
              <w:jc w:val="center"/>
              <w:rPr>
                <w:rFonts w:ascii="宋体" w:hAnsi="宋体" w:cs="宋体"/>
                <w:i/>
                <w:iCs/>
                <w:snapToGrid w:val="0"/>
                <w:kern w:val="21"/>
                <w:szCs w:val="21"/>
                <w:u w:val="single"/>
              </w:rPr>
            </w:pPr>
            <w:r>
              <w:rPr>
                <w:rFonts w:hint="eastAsia" w:ascii="宋体" w:hAnsi="宋体" w:cs="宋体"/>
                <w:i/>
                <w:iCs/>
                <w:snapToGrid w:val="0"/>
                <w:kern w:val="21"/>
                <w:szCs w:val="21"/>
                <w:u w:val="single"/>
              </w:rPr>
              <w:t>——</w:t>
            </w:r>
          </w:p>
        </w:tc>
        <w:tc>
          <w:tcPr>
            <w:tcW w:w="2016" w:type="dxa"/>
            <w:vAlign w:val="center"/>
          </w:tcPr>
          <w:p>
            <w:pPr>
              <w:pStyle w:val="13"/>
              <w:jc w:val="center"/>
              <w:rPr>
                <w:i/>
                <w:iCs/>
                <w:sz w:val="21"/>
                <w:szCs w:val="21"/>
                <w:u w:val="single"/>
              </w:rPr>
            </w:pPr>
            <w:r>
              <w:rPr>
                <w:rFonts w:hint="eastAsia"/>
                <w:i/>
                <w:iCs/>
                <w:sz w:val="21"/>
                <w:szCs w:val="21"/>
                <w:u w:val="single"/>
              </w:rPr>
              <w:t>0.23</w:t>
            </w:r>
          </w:p>
        </w:tc>
        <w:tc>
          <w:tcPr>
            <w:tcW w:w="1344" w:type="dxa"/>
            <w:vAlign w:val="center"/>
          </w:tcPr>
          <w:p>
            <w:pPr>
              <w:pStyle w:val="13"/>
              <w:jc w:val="center"/>
              <w:rPr>
                <w:i/>
                <w:iCs/>
                <w:sz w:val="21"/>
                <w:szCs w:val="21"/>
                <w:u w:val="single"/>
              </w:rPr>
            </w:pPr>
            <w:r>
              <w:rPr>
                <w:rFonts w:hint="eastAsia"/>
                <w:i/>
                <w:iCs/>
                <w:sz w:val="21"/>
                <w:szCs w:val="21"/>
                <w:u w:val="single"/>
              </w:rPr>
              <w:t>0.23</w:t>
            </w:r>
          </w:p>
        </w:tc>
      </w:tr>
    </w:tbl>
    <w:p>
      <w:pPr>
        <w:pStyle w:val="38"/>
        <w:adjustRightInd/>
        <w:snapToGrid/>
        <w:spacing w:beforeLines="0" w:line="240" w:lineRule="auto"/>
        <w:ind w:firstLine="0" w:firstLineChars="0"/>
        <w:jc w:val="both"/>
        <w:rPr>
          <w:rFonts w:ascii="Times New Roman" w:eastAsia="黑体"/>
          <w:b/>
          <w:bCs/>
          <w:snapToGrid w:val="0"/>
          <w:spacing w:val="-6"/>
          <w:kern w:val="21"/>
          <w:szCs w:val="21"/>
        </w:rPr>
      </w:pPr>
      <w:r>
        <w:rPr>
          <w:rFonts w:ascii="Times New Roman" w:eastAsia="黑体"/>
          <w:b/>
          <w:bCs/>
          <w:snapToGrid w:val="0"/>
          <w:kern w:val="21"/>
          <w:szCs w:val="21"/>
        </w:rPr>
        <w:t>注：</w:t>
      </w:r>
      <w:r>
        <w:rPr>
          <w:rFonts w:ascii="Times New Roman" w:eastAsia="黑体"/>
          <w:b/>
          <w:bCs/>
          <w:snapToGrid w:val="0"/>
          <w:spacing w:val="-16"/>
          <w:kern w:val="21"/>
          <w:szCs w:val="21"/>
        </w:rPr>
        <w:fldChar w:fldCharType="begin"/>
      </w:r>
      <w:r>
        <w:rPr>
          <w:rFonts w:ascii="Times New Roman" w:eastAsia="黑体"/>
          <w:b/>
          <w:bCs/>
          <w:snapToGrid w:val="0"/>
          <w:spacing w:val="-16"/>
          <w:kern w:val="21"/>
          <w:szCs w:val="21"/>
        </w:rPr>
        <w:instrText xml:space="preserve"> = 6 \* GB3 \* MERGEFORMAT </w:instrText>
      </w:r>
      <w:r>
        <w:rPr>
          <w:rFonts w:ascii="Times New Roman" w:eastAsia="黑体"/>
          <w:b/>
          <w:bCs/>
          <w:snapToGrid w:val="0"/>
          <w:spacing w:val="-16"/>
          <w:kern w:val="21"/>
          <w:szCs w:val="21"/>
        </w:rPr>
        <w:fldChar w:fldCharType="separate"/>
      </w:r>
      <w:r>
        <w:rPr>
          <w:rFonts w:ascii="Times New Roman" w:eastAsia="黑体"/>
          <w:b/>
          <w:bCs/>
          <w:szCs w:val="21"/>
        </w:rPr>
        <w:t>⑥</w:t>
      </w:r>
      <w:r>
        <w:rPr>
          <w:rFonts w:ascii="Times New Roman" w:eastAsia="黑体"/>
          <w:b/>
          <w:bCs/>
          <w:snapToGrid w:val="0"/>
          <w:spacing w:val="-16"/>
          <w:kern w:val="21"/>
          <w:szCs w:val="21"/>
        </w:rPr>
        <w:fldChar w:fldCharType="end"/>
      </w:r>
      <w:r>
        <w:rPr>
          <w:rFonts w:ascii="Times New Roman" w:eastAsia="黑体"/>
          <w:b/>
          <w:bCs/>
          <w:snapToGrid w:val="0"/>
          <w:spacing w:val="-16"/>
          <w:kern w:val="21"/>
          <w:szCs w:val="21"/>
        </w:rPr>
        <w:t>=</w:t>
      </w:r>
      <w:r>
        <w:rPr>
          <w:rFonts w:ascii="Times New Roman" w:eastAsia="黑体"/>
          <w:b/>
          <w:bCs/>
          <w:snapToGrid w:val="0"/>
          <w:spacing w:val="-6"/>
          <w:kern w:val="21"/>
          <w:szCs w:val="21"/>
        </w:rPr>
        <w:fldChar w:fldCharType="begin"/>
      </w:r>
      <w:r>
        <w:rPr>
          <w:rFonts w:ascii="Times New Roman" w:eastAsia="黑体"/>
          <w:b/>
          <w:bCs/>
          <w:snapToGrid w:val="0"/>
          <w:spacing w:val="-6"/>
          <w:kern w:val="21"/>
          <w:szCs w:val="21"/>
        </w:rPr>
        <w:instrText xml:space="preserve"> = 1 \* GB3 \* MERGEFORMAT </w:instrText>
      </w:r>
      <w:r>
        <w:rPr>
          <w:rFonts w:ascii="Times New Roman" w:eastAsia="黑体"/>
          <w:b/>
          <w:bCs/>
          <w:snapToGrid w:val="0"/>
          <w:spacing w:val="-6"/>
          <w:kern w:val="21"/>
          <w:szCs w:val="21"/>
        </w:rPr>
        <w:fldChar w:fldCharType="separate"/>
      </w:r>
      <w:r>
        <w:rPr>
          <w:rFonts w:ascii="Times New Roman" w:eastAsia="黑体"/>
          <w:b/>
          <w:bCs/>
          <w:szCs w:val="21"/>
        </w:rPr>
        <w:t>①</w:t>
      </w:r>
      <w:r>
        <w:rPr>
          <w:rFonts w:ascii="Times New Roman" w:eastAsia="黑体"/>
          <w:b/>
          <w:bCs/>
          <w:snapToGrid w:val="0"/>
          <w:spacing w:val="-6"/>
          <w:kern w:val="21"/>
          <w:szCs w:val="21"/>
        </w:rPr>
        <w:fldChar w:fldCharType="end"/>
      </w:r>
      <w:r>
        <w:rPr>
          <w:rFonts w:ascii="Times New Roman" w:eastAsia="黑体"/>
          <w:b/>
          <w:bCs/>
          <w:snapToGrid w:val="0"/>
          <w:spacing w:val="-6"/>
          <w:kern w:val="21"/>
          <w:szCs w:val="21"/>
        </w:rPr>
        <w:t>+</w:t>
      </w:r>
      <w:r>
        <w:rPr>
          <w:rFonts w:ascii="Times New Roman" w:eastAsia="黑体"/>
          <w:b/>
          <w:bCs/>
          <w:snapToGrid w:val="0"/>
          <w:spacing w:val="-6"/>
          <w:kern w:val="21"/>
          <w:szCs w:val="21"/>
        </w:rPr>
        <w:fldChar w:fldCharType="begin"/>
      </w:r>
      <w:r>
        <w:rPr>
          <w:rFonts w:ascii="Times New Roman" w:eastAsia="黑体"/>
          <w:b/>
          <w:bCs/>
          <w:snapToGrid w:val="0"/>
          <w:spacing w:val="-6"/>
          <w:kern w:val="21"/>
          <w:szCs w:val="21"/>
        </w:rPr>
        <w:instrText xml:space="preserve"> = 3 \* GB3 \* MERGEFORMAT </w:instrText>
      </w:r>
      <w:r>
        <w:rPr>
          <w:rFonts w:ascii="Times New Roman" w:eastAsia="黑体"/>
          <w:b/>
          <w:bCs/>
          <w:snapToGrid w:val="0"/>
          <w:spacing w:val="-6"/>
          <w:kern w:val="21"/>
          <w:szCs w:val="21"/>
        </w:rPr>
        <w:fldChar w:fldCharType="separate"/>
      </w:r>
      <w:r>
        <w:rPr>
          <w:rFonts w:ascii="Times New Roman" w:eastAsia="黑体"/>
          <w:b/>
          <w:bCs/>
          <w:szCs w:val="21"/>
        </w:rPr>
        <w:t>③</w:t>
      </w:r>
      <w:r>
        <w:rPr>
          <w:rFonts w:ascii="Times New Roman" w:eastAsia="黑体"/>
          <w:b/>
          <w:bCs/>
          <w:snapToGrid w:val="0"/>
          <w:spacing w:val="-6"/>
          <w:kern w:val="21"/>
          <w:szCs w:val="21"/>
        </w:rPr>
        <w:fldChar w:fldCharType="end"/>
      </w:r>
      <w:r>
        <w:rPr>
          <w:rFonts w:ascii="Times New Roman" w:eastAsia="黑体"/>
          <w:b/>
          <w:bCs/>
          <w:snapToGrid w:val="0"/>
          <w:spacing w:val="-6"/>
          <w:kern w:val="21"/>
          <w:szCs w:val="21"/>
        </w:rPr>
        <w:t>+</w:t>
      </w:r>
      <w:r>
        <w:rPr>
          <w:rFonts w:ascii="Times New Roman" w:eastAsia="黑体"/>
          <w:b/>
          <w:bCs/>
          <w:snapToGrid w:val="0"/>
          <w:spacing w:val="-6"/>
          <w:kern w:val="21"/>
          <w:szCs w:val="21"/>
        </w:rPr>
        <w:fldChar w:fldCharType="begin"/>
      </w:r>
      <w:r>
        <w:rPr>
          <w:rFonts w:ascii="Times New Roman" w:eastAsia="黑体"/>
          <w:b/>
          <w:bCs/>
          <w:snapToGrid w:val="0"/>
          <w:spacing w:val="-6"/>
          <w:kern w:val="21"/>
          <w:szCs w:val="21"/>
        </w:rPr>
        <w:instrText xml:space="preserve"> = 4 \* GB3 \* MERGEFORMAT </w:instrText>
      </w:r>
      <w:r>
        <w:rPr>
          <w:rFonts w:ascii="Times New Roman" w:eastAsia="黑体"/>
          <w:b/>
          <w:bCs/>
          <w:snapToGrid w:val="0"/>
          <w:spacing w:val="-6"/>
          <w:kern w:val="21"/>
          <w:szCs w:val="21"/>
        </w:rPr>
        <w:fldChar w:fldCharType="separate"/>
      </w:r>
      <w:r>
        <w:rPr>
          <w:rFonts w:ascii="Times New Roman" w:eastAsia="黑体"/>
          <w:b/>
          <w:bCs/>
          <w:szCs w:val="21"/>
        </w:rPr>
        <w:t>④</w:t>
      </w:r>
      <w:r>
        <w:rPr>
          <w:rFonts w:ascii="Times New Roman" w:eastAsia="黑体"/>
          <w:b/>
          <w:bCs/>
          <w:snapToGrid w:val="0"/>
          <w:spacing w:val="-6"/>
          <w:kern w:val="21"/>
          <w:szCs w:val="21"/>
        </w:rPr>
        <w:fldChar w:fldCharType="end"/>
      </w:r>
      <w:r>
        <w:rPr>
          <w:rFonts w:ascii="Times New Roman" w:eastAsia="黑体"/>
          <w:b/>
          <w:bCs/>
          <w:snapToGrid w:val="0"/>
          <w:spacing w:val="-6"/>
          <w:kern w:val="21"/>
          <w:szCs w:val="21"/>
        </w:rPr>
        <w:t>-</w:t>
      </w:r>
      <w:r>
        <w:rPr>
          <w:rFonts w:ascii="Times New Roman" w:eastAsia="黑体"/>
          <w:b/>
          <w:bCs/>
          <w:snapToGrid w:val="0"/>
          <w:spacing w:val="-16"/>
          <w:kern w:val="21"/>
          <w:szCs w:val="21"/>
        </w:rPr>
        <w:fldChar w:fldCharType="begin"/>
      </w:r>
      <w:r>
        <w:rPr>
          <w:rFonts w:ascii="Times New Roman" w:eastAsia="黑体"/>
          <w:b/>
          <w:bCs/>
          <w:snapToGrid w:val="0"/>
          <w:spacing w:val="-16"/>
          <w:kern w:val="21"/>
          <w:szCs w:val="21"/>
        </w:rPr>
        <w:instrText xml:space="preserve"> = 5 \* GB3 \* MERGEFORMAT </w:instrText>
      </w:r>
      <w:r>
        <w:rPr>
          <w:rFonts w:ascii="Times New Roman" w:eastAsia="黑体"/>
          <w:b/>
          <w:bCs/>
          <w:snapToGrid w:val="0"/>
          <w:spacing w:val="-16"/>
          <w:kern w:val="21"/>
          <w:szCs w:val="21"/>
        </w:rPr>
        <w:fldChar w:fldCharType="separate"/>
      </w:r>
      <w:r>
        <w:rPr>
          <w:rFonts w:ascii="Times New Roman" w:eastAsia="黑体"/>
          <w:b/>
          <w:bCs/>
          <w:szCs w:val="21"/>
        </w:rPr>
        <w:t>⑤</w:t>
      </w:r>
      <w:r>
        <w:rPr>
          <w:rFonts w:ascii="Times New Roman" w:eastAsia="黑体"/>
          <w:b/>
          <w:bCs/>
          <w:snapToGrid w:val="0"/>
          <w:spacing w:val="-16"/>
          <w:kern w:val="21"/>
          <w:szCs w:val="21"/>
        </w:rPr>
        <w:fldChar w:fldCharType="end"/>
      </w:r>
      <w:r>
        <w:rPr>
          <w:rFonts w:ascii="Times New Roman" w:eastAsia="黑体"/>
          <w:b/>
          <w:bCs/>
          <w:snapToGrid w:val="0"/>
          <w:spacing w:val="-16"/>
          <w:kern w:val="21"/>
          <w:szCs w:val="21"/>
        </w:rPr>
        <w:t>；</w:t>
      </w:r>
      <w:r>
        <w:rPr>
          <w:rFonts w:ascii="Times New Roman" w:eastAsia="黑体"/>
          <w:b/>
          <w:bCs/>
          <w:snapToGrid w:val="0"/>
          <w:spacing w:val="-6"/>
          <w:kern w:val="21"/>
          <w:szCs w:val="21"/>
        </w:rPr>
        <w:fldChar w:fldCharType="begin"/>
      </w:r>
      <w:r>
        <w:rPr>
          <w:rFonts w:ascii="Times New Roman" w:eastAsia="黑体"/>
          <w:b/>
          <w:bCs/>
          <w:snapToGrid w:val="0"/>
          <w:spacing w:val="-6"/>
          <w:kern w:val="21"/>
          <w:szCs w:val="21"/>
        </w:rPr>
        <w:instrText xml:space="preserve"> = 7 \* GB3 \* MERGEFORMAT </w:instrText>
      </w:r>
      <w:r>
        <w:rPr>
          <w:rFonts w:ascii="Times New Roman" w:eastAsia="黑体"/>
          <w:b/>
          <w:bCs/>
          <w:snapToGrid w:val="0"/>
          <w:spacing w:val="-6"/>
          <w:kern w:val="21"/>
          <w:szCs w:val="21"/>
        </w:rPr>
        <w:fldChar w:fldCharType="separate"/>
      </w:r>
      <w:r>
        <w:rPr>
          <w:rFonts w:ascii="Times New Roman" w:eastAsia="黑体"/>
          <w:b/>
          <w:bCs/>
          <w:szCs w:val="21"/>
        </w:rPr>
        <w:t>⑦</w:t>
      </w:r>
      <w:r>
        <w:rPr>
          <w:rFonts w:ascii="Times New Roman" w:eastAsia="黑体"/>
          <w:b/>
          <w:bCs/>
          <w:snapToGrid w:val="0"/>
          <w:spacing w:val="-6"/>
          <w:kern w:val="21"/>
          <w:szCs w:val="21"/>
        </w:rPr>
        <w:fldChar w:fldCharType="end"/>
      </w:r>
      <w:r>
        <w:rPr>
          <w:rFonts w:ascii="Times New Roman" w:eastAsia="黑体"/>
          <w:b/>
          <w:bCs/>
          <w:snapToGrid w:val="0"/>
          <w:spacing w:val="-6"/>
          <w:kern w:val="21"/>
          <w:szCs w:val="21"/>
        </w:rPr>
        <w:t>=</w:t>
      </w:r>
      <w:r>
        <w:rPr>
          <w:rFonts w:ascii="Times New Roman" w:eastAsia="黑体"/>
          <w:b/>
          <w:bCs/>
          <w:snapToGrid w:val="0"/>
          <w:spacing w:val="-16"/>
          <w:kern w:val="21"/>
          <w:szCs w:val="21"/>
        </w:rPr>
        <w:fldChar w:fldCharType="begin"/>
      </w:r>
      <w:r>
        <w:rPr>
          <w:rFonts w:ascii="Times New Roman" w:eastAsia="黑体"/>
          <w:b/>
          <w:bCs/>
          <w:snapToGrid w:val="0"/>
          <w:spacing w:val="-16"/>
          <w:kern w:val="21"/>
          <w:szCs w:val="21"/>
        </w:rPr>
        <w:instrText xml:space="preserve"> = 6 \* GB3 \* MERGEFORMAT </w:instrText>
      </w:r>
      <w:r>
        <w:rPr>
          <w:rFonts w:ascii="Times New Roman" w:eastAsia="黑体"/>
          <w:b/>
          <w:bCs/>
          <w:snapToGrid w:val="0"/>
          <w:spacing w:val="-16"/>
          <w:kern w:val="21"/>
          <w:szCs w:val="21"/>
        </w:rPr>
        <w:fldChar w:fldCharType="separate"/>
      </w:r>
      <w:r>
        <w:rPr>
          <w:rFonts w:ascii="Times New Roman" w:eastAsia="黑体"/>
          <w:b/>
          <w:bCs/>
          <w:szCs w:val="21"/>
        </w:rPr>
        <w:t>⑥</w:t>
      </w:r>
      <w:r>
        <w:rPr>
          <w:rFonts w:ascii="Times New Roman" w:eastAsia="黑体"/>
          <w:b/>
          <w:bCs/>
          <w:snapToGrid w:val="0"/>
          <w:spacing w:val="-16"/>
          <w:kern w:val="21"/>
          <w:szCs w:val="21"/>
        </w:rPr>
        <w:fldChar w:fldCharType="end"/>
      </w:r>
      <w:r>
        <w:rPr>
          <w:rFonts w:ascii="Times New Roman" w:eastAsia="黑体"/>
          <w:b/>
          <w:bCs/>
          <w:snapToGrid w:val="0"/>
          <w:spacing w:val="-16"/>
          <w:kern w:val="21"/>
          <w:szCs w:val="21"/>
        </w:rPr>
        <w:t>-</w:t>
      </w:r>
      <w:r>
        <w:rPr>
          <w:rFonts w:ascii="Times New Roman" w:eastAsia="黑体"/>
          <w:b/>
          <w:bCs/>
          <w:snapToGrid w:val="0"/>
          <w:spacing w:val="-6"/>
          <w:kern w:val="21"/>
          <w:szCs w:val="21"/>
        </w:rPr>
        <w:fldChar w:fldCharType="begin"/>
      </w:r>
      <w:r>
        <w:rPr>
          <w:rFonts w:ascii="Times New Roman" w:eastAsia="黑体"/>
          <w:b/>
          <w:bCs/>
          <w:snapToGrid w:val="0"/>
          <w:spacing w:val="-6"/>
          <w:kern w:val="21"/>
          <w:szCs w:val="21"/>
        </w:rPr>
        <w:instrText xml:space="preserve"> = 1 \* GB3 \* MERGEFORMAT </w:instrText>
      </w:r>
      <w:r>
        <w:rPr>
          <w:rFonts w:ascii="Times New Roman" w:eastAsia="黑体"/>
          <w:b/>
          <w:bCs/>
          <w:snapToGrid w:val="0"/>
          <w:spacing w:val="-6"/>
          <w:kern w:val="21"/>
          <w:szCs w:val="21"/>
        </w:rPr>
        <w:fldChar w:fldCharType="separate"/>
      </w:r>
      <w:r>
        <w:rPr>
          <w:rFonts w:ascii="Times New Roman" w:eastAsia="黑体"/>
          <w:b/>
          <w:bCs/>
          <w:szCs w:val="21"/>
        </w:rPr>
        <w:t>①</w:t>
      </w:r>
      <w:r>
        <w:rPr>
          <w:rFonts w:ascii="Times New Roman" w:eastAsia="黑体"/>
          <w:b/>
          <w:bCs/>
          <w:snapToGrid w:val="0"/>
          <w:spacing w:val="-6"/>
          <w:kern w:val="21"/>
          <w:szCs w:val="21"/>
        </w:rPr>
        <w:fldChar w:fldCharType="end"/>
      </w:r>
      <w:r>
        <w:rPr>
          <w:rFonts w:hint="eastAsia" w:ascii="Times New Roman" w:eastAsia="黑体"/>
          <w:b/>
          <w:bCs/>
          <w:snapToGrid w:val="0"/>
          <w:spacing w:val="-6"/>
          <w:kern w:val="21"/>
          <w:szCs w:val="21"/>
        </w:rPr>
        <w:t xml:space="preserve">  单位t/a</w:t>
      </w:r>
    </w:p>
    <w:p>
      <w:pPr>
        <w:pStyle w:val="8"/>
      </w:pPr>
    </w:p>
    <w:p>
      <w:pPr>
        <w:pStyle w:val="28"/>
      </w:pPr>
    </w:p>
    <w:bookmarkEnd w:id="0"/>
    <w:p/>
    <w:sectPr>
      <w:pgSz w:w="16838" w:h="11906" w:orient="landscape"/>
      <w:pgMar w:top="1531" w:right="1701" w:bottom="1531" w:left="1701" w:header="851" w:footer="851" w:gutter="0"/>
      <w:cols w:space="720" w:num="1"/>
      <w:docGrid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Tahoma">
    <w:panose1 w:val="020B0604030504040204"/>
    <w:charset w:val="00"/>
    <w:family w:val="auto"/>
    <w:pitch w:val="default"/>
    <w:sig w:usb0="E1002EFF" w:usb1="C000605B" w:usb2="00000029" w:usb3="00000000" w:csb0="200101FF" w:csb1="20280000"/>
  </w:font>
  <w:font w:name="Symbol">
    <w:panose1 w:val="05050102010706020507"/>
    <w:charset w:val="02"/>
    <w:family w:val="roman"/>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微软雅黑">
    <w:panose1 w:val="020B0503020204020204"/>
    <w:charset w:val="86"/>
    <w:family w:val="auto"/>
    <w:pitch w:val="default"/>
    <w:sig w:usb0="80000287" w:usb1="280F3C52" w:usb2="00000016" w:usb3="00000000" w:csb0="0004001F"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Calibri">
    <w:panose1 w:val="020F0502020204030204"/>
    <w:charset w:val="00"/>
    <w:family w:val="auto"/>
    <w:pitch w:val="default"/>
    <w:sig w:usb0="E10002FF" w:usb1="4000ACFF" w:usb2="00000009" w:usb3="00000000" w:csb0="2000019F" w:csb1="00000000"/>
  </w:font>
  <w:font w:name="华文行楷">
    <w:altName w:val="微软雅黑"/>
    <w:panose1 w:val="00000000000000000000"/>
    <w:charset w:val="86"/>
    <w:family w:val="auto"/>
    <w:pitch w:val="default"/>
    <w:sig w:usb0="00000000" w:usb1="080F0000" w:usb2="00000000" w:usb3="00000000" w:csb0="00040000" w:csb1="00000000"/>
  </w:font>
  <w:font w:name="华文中宋">
    <w:altName w:val="宋体"/>
    <w:panose1 w:val="00000000000000000000"/>
    <w:charset w:val="86"/>
    <w:family w:val="auto"/>
    <w:pitch w:val="default"/>
    <w:sig w:usb0="00000000" w:usb1="080F0000" w:usb2="00000000" w:usb3="00000000" w:csb0="0004009F" w:csb1="DFD70000"/>
  </w:font>
  <w:font w:name="Wingdings 2">
    <w:altName w:val="Webdings"/>
    <w:panose1 w:val="00000000000000000000"/>
    <w:charset w:val="02"/>
    <w:family w:val="auto"/>
    <w:pitch w:val="default"/>
    <w:sig w:usb0="00000000" w:usb1="00000000" w:usb2="00000000" w:usb3="00000000" w:csb0="80000000" w:csb1="00000000"/>
  </w:font>
  <w:font w:name="Times">
    <w:altName w:val="Times New Roman"/>
    <w:panose1 w:val="00000000000000000000"/>
    <w:charset w:val="00"/>
    <w:family w:val="auto"/>
    <w:pitch w:val="default"/>
    <w:sig w:usb0="00000003" w:usb1="00000000" w:usb2="00000000" w:usb3="00000000" w:csb0="00000001" w:csb1="00000000"/>
  </w:font>
  <w:font w:name="TimesNewRomanPSMT">
    <w:altName w:val="Times New Roman"/>
    <w:panose1 w:val="00000000000000000000"/>
    <w:charset w:val="00"/>
    <w:family w:val="auto"/>
    <w:pitch w:val="default"/>
    <w:sig w:usb0="00000000" w:usb1="00000000" w:usb2="00000000" w:usb3="00000000" w:csb0="00000001" w:csb1="00000000"/>
  </w:font>
  <w:font w:name="方正宋三简体">
    <w:altName w:val="宋体"/>
    <w:panose1 w:val="00000000000000000000"/>
    <w:charset w:val="86"/>
    <w:family w:val="auto"/>
    <w:pitch w:val="default"/>
    <w:sig w:usb0="00000000" w:usb1="00000000" w:usb2="00000010" w:usb3="00000000" w:csb0="00040000" w:csb1="00000000"/>
  </w:font>
  <w:font w:name="Cambria Math">
    <w:panose1 w:val="02040503050406030204"/>
    <w:charset w:val="00"/>
    <w:family w:val="auto"/>
    <w:pitch w:val="default"/>
    <w:sig w:usb0="E00002FF" w:usb1="420024FF" w:usb2="00000000" w:usb3="00000000" w:csb0="2000019F" w:csb1="00000000"/>
  </w:font>
  <w:font w:name="等线">
    <w:altName w:val="微软雅黑"/>
    <w:panose1 w:val="00000000000000000000"/>
    <w:charset w:val="86"/>
    <w:family w:val="auto"/>
    <w:pitch w:val="default"/>
    <w:sig w:usb0="00000000" w:usb1="38CF7CFA" w:usb2="00000016" w:usb3="00000000" w:csb0="0004000F" w:csb1="00000000"/>
  </w:font>
  <w:font w:name="宋">
    <w:altName w:val="宋体"/>
    <w:panose1 w:val="00000000000000000000"/>
    <w:charset w:val="00"/>
    <w:family w:val="auto"/>
    <w:pitch w:val="default"/>
    <w:sig w:usb0="00000000" w:usb1="00000000" w:usb2="00000000" w:usb3="00000000" w:csb0="00040001" w:csb1="00000000"/>
  </w:font>
  <w:font w:name="方正小标宋_GBK">
    <w:altName w:val="微软雅黑"/>
    <w:panose1 w:val="00000000000000000000"/>
    <w:charset w:val="86"/>
    <w:family w:val="auto"/>
    <w:pitch w:val="default"/>
    <w:sig w:usb0="00000000" w:usb1="00000000" w:usb2="00082016" w:usb3="00000000" w:csb0="00040001" w:csb1="00000000"/>
  </w:font>
  <w:font w:name="等线 Light">
    <w:altName w:val="宋体"/>
    <w:panose1 w:val="00000000000000000000"/>
    <w:charset w:val="86"/>
    <w:family w:val="auto"/>
    <w:pitch w:val="default"/>
    <w:sig w:usb0="00000000" w:usb1="00000000" w:usb2="00000000" w:usb3="00000000" w:csb0="00040001" w:csb1="00000000"/>
  </w:font>
  <w:font w:name="Webdings">
    <w:panose1 w:val="05030102010509060703"/>
    <w:charset w:val="02"/>
    <w:family w:val="auto"/>
    <w:pitch w:val="default"/>
    <w:sig w:usb0="00000000" w:usb1="00000000" w:usb2="00000000" w:usb3="00000000" w:csb0="80000000" w:csb1="00000000"/>
  </w:font>
  <w:font w:name="Gulim">
    <w:panose1 w:val="020B0600000101010101"/>
    <w:charset w:val="81"/>
    <w:family w:val="auto"/>
    <w:pitch w:val="default"/>
    <w:sig w:usb0="B00002AF" w:usb1="69D77CFB" w:usb2="00000030" w:usb3="00000000" w:csb0="4008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13"/>
    </w:pPr>
    <w:r>
      <w:rPr>
        <w:rFonts w:ascii="Times New Roman" w:hAnsi="Times New Roman" w:eastAsia="宋体" w:cs="Times New Roman"/>
        <w:kern w:val="0"/>
        <w:sz w:val="18"/>
        <w:szCs w:val="20"/>
        <w:lang w:val="en-US" w:eastAsia="zh-CN" w:bidi="ar-SA"/>
      </w:rPr>
      <w:pict>
        <v:shape id="_x0000_s2049" o:spid="_x0000_s1025" type="#_x0000_t202" style="position:absolute;left:0;margin-top:0pt;height:12.05pt;width:32.3pt;mso-position-horizontal:outside;mso-position-horizontal-relative:margin;mso-wrap-style:none;rotation:0f;z-index:251658240;" o:ole="f" fillcolor="#FFFFFF" filled="f" o:preferrelative="t" stroked="f" coordorigin="0,0" coordsize="21600,21600">
          <v:fill on="f" color2="#FFFFFF" focus="0%"/>
          <v:imagedata gain="65536f" blacklevel="0f" gamma="0"/>
          <o:lock v:ext="edit" position="f" selection="f" grouping="f" rotation="f" cropping="f" text="f" aspectratio="f"/>
          <v:textbox inset="0.00pt,0.00pt,0.00pt,0.00pt" style="mso-fit-shape-to-text:t;">
            <w:txbxContent>
              <w:p>
                <w:pPr>
                  <w:pStyle w:val="13"/>
                </w:pPr>
                <w:r>
                  <w:t xml:space="preserve">— </w:t>
                </w:r>
                <w:r>
                  <w:rPr>
                    <w:sz w:val="21"/>
                    <w:szCs w:val="21"/>
                  </w:rPr>
                  <w:fldChar w:fldCharType="begin"/>
                </w:r>
                <w:r>
                  <w:rPr>
                    <w:sz w:val="21"/>
                    <w:szCs w:val="21"/>
                  </w:rPr>
                  <w:instrText xml:space="preserve"> PAGE  \* MERGEFORMAT </w:instrText>
                </w:r>
                <w:r>
                  <w:rPr>
                    <w:sz w:val="21"/>
                    <w:szCs w:val="21"/>
                  </w:rPr>
                  <w:fldChar w:fldCharType="separate"/>
                </w:r>
                <w:r>
                  <w:rPr>
                    <w:sz w:val="21"/>
                    <w:szCs w:val="21"/>
                  </w:rPr>
                  <w:t>1</w:t>
                </w:r>
                <w:r>
                  <w:rPr>
                    <w:sz w:val="21"/>
                    <w:szCs w:val="21"/>
                  </w:rPr>
                  <w:fldChar w:fldCharType="end"/>
                </w:r>
                <w:r>
                  <w:t xml:space="preserve"> —</w:t>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836566266">
    <w:nsid w:val="6D77C6FA"/>
    <w:multiLevelType w:val="singleLevel"/>
    <w:tmpl w:val="6D77C6FA"/>
    <w:lvl w:ilvl="0" w:tentative="1">
      <w:start w:val="4"/>
      <w:numFmt w:val="decimal"/>
      <w:suff w:val="nothing"/>
      <w:lvlText w:val="%1、"/>
      <w:lvlJc w:val="left"/>
    </w:lvl>
  </w:abstractNum>
  <w:abstractNum w:abstractNumId="1853402613">
    <w:nsid w:val="6E78ADF5"/>
    <w:multiLevelType w:val="singleLevel"/>
    <w:tmpl w:val="6E78ADF5"/>
    <w:lvl w:ilvl="0" w:tentative="1">
      <w:start w:val="2"/>
      <w:numFmt w:val="decimal"/>
      <w:suff w:val="nothing"/>
      <w:lvlText w:val="（%1）"/>
      <w:lvlJc w:val="left"/>
    </w:lvl>
  </w:abstractNum>
  <w:abstractNum w:abstractNumId="1374764791">
    <w:nsid w:val="51F13EF7"/>
    <w:multiLevelType w:val="multilevel"/>
    <w:tmpl w:val="51F13EF7"/>
    <w:lvl w:ilvl="0" w:tentative="1">
      <w:start w:val="1"/>
      <w:numFmt w:val="decimalEnclosedCircle"/>
      <w:lvlText w:val="%1"/>
      <w:lvlJc w:val="left"/>
      <w:pPr>
        <w:ind w:left="802" w:hanging="360"/>
      </w:pPr>
      <w:rPr>
        <w:rFonts w:hint="default"/>
      </w:rPr>
    </w:lvl>
    <w:lvl w:ilvl="1" w:tentative="1">
      <w:start w:val="1"/>
      <w:numFmt w:val="lowerLetter"/>
      <w:lvlText w:val="%2)"/>
      <w:lvlJc w:val="left"/>
      <w:pPr>
        <w:ind w:left="1322" w:hanging="440"/>
      </w:pPr>
    </w:lvl>
    <w:lvl w:ilvl="2" w:tentative="1">
      <w:start w:val="1"/>
      <w:numFmt w:val="lowerRoman"/>
      <w:lvlText w:val="%3."/>
      <w:lvlJc w:val="right"/>
      <w:pPr>
        <w:ind w:left="1762" w:hanging="440"/>
      </w:pPr>
    </w:lvl>
    <w:lvl w:ilvl="3" w:tentative="1">
      <w:start w:val="1"/>
      <w:numFmt w:val="decimal"/>
      <w:lvlText w:val="%4."/>
      <w:lvlJc w:val="left"/>
      <w:pPr>
        <w:ind w:left="2202" w:hanging="440"/>
      </w:pPr>
    </w:lvl>
    <w:lvl w:ilvl="4" w:tentative="1">
      <w:start w:val="1"/>
      <w:numFmt w:val="lowerLetter"/>
      <w:lvlText w:val="%5)"/>
      <w:lvlJc w:val="left"/>
      <w:pPr>
        <w:ind w:left="2642" w:hanging="440"/>
      </w:pPr>
    </w:lvl>
    <w:lvl w:ilvl="5" w:tentative="1">
      <w:start w:val="1"/>
      <w:numFmt w:val="lowerRoman"/>
      <w:lvlText w:val="%6."/>
      <w:lvlJc w:val="right"/>
      <w:pPr>
        <w:ind w:left="3082" w:hanging="440"/>
      </w:pPr>
    </w:lvl>
    <w:lvl w:ilvl="6" w:tentative="1">
      <w:start w:val="1"/>
      <w:numFmt w:val="decimal"/>
      <w:lvlText w:val="%7."/>
      <w:lvlJc w:val="left"/>
      <w:pPr>
        <w:ind w:left="3522" w:hanging="440"/>
      </w:pPr>
    </w:lvl>
    <w:lvl w:ilvl="7" w:tentative="1">
      <w:start w:val="1"/>
      <w:numFmt w:val="lowerLetter"/>
      <w:lvlText w:val="%8)"/>
      <w:lvlJc w:val="left"/>
      <w:pPr>
        <w:ind w:left="3962" w:hanging="440"/>
      </w:pPr>
    </w:lvl>
    <w:lvl w:ilvl="8" w:tentative="1">
      <w:start w:val="1"/>
      <w:numFmt w:val="lowerRoman"/>
      <w:lvlText w:val="%9."/>
      <w:lvlJc w:val="right"/>
      <w:pPr>
        <w:ind w:left="4402" w:hanging="440"/>
      </w:pPr>
    </w:lvl>
  </w:abstractNum>
  <w:abstractNum w:abstractNumId="2972611123">
    <w:nsid w:val="B12E7233"/>
    <w:multiLevelType w:val="singleLevel"/>
    <w:tmpl w:val="B12E7233"/>
    <w:lvl w:ilvl="0" w:tentative="1">
      <w:start w:val="1"/>
      <w:numFmt w:val="decimal"/>
      <w:suff w:val="nothing"/>
      <w:lvlText w:val="%1、"/>
      <w:lvlJc w:val="left"/>
    </w:lvl>
  </w:abstractNum>
  <w:abstractNum w:abstractNumId="2457521867">
    <w:nsid w:val="927ACECB"/>
    <w:multiLevelType w:val="singleLevel"/>
    <w:tmpl w:val="927ACECB"/>
    <w:lvl w:ilvl="0" w:tentative="1">
      <w:start w:val="1"/>
      <w:numFmt w:val="decimal"/>
      <w:suff w:val="nothing"/>
      <w:lvlText w:val="%1、"/>
      <w:lvlJc w:val="left"/>
    </w:lvl>
  </w:abstractNum>
  <w:abstractNum w:abstractNumId="113060193">
    <w:nsid w:val="06BD2961"/>
    <w:multiLevelType w:val="multilevel"/>
    <w:tmpl w:val="06BD2961"/>
    <w:lvl w:ilvl="0" w:tentative="1">
      <w:start w:val="1"/>
      <w:numFmt w:val="decimalEnclosedCircle"/>
      <w:lvlText w:val="%1"/>
      <w:lvlJc w:val="left"/>
      <w:pPr>
        <w:ind w:left="360" w:hanging="360"/>
      </w:pPr>
      <w:rPr>
        <w:rFonts w:hint="default" w:ascii="宋体" w:hAnsi="宋体" w:eastAsia="宋体"/>
        <w:sz w:val="24"/>
        <w:szCs w:val="24"/>
      </w:rPr>
    </w:lvl>
    <w:lvl w:ilvl="1" w:tentative="1">
      <w:start w:val="1"/>
      <w:numFmt w:val="lowerLetter"/>
      <w:lvlText w:val="%2)"/>
      <w:lvlJc w:val="left"/>
      <w:pPr>
        <w:ind w:left="880" w:hanging="440"/>
      </w:pPr>
    </w:lvl>
    <w:lvl w:ilvl="2" w:tentative="1">
      <w:start w:val="1"/>
      <w:numFmt w:val="lowerRoman"/>
      <w:lvlText w:val="%3."/>
      <w:lvlJc w:val="right"/>
      <w:pPr>
        <w:ind w:left="1320" w:hanging="440"/>
      </w:pPr>
    </w:lvl>
    <w:lvl w:ilvl="3" w:tentative="1">
      <w:start w:val="1"/>
      <w:numFmt w:val="decimal"/>
      <w:lvlText w:val="%4."/>
      <w:lvlJc w:val="left"/>
      <w:pPr>
        <w:ind w:left="1760" w:hanging="440"/>
      </w:pPr>
    </w:lvl>
    <w:lvl w:ilvl="4" w:tentative="1">
      <w:start w:val="1"/>
      <w:numFmt w:val="lowerLetter"/>
      <w:lvlText w:val="%5)"/>
      <w:lvlJc w:val="left"/>
      <w:pPr>
        <w:ind w:left="2200" w:hanging="440"/>
      </w:pPr>
    </w:lvl>
    <w:lvl w:ilvl="5" w:tentative="1">
      <w:start w:val="1"/>
      <w:numFmt w:val="lowerRoman"/>
      <w:lvlText w:val="%6."/>
      <w:lvlJc w:val="right"/>
      <w:pPr>
        <w:ind w:left="2640" w:hanging="440"/>
      </w:pPr>
    </w:lvl>
    <w:lvl w:ilvl="6" w:tentative="1">
      <w:start w:val="1"/>
      <w:numFmt w:val="decimal"/>
      <w:lvlText w:val="%7."/>
      <w:lvlJc w:val="left"/>
      <w:pPr>
        <w:ind w:left="3080" w:hanging="440"/>
      </w:pPr>
    </w:lvl>
    <w:lvl w:ilvl="7" w:tentative="1">
      <w:start w:val="1"/>
      <w:numFmt w:val="lowerLetter"/>
      <w:lvlText w:val="%8)"/>
      <w:lvlJc w:val="left"/>
      <w:pPr>
        <w:ind w:left="3520" w:hanging="440"/>
      </w:pPr>
    </w:lvl>
    <w:lvl w:ilvl="8" w:tentative="1">
      <w:start w:val="1"/>
      <w:numFmt w:val="lowerRoman"/>
      <w:lvlText w:val="%9."/>
      <w:lvlJc w:val="right"/>
      <w:pPr>
        <w:ind w:left="3960" w:hanging="440"/>
      </w:pPr>
    </w:lvl>
  </w:abstractNum>
  <w:abstractNum w:abstractNumId="3493710480">
    <w:nsid w:val="D03DCA90"/>
    <w:multiLevelType w:val="singleLevel"/>
    <w:tmpl w:val="D03DCA90"/>
    <w:lvl w:ilvl="0" w:tentative="1">
      <w:start w:val="3"/>
      <w:numFmt w:val="decimal"/>
      <w:suff w:val="nothing"/>
      <w:lvlText w:val="（%1）"/>
      <w:lvlJc w:val="left"/>
    </w:lvl>
  </w:abstractNum>
  <w:abstractNum w:abstractNumId="1685084894">
    <w:nsid w:val="64705ADE"/>
    <w:multiLevelType w:val="multilevel"/>
    <w:tmpl w:val="64705ADE"/>
    <w:lvl w:ilvl="0" w:tentative="1">
      <w:start w:val="1"/>
      <w:numFmt w:val="decimalEnclosedCircle"/>
      <w:lvlText w:val="%1"/>
      <w:lvlJc w:val="left"/>
      <w:pPr>
        <w:ind w:left="840" w:hanging="360"/>
      </w:pPr>
      <w:rPr>
        <w:rFonts w:hint="default"/>
      </w:rPr>
    </w:lvl>
    <w:lvl w:ilvl="1" w:tentative="1">
      <w:start w:val="1"/>
      <w:numFmt w:val="lowerLetter"/>
      <w:lvlText w:val="%2)"/>
      <w:lvlJc w:val="left"/>
      <w:pPr>
        <w:ind w:left="1360" w:hanging="440"/>
      </w:pPr>
    </w:lvl>
    <w:lvl w:ilvl="2" w:tentative="1">
      <w:start w:val="1"/>
      <w:numFmt w:val="lowerRoman"/>
      <w:lvlText w:val="%3."/>
      <w:lvlJc w:val="right"/>
      <w:pPr>
        <w:ind w:left="1800" w:hanging="440"/>
      </w:pPr>
    </w:lvl>
    <w:lvl w:ilvl="3" w:tentative="1">
      <w:start w:val="1"/>
      <w:numFmt w:val="decimal"/>
      <w:lvlText w:val="%4."/>
      <w:lvlJc w:val="left"/>
      <w:pPr>
        <w:ind w:left="2240" w:hanging="440"/>
      </w:pPr>
    </w:lvl>
    <w:lvl w:ilvl="4" w:tentative="1">
      <w:start w:val="1"/>
      <w:numFmt w:val="lowerLetter"/>
      <w:lvlText w:val="%5)"/>
      <w:lvlJc w:val="left"/>
      <w:pPr>
        <w:ind w:left="2680" w:hanging="440"/>
      </w:pPr>
    </w:lvl>
    <w:lvl w:ilvl="5" w:tentative="1">
      <w:start w:val="1"/>
      <w:numFmt w:val="lowerRoman"/>
      <w:lvlText w:val="%6."/>
      <w:lvlJc w:val="right"/>
      <w:pPr>
        <w:ind w:left="3120" w:hanging="440"/>
      </w:pPr>
    </w:lvl>
    <w:lvl w:ilvl="6" w:tentative="1">
      <w:start w:val="1"/>
      <w:numFmt w:val="decimal"/>
      <w:lvlText w:val="%7."/>
      <w:lvlJc w:val="left"/>
      <w:pPr>
        <w:ind w:left="3560" w:hanging="440"/>
      </w:pPr>
    </w:lvl>
    <w:lvl w:ilvl="7" w:tentative="1">
      <w:start w:val="1"/>
      <w:numFmt w:val="lowerLetter"/>
      <w:lvlText w:val="%8)"/>
      <w:lvlJc w:val="left"/>
      <w:pPr>
        <w:ind w:left="4000" w:hanging="440"/>
      </w:pPr>
    </w:lvl>
    <w:lvl w:ilvl="8" w:tentative="1">
      <w:start w:val="1"/>
      <w:numFmt w:val="lowerRoman"/>
      <w:lvlText w:val="%9."/>
      <w:lvlJc w:val="right"/>
      <w:pPr>
        <w:ind w:left="4440" w:hanging="440"/>
      </w:pPr>
    </w:lvl>
  </w:abstractNum>
  <w:num w:numId="1">
    <w:abstractNumId w:val="2457521867"/>
  </w:num>
  <w:num w:numId="2">
    <w:abstractNumId w:val="3493710480"/>
  </w:num>
  <w:num w:numId="3">
    <w:abstractNumId w:val="1374764791"/>
  </w:num>
  <w:num w:numId="4">
    <w:abstractNumId w:val="1685084894"/>
  </w:num>
  <w:num w:numId="5">
    <w:abstractNumId w:val="1836566266"/>
  </w:num>
  <w:num w:numId="6">
    <w:abstractNumId w:val="1853402613"/>
  </w:num>
  <w:num w:numId="7">
    <w:abstractNumId w:val="113060193"/>
  </w:num>
  <w:num w:numId="8">
    <w:abstractNumId w:val="29726111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val="1"/>
  <w:bordersDoNotSurroundFooter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useNormalStyleForList/>
    <w:doNotUseIndentAsNumberingTabStop/>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uiCompat97To2003/>
  <w:shapeDefaults>
    <o:shapedefaults fillcolor="#9CBEE0" fill="t" stroke="t">
      <v:fill type="gradient" on="t" color2="#BBD5F0" focus="0%" focussize="0f,0f" focusposition="0f,0f">
        <o:fill type="gradientUnscaled" v:ext="backwardCompatible"/>
      </v:fill>
      <v:stroke weight="1.25pt" color="#739CC3" color2="#FFFFFF" miterlimit="2"/>
    </o:shapedefaults>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lang w:val="en-US" w:eastAsia="zh-CN" w:bidi="ar-SA"/>
      </w:rPr>
    </w:rPrDefault>
  </w:docDefaults>
  <w:latentStyles w:count="156"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semiHidden="0" w:name="annotation subject"/>
    <w:lsdException w:qFormat="1" w:unhideWhenUsed="0" w:uiPriority="0" w:semiHidden="0" w:name="Balloon Text"/>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spacing w:before="100" w:beforeAutospacing="1" w:after="100" w:afterAutospacing="1"/>
      <w:jc w:val="left"/>
      <w:outlineLvl w:val="0"/>
    </w:pPr>
    <w:rPr>
      <w:rFonts w:hint="eastAsia" w:ascii="宋体" w:hAnsi="宋体"/>
      <w:b/>
      <w:bCs/>
      <w:kern w:val="44"/>
      <w:sz w:val="48"/>
      <w:szCs w:val="48"/>
    </w:rPr>
  </w:style>
  <w:style w:type="paragraph" w:styleId="4">
    <w:name w:val="heading 2"/>
    <w:basedOn w:val="1"/>
    <w:next w:val="1"/>
    <w:qFormat/>
    <w:uiPriority w:val="0"/>
    <w:pPr>
      <w:keepNext/>
      <w:keepLines/>
      <w:spacing w:before="260" w:after="260" w:line="413" w:lineRule="auto"/>
      <w:outlineLvl w:val="1"/>
    </w:pPr>
    <w:rPr>
      <w:rFonts w:ascii="Arial" w:hAnsi="Arial" w:eastAsia="黑体"/>
      <w:b/>
      <w:sz w:val="32"/>
    </w:rPr>
  </w:style>
  <w:style w:type="paragraph" w:styleId="5">
    <w:name w:val="heading 3"/>
    <w:basedOn w:val="1"/>
    <w:next w:val="1"/>
    <w:qFormat/>
    <w:uiPriority w:val="0"/>
    <w:pPr>
      <w:keepNext/>
      <w:keepLines/>
      <w:spacing w:beforeLines="50" w:line="320" w:lineRule="exact"/>
      <w:outlineLvl w:val="2"/>
    </w:pPr>
    <w:rPr>
      <w:rFonts w:eastAsia="黑体"/>
      <w:b/>
      <w:bCs/>
      <w:sz w:val="24"/>
      <w:szCs w:val="32"/>
    </w:rPr>
  </w:style>
  <w:style w:type="character" w:default="1" w:styleId="22">
    <w:name w:val="Default Paragraph Font"/>
    <w:semiHidden/>
    <w:unhideWhenUsed/>
    <w:uiPriority w:val="1"/>
  </w:style>
  <w:style w:type="paragraph" w:styleId="2">
    <w:name w:val="Body Text"/>
    <w:basedOn w:val="1"/>
    <w:next w:val="1"/>
    <w:qFormat/>
    <w:uiPriority w:val="0"/>
    <w:pPr>
      <w:spacing w:line="500" w:lineRule="exact"/>
    </w:pPr>
    <w:rPr>
      <w:sz w:val="28"/>
    </w:rPr>
  </w:style>
  <w:style w:type="paragraph" w:styleId="6">
    <w:name w:val="annotation subject"/>
    <w:basedOn w:val="7"/>
    <w:next w:val="7"/>
    <w:link w:val="71"/>
    <w:qFormat/>
    <w:uiPriority w:val="0"/>
    <w:rPr>
      <w:b/>
      <w:bCs/>
      <w:kern w:val="2"/>
      <w:sz w:val="21"/>
      <w:szCs w:val="24"/>
    </w:rPr>
  </w:style>
  <w:style w:type="paragraph" w:styleId="7">
    <w:name w:val="annotation text"/>
    <w:basedOn w:val="1"/>
    <w:link w:val="70"/>
    <w:semiHidden/>
    <w:qFormat/>
    <w:uiPriority w:val="0"/>
    <w:pPr>
      <w:jc w:val="left"/>
    </w:pPr>
    <w:rPr>
      <w:kern w:val="0"/>
      <w:sz w:val="24"/>
      <w:szCs w:val="20"/>
    </w:rPr>
  </w:style>
  <w:style w:type="paragraph" w:styleId="8">
    <w:name w:val="Normal Indent"/>
    <w:basedOn w:val="1"/>
    <w:qFormat/>
    <w:uiPriority w:val="0"/>
    <w:pPr>
      <w:ind w:firstLine="420" w:firstLineChars="200"/>
    </w:pPr>
  </w:style>
  <w:style w:type="paragraph" w:styleId="9">
    <w:name w:val="Body Text Indent"/>
    <w:basedOn w:val="1"/>
    <w:qFormat/>
    <w:uiPriority w:val="0"/>
    <w:pPr>
      <w:spacing w:after="120"/>
      <w:ind w:left="420" w:leftChars="200"/>
    </w:pPr>
    <w:rPr>
      <w:kern w:val="0"/>
      <w:sz w:val="24"/>
      <w:szCs w:val="20"/>
    </w:rPr>
  </w:style>
  <w:style w:type="paragraph" w:styleId="10">
    <w:name w:val="Plain Text"/>
    <w:basedOn w:val="1"/>
    <w:qFormat/>
    <w:uiPriority w:val="0"/>
    <w:rPr>
      <w:rFonts w:ascii="宋体" w:hAnsi="Courier New"/>
      <w:szCs w:val="20"/>
    </w:rPr>
  </w:style>
  <w:style w:type="paragraph" w:styleId="11">
    <w:name w:val="Body Text Indent 2"/>
    <w:basedOn w:val="1"/>
    <w:qFormat/>
    <w:uiPriority w:val="0"/>
    <w:pPr>
      <w:spacing w:before="120" w:line="360" w:lineRule="auto"/>
      <w:ind w:firstLine="567"/>
    </w:pPr>
    <w:rPr>
      <w:rFonts w:eastAsia="楷体_GB2312"/>
      <w:sz w:val="28"/>
      <w:szCs w:val="20"/>
    </w:rPr>
  </w:style>
  <w:style w:type="paragraph" w:styleId="12">
    <w:name w:val="Balloon Text"/>
    <w:basedOn w:val="1"/>
    <w:qFormat/>
    <w:uiPriority w:val="0"/>
    <w:rPr>
      <w:sz w:val="18"/>
      <w:szCs w:val="18"/>
    </w:rPr>
  </w:style>
  <w:style w:type="paragraph" w:styleId="13">
    <w:name w:val="footer"/>
    <w:basedOn w:val="1"/>
    <w:next w:val="1"/>
    <w:qFormat/>
    <w:uiPriority w:val="99"/>
    <w:pPr>
      <w:tabs>
        <w:tab w:val="center" w:pos="4153"/>
        <w:tab w:val="right" w:pos="8306"/>
      </w:tabs>
      <w:snapToGrid w:val="0"/>
      <w:jc w:val="left"/>
    </w:pPr>
    <w:rPr>
      <w:kern w:val="0"/>
      <w:sz w:val="18"/>
      <w:szCs w:val="20"/>
    </w:rPr>
  </w:style>
  <w:style w:type="paragraph" w:styleId="14">
    <w:name w:val="Body Text First Indent 2"/>
    <w:basedOn w:val="9"/>
    <w:qFormat/>
    <w:uiPriority w:val="0"/>
    <w:pPr>
      <w:ind w:firstLine="420" w:firstLineChars="200"/>
    </w:pPr>
    <w:rPr>
      <w:szCs w:val="24"/>
    </w:rPr>
  </w:style>
  <w:style w:type="paragraph" w:styleId="1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6">
    <w:name w:val="toc 1"/>
    <w:basedOn w:val="1"/>
    <w:next w:val="1"/>
    <w:unhideWhenUsed/>
    <w:qFormat/>
    <w:uiPriority w:val="39"/>
    <w:pPr>
      <w:widowControl/>
      <w:tabs>
        <w:tab w:val="right" w:leader="dot" w:pos="8296"/>
      </w:tabs>
      <w:spacing w:after="100" w:line="259" w:lineRule="auto"/>
      <w:jc w:val="left"/>
    </w:pPr>
    <w:rPr>
      <w:rFonts w:ascii="宋体" w:hAnsi="Calibri"/>
      <w:kern w:val="0"/>
    </w:rPr>
  </w:style>
  <w:style w:type="paragraph" w:styleId="17">
    <w:name w:val="List"/>
    <w:basedOn w:val="1"/>
    <w:qFormat/>
    <w:uiPriority w:val="0"/>
    <w:pPr>
      <w:ind w:left="200" w:hanging="200" w:hangingChars="200"/>
    </w:pPr>
  </w:style>
  <w:style w:type="paragraph" w:styleId="18">
    <w:name w:val="Body Text Indent 3"/>
    <w:basedOn w:val="1"/>
    <w:qFormat/>
    <w:uiPriority w:val="0"/>
    <w:pPr>
      <w:ind w:firstLine="480" w:firstLineChars="200"/>
    </w:pPr>
    <w:rPr>
      <w:sz w:val="24"/>
    </w:rPr>
  </w:style>
  <w:style w:type="paragraph" w:styleId="19">
    <w:name w:val="toc 2"/>
    <w:basedOn w:val="1"/>
    <w:next w:val="1"/>
    <w:qFormat/>
    <w:uiPriority w:val="0"/>
    <w:pPr>
      <w:ind w:left="420" w:leftChars="200"/>
    </w:pPr>
  </w:style>
  <w:style w:type="paragraph" w:styleId="20">
    <w:name w:val="Body Text 2"/>
    <w:basedOn w:val="1"/>
    <w:qFormat/>
    <w:uiPriority w:val="0"/>
    <w:pPr>
      <w:adjustRightInd w:val="0"/>
      <w:snapToGrid w:val="0"/>
      <w:spacing w:line="360" w:lineRule="auto"/>
      <w:jc w:val="center"/>
    </w:pPr>
    <w:rPr>
      <w:rFonts w:eastAsia="华文行楷"/>
      <w:bCs/>
      <w:sz w:val="52"/>
    </w:rPr>
  </w:style>
  <w:style w:type="paragraph" w:styleId="21">
    <w:name w:val="Normal (Web)"/>
    <w:basedOn w:val="1"/>
    <w:qFormat/>
    <w:uiPriority w:val="0"/>
    <w:pPr>
      <w:widowControl/>
      <w:spacing w:before="100" w:beforeAutospacing="1" w:after="100" w:afterAutospacing="1"/>
      <w:jc w:val="left"/>
    </w:pPr>
    <w:rPr>
      <w:rFonts w:ascii="宋体" w:hAnsi="宋体"/>
      <w:kern w:val="0"/>
      <w:sz w:val="24"/>
      <w:szCs w:val="20"/>
    </w:rPr>
  </w:style>
  <w:style w:type="character" w:styleId="23">
    <w:name w:val="Strong"/>
    <w:qFormat/>
    <w:uiPriority w:val="22"/>
    <w:rPr>
      <w:b/>
    </w:rPr>
  </w:style>
  <w:style w:type="character" w:styleId="24">
    <w:name w:val="page number"/>
    <w:qFormat/>
    <w:uiPriority w:val="0"/>
  </w:style>
  <w:style w:type="character" w:styleId="25">
    <w:name w:val="annotation reference"/>
    <w:basedOn w:val="22"/>
    <w:qFormat/>
    <w:uiPriority w:val="0"/>
    <w:rPr>
      <w:sz w:val="21"/>
      <w:szCs w:val="21"/>
    </w:rPr>
  </w:style>
  <w:style w:type="paragraph" w:customStyle="1" w:styleId="26">
    <w:name w:val="样式 正文11 + 首行缩进:  2 字符"/>
    <w:basedOn w:val="27"/>
    <w:qFormat/>
    <w:uiPriority w:val="0"/>
    <w:pPr>
      <w:spacing w:line="500" w:lineRule="exact"/>
      <w:ind w:firstLine="560" w:firstLineChars="200"/>
    </w:pPr>
    <w:rPr>
      <w:rFonts w:ascii="宋体" w:hAnsi="宋体" w:cs="宋体"/>
      <w:color w:val="FF0000"/>
      <w:sz w:val="28"/>
      <w:szCs w:val="20"/>
    </w:rPr>
  </w:style>
  <w:style w:type="paragraph" w:customStyle="1" w:styleId="27">
    <w:name w:val="O.K.1"/>
    <w:basedOn w:val="4"/>
    <w:qFormat/>
    <w:uiPriority w:val="0"/>
    <w:pPr>
      <w:ind w:firstLine="482"/>
    </w:pPr>
  </w:style>
  <w:style w:type="paragraph" w:customStyle="1" w:styleId="28">
    <w:name w:val="表头"/>
    <w:basedOn w:val="17"/>
    <w:next w:val="1"/>
    <w:qFormat/>
    <w:uiPriority w:val="0"/>
    <w:pPr>
      <w:spacing w:line="360" w:lineRule="auto"/>
      <w:ind w:firstLine="960" w:firstLineChars="400"/>
    </w:pPr>
    <w:rPr>
      <w:sz w:val="24"/>
    </w:rPr>
  </w:style>
  <w:style w:type="paragraph" w:customStyle="1" w:styleId="29">
    <w:name w:val="样式 正文文本缩进 + 行距: 1.5 倍行距"/>
    <w:basedOn w:val="9"/>
    <w:qFormat/>
    <w:uiPriority w:val="0"/>
    <w:pPr>
      <w:ind w:left="90" w:leftChars="32" w:firstLine="560" w:firstLineChars="200"/>
    </w:pPr>
    <w:rPr>
      <w:rFonts w:cs="宋体"/>
    </w:rPr>
  </w:style>
  <w:style w:type="paragraph" w:customStyle="1" w:styleId="30">
    <w:name w:val="Default"/>
    <w:basedOn w:val="31"/>
    <w:qFormat/>
    <w:uiPriority w:val="0"/>
    <w:pPr>
      <w:autoSpaceDE w:val="0"/>
      <w:autoSpaceDN w:val="0"/>
      <w:adjustRightInd w:val="0"/>
    </w:pPr>
    <w:rPr>
      <w:rFonts w:ascii="华文中宋" w:eastAsia="华文中宋"/>
      <w:color w:val="000000"/>
      <w:sz w:val="24"/>
    </w:rPr>
  </w:style>
  <w:style w:type="paragraph" w:customStyle="1" w:styleId="31">
    <w:name w:val="正文 New New New New New New New New New New New New New New New New New New New New New New New New New New New New New New New"/>
    <w:qFormat/>
    <w:uiPriority w:val="0"/>
    <w:pPr>
      <w:widowControl w:val="0"/>
      <w:jc w:val="both"/>
    </w:pPr>
    <w:rPr>
      <w:kern w:val="2"/>
      <w:sz w:val="21"/>
      <w:szCs w:val="24"/>
    </w:rPr>
  </w:style>
  <w:style w:type="paragraph" w:customStyle="1" w:styleId="32">
    <w:name w:val="样式4"/>
    <w:basedOn w:val="33"/>
    <w:qFormat/>
    <w:uiPriority w:val="0"/>
    <w:pPr>
      <w:spacing w:line="240" w:lineRule="auto"/>
      <w:ind w:firstLine="0" w:firstLineChars="0"/>
      <w:jc w:val="center"/>
    </w:pPr>
    <w:rPr>
      <w:sz w:val="21"/>
    </w:rPr>
  </w:style>
  <w:style w:type="paragraph" w:customStyle="1" w:styleId="33">
    <w:name w:val="样式1"/>
    <w:basedOn w:val="8"/>
    <w:qFormat/>
    <w:uiPriority w:val="0"/>
    <w:pPr>
      <w:tabs>
        <w:tab w:val="right" w:leader="dot" w:pos="8607"/>
        <w:tab w:val="right" w:leader="dot" w:pos="8891"/>
      </w:tabs>
      <w:spacing w:line="360" w:lineRule="auto"/>
      <w:ind w:firstLine="482"/>
      <w:jc w:val="left"/>
    </w:pPr>
    <w:rPr>
      <w:sz w:val="24"/>
      <w:szCs w:val="28"/>
    </w:rPr>
  </w:style>
  <w:style w:type="paragraph" w:customStyle="1" w:styleId="34">
    <w:name w:val="环保表内字（五号）"/>
    <w:basedOn w:val="1"/>
    <w:qFormat/>
    <w:uiPriority w:val="0"/>
    <w:pPr>
      <w:adjustRightInd w:val="0"/>
      <w:snapToGrid w:val="0"/>
      <w:spacing w:line="240" w:lineRule="atLeast"/>
      <w:jc w:val="center"/>
    </w:pPr>
    <w:rPr>
      <w:snapToGrid w:val="0"/>
      <w:kern w:val="0"/>
      <w:sz w:val="18"/>
      <w:szCs w:val="18"/>
    </w:rPr>
  </w:style>
  <w:style w:type="paragraph" w:customStyle="1" w:styleId="35">
    <w:name w:val="xl22"/>
    <w:basedOn w:val="1"/>
    <w:qFormat/>
    <w:uiPriority w:val="0"/>
    <w:pPr>
      <w:pBdr>
        <w:right w:val="single" w:color="auto" w:sz="4" w:space="0"/>
      </w:pBdr>
      <w:spacing w:before="100" w:beforeAutospacing="1" w:after="100" w:afterAutospacing="1"/>
      <w:jc w:val="center"/>
    </w:pPr>
    <w:rPr>
      <w:rFonts w:ascii="宋体" w:hAnsi="宋体"/>
      <w:szCs w:val="21"/>
    </w:rPr>
  </w:style>
  <w:style w:type="paragraph" w:customStyle="1" w:styleId="36">
    <w:name w:val="正文文本缩进 21"/>
    <w:basedOn w:val="1"/>
    <w:qFormat/>
    <w:uiPriority w:val="0"/>
    <w:pPr>
      <w:spacing w:line="400" w:lineRule="exact"/>
      <w:ind w:firstLine="480" w:firstLineChars="200"/>
    </w:pPr>
    <w:rPr>
      <w:sz w:val="24"/>
    </w:rPr>
  </w:style>
  <w:style w:type="paragraph" w:customStyle="1" w:styleId="37">
    <w:name w:val="正文1"/>
    <w:basedOn w:val="1"/>
    <w:next w:val="1"/>
    <w:semiHidden/>
    <w:qFormat/>
    <w:uiPriority w:val="0"/>
    <w:pPr>
      <w:autoSpaceDE w:val="0"/>
      <w:autoSpaceDN w:val="0"/>
      <w:adjustRightInd w:val="0"/>
      <w:spacing w:line="360" w:lineRule="auto"/>
      <w:ind w:firstLine="257" w:firstLineChars="257"/>
      <w:jc w:val="left"/>
      <w:outlineLvl w:val="1"/>
    </w:pPr>
    <w:rPr>
      <w:rFonts w:ascii="楷体_GB2312" w:hAnsi="宋体" w:cs="宋体"/>
      <w:kern w:val="0"/>
      <w:sz w:val="24"/>
    </w:rPr>
  </w:style>
  <w:style w:type="paragraph" w:customStyle="1" w:styleId="38">
    <w:name w:val="表格"/>
    <w:basedOn w:val="8"/>
    <w:next w:val="20"/>
    <w:qFormat/>
    <w:uiPriority w:val="0"/>
    <w:pPr>
      <w:adjustRightInd w:val="0"/>
      <w:snapToGrid w:val="0"/>
      <w:spacing w:beforeLines="10" w:afterLines="10" w:line="259" w:lineRule="auto"/>
      <w:jc w:val="center"/>
    </w:pPr>
    <w:rPr>
      <w:rFonts w:ascii="宋体"/>
      <w:kern w:val="0"/>
      <w:szCs w:val="20"/>
    </w:rPr>
  </w:style>
  <w:style w:type="paragraph" w:customStyle="1" w:styleId="39">
    <w:name w:val="表格文字"/>
    <w:basedOn w:val="2"/>
    <w:next w:val="1"/>
    <w:qFormat/>
    <w:uiPriority w:val="0"/>
    <w:pPr>
      <w:tabs>
        <w:tab w:val="left" w:pos="3720"/>
      </w:tabs>
      <w:autoSpaceDE w:val="0"/>
      <w:autoSpaceDN w:val="0"/>
      <w:adjustRightInd w:val="0"/>
      <w:spacing w:line="315" w:lineRule="exact"/>
      <w:jc w:val="center"/>
    </w:pPr>
    <w:rPr>
      <w:rFonts w:ascii="宋体" w:hAnsi="宋体"/>
      <w:kern w:val="0"/>
      <w:sz w:val="20"/>
      <w:szCs w:val="20"/>
    </w:rPr>
  </w:style>
  <w:style w:type="paragraph" w:customStyle="1" w:styleId="40">
    <w:name w:val="样式3"/>
    <w:basedOn w:val="33"/>
    <w:qFormat/>
    <w:uiPriority w:val="0"/>
    <w:pPr>
      <w:ind w:firstLine="0" w:firstLineChars="0"/>
      <w:jc w:val="center"/>
    </w:pPr>
    <w:rPr>
      <w:b/>
      <w:sz w:val="21"/>
    </w:rPr>
  </w:style>
  <w:style w:type="paragraph" w:customStyle="1" w:styleId="41">
    <w:name w:val="环保表内字（小五）"/>
    <w:basedOn w:val="34"/>
    <w:qFormat/>
    <w:uiPriority w:val="0"/>
    <w:pPr>
      <w:ind w:left="-115" w:right="-92"/>
    </w:pPr>
    <w:rPr>
      <w:rFonts w:ascii="宋体" w:hAnsi="宋体"/>
      <w:szCs w:val="21"/>
    </w:rPr>
  </w:style>
  <w:style w:type="paragraph" w:customStyle="1" w:styleId="42">
    <w:name w:val="Char"/>
    <w:basedOn w:val="1"/>
    <w:next w:val="5"/>
    <w:qFormat/>
    <w:uiPriority w:val="0"/>
    <w:rPr>
      <w:szCs w:val="21"/>
    </w:rPr>
  </w:style>
  <w:style w:type="paragraph" w:customStyle="1" w:styleId="43">
    <w:name w:val="表格内容"/>
    <w:basedOn w:val="2"/>
    <w:qFormat/>
    <w:uiPriority w:val="0"/>
    <w:pPr>
      <w:jc w:val="center"/>
    </w:pPr>
    <w:rPr>
      <w:rFonts w:eastAsia="Times New Roman"/>
      <w:sz w:val="21"/>
      <w:szCs w:val="21"/>
    </w:rPr>
  </w:style>
  <w:style w:type="paragraph" w:customStyle="1" w:styleId="44">
    <w:name w:val="样式 首行缩进:  2 字符"/>
    <w:basedOn w:val="1"/>
    <w:qFormat/>
    <w:uiPriority w:val="0"/>
    <w:rPr>
      <w:rFonts w:cs="宋体"/>
      <w:szCs w:val="20"/>
    </w:rPr>
  </w:style>
  <w:style w:type="paragraph" w:customStyle="1" w:styleId="45">
    <w:name w:val="表头-"/>
    <w:basedOn w:val="1"/>
    <w:qFormat/>
    <w:uiPriority w:val="0"/>
    <w:pPr>
      <w:spacing w:line="360" w:lineRule="auto"/>
      <w:jc w:val="center"/>
    </w:pPr>
    <w:rPr>
      <w:rFonts w:eastAsia="黑体"/>
      <w:b/>
    </w:rPr>
  </w:style>
  <w:style w:type="paragraph" w:customStyle="1" w:styleId="46">
    <w:name w:val="环保表头"/>
    <w:qFormat/>
    <w:uiPriority w:val="0"/>
    <w:pPr>
      <w:adjustRightInd w:val="0"/>
      <w:snapToGrid w:val="0"/>
      <w:spacing w:beforeLines="50" w:line="360" w:lineRule="auto"/>
      <w:ind w:firstLine="480" w:firstLineChars="200"/>
    </w:pPr>
    <w:rPr>
      <w:rFonts w:ascii="Times" w:hAnsi="Times"/>
      <w:kern w:val="2"/>
      <w:sz w:val="24"/>
      <w:szCs w:val="24"/>
    </w:rPr>
  </w:style>
  <w:style w:type="paragraph" w:customStyle="1" w:styleId="47">
    <w:name w:val="样式 黑色 行距: 最小值 26 磅"/>
    <w:basedOn w:val="1"/>
    <w:qFormat/>
    <w:uiPriority w:val="0"/>
    <w:pPr>
      <w:spacing w:line="360" w:lineRule="auto"/>
      <w:ind w:firstLine="200" w:firstLineChars="200"/>
      <w:jc w:val="left"/>
    </w:pPr>
    <w:rPr>
      <w:rFonts w:eastAsia="楷体_GB2312" w:cs="宋体"/>
      <w:color w:val="000000"/>
      <w:spacing w:val="6"/>
      <w:sz w:val="28"/>
      <w:szCs w:val="20"/>
    </w:rPr>
  </w:style>
  <w:style w:type="paragraph" w:customStyle="1" w:styleId="48">
    <w:name w:val="正文4"/>
    <w:qFormat/>
    <w:uiPriority w:val="99"/>
    <w:pPr>
      <w:widowControl w:val="0"/>
      <w:adjustRightInd w:val="0"/>
      <w:spacing w:line="360" w:lineRule="atLeast"/>
    </w:pPr>
    <w:rPr>
      <w:rFonts w:ascii="Arial"/>
      <w:sz w:val="34"/>
    </w:rPr>
  </w:style>
  <w:style w:type="paragraph" w:customStyle="1" w:styleId="49">
    <w:name w:val="p0"/>
    <w:basedOn w:val="1"/>
    <w:qFormat/>
    <w:uiPriority w:val="0"/>
    <w:rPr>
      <w:rFonts w:ascii="Calibri" w:hAnsi="Calibri"/>
      <w:szCs w:val="21"/>
    </w:rPr>
  </w:style>
  <w:style w:type="paragraph" w:customStyle="1" w:styleId="50">
    <w:name w:val="正文_5"/>
    <w:qFormat/>
    <w:uiPriority w:val="0"/>
    <w:pPr>
      <w:widowControl w:val="0"/>
      <w:jc w:val="both"/>
    </w:pPr>
    <w:rPr>
      <w:rFonts w:ascii="Calibri" w:hAnsi="Calibri"/>
      <w:kern w:val="2"/>
      <w:sz w:val="21"/>
    </w:rPr>
  </w:style>
  <w:style w:type="paragraph" w:customStyle="1" w:styleId="51">
    <w:name w:val="a正文"/>
    <w:basedOn w:val="1"/>
    <w:qFormat/>
    <w:uiPriority w:val="0"/>
    <w:pPr>
      <w:spacing w:line="520" w:lineRule="exact"/>
      <w:ind w:firstLine="561"/>
    </w:pPr>
    <w:rPr>
      <w:sz w:val="28"/>
      <w:szCs w:val="20"/>
    </w:rPr>
  </w:style>
  <w:style w:type="paragraph" w:customStyle="1" w:styleId="52">
    <w:name w:val="表内文字"/>
    <w:qFormat/>
    <w:uiPriority w:val="0"/>
    <w:pPr>
      <w:adjustRightInd w:val="0"/>
      <w:snapToGrid w:val="0"/>
    </w:pPr>
    <w:rPr>
      <w:snapToGrid w:val="0"/>
      <w:sz w:val="21"/>
    </w:rPr>
  </w:style>
  <w:style w:type="paragraph" w:customStyle="1" w:styleId="53">
    <w:name w:val="Table Paragraph"/>
    <w:basedOn w:val="1"/>
    <w:qFormat/>
    <w:uiPriority w:val="1"/>
    <w:rPr>
      <w:rFonts w:ascii="楷体_GB2312" w:eastAsia="楷体_GB2312"/>
      <w:sz w:val="30"/>
      <w:szCs w:val="20"/>
    </w:rPr>
  </w:style>
  <w:style w:type="paragraph" w:customStyle="1" w:styleId="54">
    <w:name w:val="表格正文"/>
    <w:basedOn w:val="1"/>
    <w:next w:val="8"/>
    <w:qFormat/>
    <w:uiPriority w:val="0"/>
    <w:pPr>
      <w:adjustRightInd w:val="0"/>
      <w:spacing w:line="0" w:lineRule="atLeast"/>
      <w:textAlignment w:val="baseline"/>
    </w:pPr>
  </w:style>
  <w:style w:type="paragraph" w:customStyle="1" w:styleId="55">
    <w:name w:val="01正文"/>
    <w:basedOn w:val="1"/>
    <w:qFormat/>
    <w:uiPriority w:val="0"/>
    <w:pPr>
      <w:adjustRightInd w:val="0"/>
      <w:snapToGrid w:val="0"/>
      <w:spacing w:line="360" w:lineRule="auto"/>
      <w:ind w:firstLine="200" w:firstLineChars="200"/>
    </w:pPr>
    <w:rPr>
      <w:kern w:val="0"/>
      <w:sz w:val="24"/>
    </w:rPr>
  </w:style>
  <w:style w:type="paragraph" w:customStyle="1" w:styleId="56">
    <w:name w:val="表格内容 5号 居中"/>
    <w:basedOn w:val="1"/>
    <w:qFormat/>
    <w:uiPriority w:val="0"/>
    <w:pPr>
      <w:spacing w:beforeLines="1" w:afterLines="1" w:line="240" w:lineRule="atLeast"/>
      <w:jc w:val="center"/>
    </w:pPr>
    <w:rPr>
      <w:rFonts w:hAnsi="宋体"/>
      <w:szCs w:val="21"/>
    </w:rPr>
  </w:style>
  <w:style w:type="paragraph" w:customStyle="1" w:styleId="57">
    <w:name w:val="日期1111"/>
    <w:basedOn w:val="1"/>
    <w:next w:val="1"/>
    <w:qFormat/>
    <w:uiPriority w:val="0"/>
    <w:rPr>
      <w:rFonts w:ascii="方正宋三简体" w:eastAsia="方正宋三简体"/>
      <w:sz w:val="24"/>
      <w:szCs w:val="20"/>
    </w:rPr>
  </w:style>
  <w:style w:type="paragraph" w:customStyle="1" w:styleId="58">
    <w:name w:val="List Paragraph"/>
    <w:basedOn w:val="1"/>
    <w:qFormat/>
    <w:uiPriority w:val="99"/>
    <w:pPr>
      <w:ind w:firstLine="420" w:firstLineChars="200"/>
    </w:pPr>
  </w:style>
  <w:style w:type="paragraph" w:customStyle="1" w:styleId="59">
    <w:name w:val="表格内标题"/>
    <w:basedOn w:val="60"/>
    <w:next w:val="1"/>
    <w:qFormat/>
    <w:uiPriority w:val="0"/>
    <w:pPr>
      <w:ind w:firstLine="0" w:firstLineChars="0"/>
    </w:pPr>
    <w:rPr>
      <w:rFonts w:ascii="Times New Roman" w:eastAsia="黑体"/>
      <w:sz w:val="18"/>
    </w:rPr>
  </w:style>
  <w:style w:type="paragraph" w:customStyle="1" w:styleId="60">
    <w:name w:val="表格2（紧凑）"/>
    <w:basedOn w:val="38"/>
    <w:qFormat/>
    <w:uiPriority w:val="0"/>
    <w:pPr>
      <w:spacing w:line="0" w:lineRule="atLeast"/>
    </w:pPr>
  </w:style>
  <w:style w:type="paragraph" w:customStyle="1" w:styleId="61">
    <w:name w:val="eia text"/>
    <w:basedOn w:val="1"/>
    <w:qFormat/>
    <w:uiPriority w:val="0"/>
    <w:pPr>
      <w:spacing w:line="360" w:lineRule="auto"/>
      <w:ind w:firstLine="499" w:firstLineChars="208"/>
    </w:pPr>
    <w:rPr>
      <w:rFonts w:ascii="宋体" w:hAnsi="宋体"/>
      <w:sz w:val="24"/>
    </w:rPr>
  </w:style>
  <w:style w:type="character" w:customStyle="1" w:styleId="62">
    <w:name w:val="font21"/>
    <w:qFormat/>
    <w:uiPriority w:val="0"/>
    <w:rPr>
      <w:rFonts w:hint="eastAsia" w:ascii="宋体" w:hAnsi="宋体" w:eastAsia="宋体" w:cs="宋体"/>
      <w:color w:val="000000"/>
      <w:sz w:val="22"/>
      <w:szCs w:val="22"/>
      <w:u w:val="none"/>
    </w:rPr>
  </w:style>
  <w:style w:type="character" w:customStyle="1" w:styleId="63">
    <w:name w:val="font31"/>
    <w:qFormat/>
    <w:uiPriority w:val="0"/>
    <w:rPr>
      <w:rFonts w:ascii="Wingdings 2" w:hAnsi="Wingdings 2" w:eastAsia="Wingdings 2" w:cs="Wingdings 2"/>
      <w:color w:val="000000"/>
      <w:sz w:val="24"/>
      <w:szCs w:val="24"/>
      <w:u w:val="none"/>
    </w:rPr>
  </w:style>
  <w:style w:type="character" w:customStyle="1" w:styleId="64">
    <w:name w:val="font41"/>
    <w:qFormat/>
    <w:uiPriority w:val="0"/>
    <w:rPr>
      <w:rFonts w:hint="default" w:ascii="Times New Roman" w:hAnsi="Times New Roman" w:cs="Times New Roman"/>
      <w:color w:val="000000"/>
      <w:sz w:val="22"/>
      <w:szCs w:val="22"/>
      <w:u w:val="none"/>
    </w:rPr>
  </w:style>
  <w:style w:type="character" w:customStyle="1" w:styleId="65">
    <w:name w:val="font11"/>
    <w:qFormat/>
    <w:uiPriority w:val="0"/>
    <w:rPr>
      <w:rFonts w:hint="default" w:ascii="Times New Roman" w:hAnsi="Times New Roman" w:cs="Times New Roman"/>
      <w:color w:val="000000"/>
      <w:sz w:val="22"/>
      <w:szCs w:val="22"/>
      <w:u w:val="none"/>
      <w:vertAlign w:val="subscript"/>
    </w:rPr>
  </w:style>
  <w:style w:type="character" w:customStyle="1" w:styleId="66">
    <w:name w:val="font01"/>
    <w:qFormat/>
    <w:uiPriority w:val="0"/>
    <w:rPr>
      <w:rFonts w:hint="eastAsia" w:ascii="宋体" w:hAnsi="宋体" w:eastAsia="宋体" w:cs="宋体"/>
      <w:color w:val="000000"/>
      <w:sz w:val="22"/>
      <w:szCs w:val="22"/>
      <w:u w:val="none"/>
      <w:vertAlign w:val="subscript"/>
    </w:rPr>
  </w:style>
  <w:style w:type="character" w:customStyle="1" w:styleId="67">
    <w:name w:val="fontstyle01"/>
    <w:qFormat/>
    <w:uiPriority w:val="0"/>
    <w:rPr>
      <w:rFonts w:ascii="宋体" w:hAnsi="宋体" w:eastAsia="宋体" w:cs="宋体"/>
      <w:color w:val="000000"/>
      <w:sz w:val="24"/>
      <w:szCs w:val="24"/>
    </w:rPr>
  </w:style>
  <w:style w:type="character" w:customStyle="1" w:styleId="68">
    <w:name w:val="fontstyle21"/>
    <w:qFormat/>
    <w:uiPriority w:val="0"/>
    <w:rPr>
      <w:rFonts w:ascii="TimesNewRomanPSMT" w:hAnsi="TimesNewRomanPSMT" w:eastAsia="TimesNewRomanPSMT" w:cs="TimesNewRomanPSMT"/>
      <w:color w:val="000000"/>
      <w:sz w:val="24"/>
      <w:szCs w:val="24"/>
    </w:rPr>
  </w:style>
  <w:style w:type="character" w:customStyle="1" w:styleId="69">
    <w:name w:val="表格正文 Char Char"/>
    <w:qFormat/>
    <w:locked/>
    <w:uiPriority w:val="0"/>
    <w:rPr>
      <w:rFonts w:ascii="Times New Roman" w:hAnsi="Times New Roman" w:eastAsia="宋体" w:cs="Times New Roman"/>
      <w:szCs w:val="24"/>
    </w:rPr>
  </w:style>
  <w:style w:type="character" w:customStyle="1" w:styleId="70">
    <w:name w:val="批注文字 Char Char"/>
    <w:basedOn w:val="22"/>
    <w:link w:val="7"/>
    <w:uiPriority w:val="0"/>
    <w:rPr>
      <w:sz w:val="24"/>
    </w:rPr>
  </w:style>
  <w:style w:type="character" w:customStyle="1" w:styleId="71">
    <w:name w:val="批注主题 Char Char"/>
    <w:basedOn w:val="70"/>
    <w:link w:val="6"/>
    <w:uiPriority w:val="0"/>
    <w:rPr>
      <w:b/>
      <w:bCs/>
      <w:kern w:val="2"/>
      <w:sz w:val="21"/>
      <w:szCs w:val="24"/>
    </w:rPr>
  </w:style>
</w:styles>
</file>

<file path=word/_rels/document.xml.rels><?xml version="1.0" encoding="UTF-8" standalone="yes"?>
<Relationships xmlns="http://schemas.openxmlformats.org/package/2006/relationships"><Relationship Id="rId1" Type="http://schemas.openxmlformats.org/officeDocument/2006/relationships/fontTable" Target="fontTable.xml"/><Relationship Id="rId10" Type="http://schemas.openxmlformats.org/officeDocument/2006/relationships/image" Target="media/image3.wmf"/><Relationship Id="rId11" Type="http://schemas.openxmlformats.org/officeDocument/2006/relationships/oleObject" Target="embeddings/oleObject3.bin"/><Relationship Id="rId12" Type="http://schemas.openxmlformats.org/officeDocument/2006/relationships/image" Target="media/image4.wmf"/><Relationship Id="rId13" Type="http://schemas.openxmlformats.org/officeDocument/2006/relationships/oleObject" Target="embeddings/oleObject4.bin"/><Relationship Id="rId14" Type="http://schemas.openxmlformats.org/officeDocument/2006/relationships/image" Target="media/image5.wmf"/><Relationship Id="rId15" Type="http://schemas.openxmlformats.org/officeDocument/2006/relationships/image" Target="media/image6.png"/><Relationship Id="rId16" Type="http://schemas.openxmlformats.org/officeDocument/2006/relationships/oleObject" Target="embeddings/oleObject5.bin"/><Relationship Id="rId17" Type="http://schemas.openxmlformats.org/officeDocument/2006/relationships/image" Target="media/image7.wmf"/><Relationship Id="rId18" Type="http://schemas.openxmlformats.org/officeDocument/2006/relationships/customXml" Target="../customXml/item1.xml"/><Relationship Id="rId19"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footer" Target="footer1.xml"/><Relationship Id="rId5" Type="http://schemas.openxmlformats.org/officeDocument/2006/relationships/theme" Target="theme/theme1.xml"/><Relationship Id="rId6" Type="http://schemas.openxmlformats.org/officeDocument/2006/relationships/image" Target="media/image1.png"/><Relationship Id="rId7" Type="http://schemas.openxmlformats.org/officeDocument/2006/relationships/oleObject" Target="embeddings/oleObject1.bin"/><Relationship Id="rId8" Type="http://schemas.openxmlformats.org/officeDocument/2006/relationships/image" Target="media/image2.wmf"/><Relationship Id="rId9" Type="http://schemas.openxmlformats.org/officeDocument/2006/relationships/oleObject" Target="embeddings/oleObject2.bin"/></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88</Pages>
  <Words>10518</Words>
  <Characters>59956</Characters>
  <Lines>499</Lines>
  <Paragraphs>140</Paragraphs>
  <TotalTime>0</TotalTime>
  <ScaleCrop>false</ScaleCrop>
  <LinksUpToDate>false</LinksUpToDate>
  <CharactersWithSpaces>0</CharactersWithSpaces>
  <Application>WPS Office 专业版_9.1.0.4337_{F1E327BC-269C-435d-A152-05C5408002CA}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2026-10-13T15:20:00Z</dcterms:created>
  <dc:creator>YC</dc:creator>
  <cp:lastModifiedBy>Administrator</cp:lastModifiedBy>
  <cp:lastPrinted>2026-08-15T12:09:00Z</cp:lastPrinted>
  <dcterms:modified xsi:type="dcterms:W3CDTF">2026-10-19T02:52:12Z</dcterms:modified>
  <dc:title>一、建设项目基本情况</dc:title>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2052-9.1.0.4337</vt:lpwstr>
  </property>
  <property fmtid="{D5CDD505-2E9C-101B-9397-08002B2CF9AE}" pid="3" name="ICV">
    <vt:lpwstr>0058312A7579474FB6BD9BF72827AD19_13</vt:lpwstr>
  </property>
  <property fmtid="{D5CDD505-2E9C-101B-9397-08002B2CF9AE}" pid="4" name="KSOTemplateDocerSaveRecord">
    <vt:lpwstr>eyJoZGlkIjoiOWY4MzVhMTQwMDllNjY2MjEwYTM1MzU0ZDU3M2EwYTEiLCJ1c2VySWQiOiIzNzMxMzk2MzQifQ==</vt:lpwstr>
  </property>
</Properties>
</file>